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Placeholder"/>
        <w:tblpPr w:leftFromText="181" w:rightFromText="181" w:vertAnchor="page" w:horzAnchor="page" w:tblpX="3913" w:tblpY="2496"/>
        <w:tblOverlap w:val="never"/>
        <w:tblW w:w="0" w:type="auto"/>
        <w:tblLayout w:type="fixed"/>
        <w:tblLook w:val="04A0" w:firstRow="1" w:lastRow="0" w:firstColumn="1" w:lastColumn="0" w:noHBand="0" w:noVBand="1"/>
      </w:tblPr>
      <w:tblGrid>
        <w:gridCol w:w="6520"/>
      </w:tblGrid>
      <w:tr w:rsidR="00F71F75" w14:paraId="146FD61A" w14:textId="77777777" w:rsidTr="009A1C4A">
        <w:trPr>
          <w:trHeight w:val="6009"/>
        </w:trPr>
        <w:tc>
          <w:tcPr>
            <w:tcW w:w="6520" w:type="dxa"/>
            <w:vAlign w:val="center"/>
          </w:tcPr>
          <w:p w14:paraId="326A10CB" w14:textId="02A228A8" w:rsidR="00F71F75" w:rsidRPr="005F3D60" w:rsidRDefault="004130F3" w:rsidP="009A1C4A">
            <w:pPr>
              <w:pStyle w:val="Title"/>
              <w:framePr w:hSpace="0" w:wrap="auto" w:vAnchor="margin" w:hAnchor="text" w:xAlign="left" w:yAlign="inline"/>
              <w:suppressOverlap w:val="0"/>
            </w:pPr>
            <w:r>
              <w:t>Gender Equality Action Plan Progress Report</w:t>
            </w:r>
          </w:p>
          <w:p w14:paraId="2A13112A" w14:textId="5096A4EC" w:rsidR="00F71F75" w:rsidRPr="005F3D60" w:rsidRDefault="00F71F75" w:rsidP="009A1C4A">
            <w:pPr>
              <w:pStyle w:val="Subtitle"/>
              <w:framePr w:hSpace="0" w:wrap="auto" w:vAnchor="margin" w:hAnchor="text" w:xAlign="left" w:yAlign="inline"/>
              <w:suppressOverlap w:val="0"/>
            </w:pPr>
          </w:p>
          <w:sdt>
            <w:sdtPr>
              <w:rPr>
                <w:b/>
                <w:bCs/>
              </w:rPr>
              <w:alias w:val="Subtitle three"/>
              <w:tag w:val=""/>
              <w:id w:val="1291707638"/>
              <w:placeholder>
                <w:docPart w:val="C90E523F3E4B47EDB87BC91378982824"/>
              </w:placeholder>
              <w:dataBinding w:prefixMappings="xmlns:ns0='http://purl.org/dc/elements/1.1/' xmlns:ns1='http://schemas.openxmlformats.org/package/2006/metadata/core-properties' " w:xpath="/ns1:coreProperties[1]/ns1:category[1]" w:storeItemID="{6C3C8BC8-F283-45AE-878A-BAB7291924A1}"/>
              <w:text/>
            </w:sdtPr>
            <w:sdtEndPr/>
            <w:sdtContent>
              <w:p w14:paraId="388654CC" w14:textId="63C7EF7B" w:rsidR="00F71F75" w:rsidRPr="005F3D60" w:rsidRDefault="006D1EF4" w:rsidP="009A1C4A">
                <w:pPr>
                  <w:pStyle w:val="Subtitle2"/>
                  <w:framePr w:hSpace="0" w:wrap="auto" w:vAnchor="margin" w:hAnchor="text" w:xAlign="left" w:yAlign="inline"/>
                  <w:suppressOverlap w:val="0"/>
                </w:pPr>
                <w:r>
                  <w:rPr>
                    <w:b/>
                    <w:bCs/>
                  </w:rPr>
                  <w:t>November</w:t>
                </w:r>
                <w:r w:rsidR="00D217DF" w:rsidRPr="00D217DF">
                  <w:rPr>
                    <w:b/>
                    <w:bCs/>
                  </w:rPr>
                  <w:t xml:space="preserve"> 2024</w:t>
                </w:r>
              </w:p>
            </w:sdtContent>
          </w:sdt>
        </w:tc>
      </w:tr>
    </w:tbl>
    <w:p w14:paraId="21755B92" w14:textId="77777777" w:rsidR="00C76BBF" w:rsidRDefault="00F71F75" w:rsidP="00A65F1E">
      <w:pPr>
        <w:pStyle w:val="BodyText"/>
      </w:pPr>
      <w:r>
        <w:rPr>
          <w:noProof/>
        </w:rPr>
        <w:drawing>
          <wp:anchor distT="0" distB="0" distL="114300" distR="114300" simplePos="0" relativeHeight="251656189" behindDoc="1" locked="0" layoutInCell="1" allowOverlap="1" wp14:anchorId="4B10B531" wp14:editId="67086905">
            <wp:simplePos x="0" y="0"/>
            <wp:positionH relativeFrom="page">
              <wp:align>left</wp:align>
            </wp:positionH>
            <wp:positionV relativeFrom="page">
              <wp:align>top</wp:align>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2E46A564" w14:textId="77777777" w:rsidR="00C76BBF" w:rsidRPr="00C76BBF" w:rsidRDefault="00C76BBF" w:rsidP="00A65F1E">
      <w:pPr>
        <w:pStyle w:val="BodyText"/>
      </w:pPr>
      <w:r w:rsidRPr="00C76BBF">
        <w:br w:type="page"/>
      </w:r>
    </w:p>
    <w:sdt>
      <w:sdtPr>
        <w:rPr>
          <w:rFonts w:asciiTheme="minorHAnsi" w:hAnsiTheme="minorHAnsi" w:cs="Times New Roman"/>
          <w:b w:val="0"/>
          <w:bCs w:val="0"/>
          <w:color w:val="auto"/>
          <w:spacing w:val="0"/>
          <w:sz w:val="18"/>
        </w:rPr>
        <w:id w:val="1154955068"/>
        <w:docPartObj>
          <w:docPartGallery w:val="Table of Contents"/>
          <w:docPartUnique/>
        </w:docPartObj>
      </w:sdtPr>
      <w:sdtEndPr>
        <w:rPr>
          <w:noProof/>
        </w:rPr>
      </w:sdtEndPr>
      <w:sdtContent>
        <w:p w14:paraId="6743AD64" w14:textId="77777777" w:rsidR="006B7B23" w:rsidRDefault="006B7B23">
          <w:pPr>
            <w:pStyle w:val="TOCHeading"/>
          </w:pPr>
          <w:r>
            <w:t>Contents</w:t>
          </w:r>
        </w:p>
        <w:p w14:paraId="4D008DBB" w14:textId="47AE902A" w:rsidR="006D1EF4" w:rsidRDefault="006B7B23">
          <w:pPr>
            <w:pStyle w:val="TOC1"/>
            <w:rPr>
              <w:rFonts w:asciiTheme="minorHAnsi" w:hAnsiTheme="minorHAnsi"/>
              <w:b w:val="0"/>
              <w:color w:val="auto"/>
              <w:kern w:val="2"/>
              <w:sz w:val="24"/>
              <w:szCs w:val="24"/>
              <w14:ligatures w14:val="standardContextual"/>
            </w:rPr>
          </w:pPr>
          <w:r>
            <w:fldChar w:fldCharType="begin"/>
          </w:r>
          <w:r>
            <w:instrText xml:space="preserve"> TOC \o "1-</w:instrText>
          </w:r>
          <w:r w:rsidR="003F3E28">
            <w:instrText>2</w:instrText>
          </w:r>
          <w:r>
            <w:instrText xml:space="preserve">" \h \z \u </w:instrText>
          </w:r>
          <w:r>
            <w:fldChar w:fldCharType="separate"/>
          </w:r>
          <w:hyperlink w:anchor="_Toc182599243" w:history="1">
            <w:r w:rsidR="006D1EF4" w:rsidRPr="008631A1">
              <w:rPr>
                <w:rStyle w:val="Hyperlink"/>
              </w:rPr>
              <w:t>Acknowledgement of Country</w:t>
            </w:r>
            <w:r w:rsidR="006D1EF4">
              <w:rPr>
                <w:webHidden/>
              </w:rPr>
              <w:tab/>
            </w:r>
            <w:r w:rsidR="006D1EF4">
              <w:rPr>
                <w:webHidden/>
              </w:rPr>
              <w:fldChar w:fldCharType="begin"/>
            </w:r>
            <w:r w:rsidR="006D1EF4">
              <w:rPr>
                <w:webHidden/>
              </w:rPr>
              <w:instrText xml:space="preserve"> PAGEREF _Toc182599243 \h </w:instrText>
            </w:r>
            <w:r w:rsidR="006D1EF4">
              <w:rPr>
                <w:webHidden/>
              </w:rPr>
            </w:r>
            <w:r w:rsidR="006D1EF4">
              <w:rPr>
                <w:webHidden/>
              </w:rPr>
              <w:fldChar w:fldCharType="separate"/>
            </w:r>
            <w:r w:rsidR="006D1EF4">
              <w:rPr>
                <w:webHidden/>
              </w:rPr>
              <w:t>3</w:t>
            </w:r>
            <w:r w:rsidR="006D1EF4">
              <w:rPr>
                <w:webHidden/>
              </w:rPr>
              <w:fldChar w:fldCharType="end"/>
            </w:r>
          </w:hyperlink>
        </w:p>
        <w:p w14:paraId="294A2A88" w14:textId="0EF6B3AA" w:rsidR="006D1EF4" w:rsidRDefault="006D1EF4">
          <w:pPr>
            <w:pStyle w:val="TOC1"/>
            <w:rPr>
              <w:rFonts w:asciiTheme="minorHAnsi" w:hAnsiTheme="minorHAnsi"/>
              <w:b w:val="0"/>
              <w:color w:val="auto"/>
              <w:kern w:val="2"/>
              <w:sz w:val="24"/>
              <w:szCs w:val="24"/>
              <w14:ligatures w14:val="standardContextual"/>
            </w:rPr>
          </w:pPr>
          <w:hyperlink w:anchor="_Toc182599244" w:history="1">
            <w:r w:rsidRPr="008631A1">
              <w:rPr>
                <w:rStyle w:val="Hyperlink"/>
              </w:rPr>
              <w:t>Background</w:t>
            </w:r>
            <w:r>
              <w:rPr>
                <w:webHidden/>
              </w:rPr>
              <w:tab/>
            </w:r>
            <w:r>
              <w:rPr>
                <w:webHidden/>
              </w:rPr>
              <w:fldChar w:fldCharType="begin"/>
            </w:r>
            <w:r>
              <w:rPr>
                <w:webHidden/>
              </w:rPr>
              <w:instrText xml:space="preserve"> PAGEREF _Toc182599244 \h </w:instrText>
            </w:r>
            <w:r>
              <w:rPr>
                <w:webHidden/>
              </w:rPr>
            </w:r>
            <w:r>
              <w:rPr>
                <w:webHidden/>
              </w:rPr>
              <w:fldChar w:fldCharType="separate"/>
            </w:r>
            <w:r>
              <w:rPr>
                <w:webHidden/>
              </w:rPr>
              <w:t>3</w:t>
            </w:r>
            <w:r>
              <w:rPr>
                <w:webHidden/>
              </w:rPr>
              <w:fldChar w:fldCharType="end"/>
            </w:r>
          </w:hyperlink>
        </w:p>
        <w:p w14:paraId="1D4E76F4" w14:textId="0CC084B8" w:rsidR="006D1EF4" w:rsidRDefault="006D1EF4">
          <w:pPr>
            <w:pStyle w:val="TOC1"/>
            <w:rPr>
              <w:rFonts w:asciiTheme="minorHAnsi" w:hAnsiTheme="minorHAnsi"/>
              <w:b w:val="0"/>
              <w:color w:val="auto"/>
              <w:kern w:val="2"/>
              <w:sz w:val="24"/>
              <w:szCs w:val="24"/>
              <w14:ligatures w14:val="standardContextual"/>
            </w:rPr>
          </w:pPr>
          <w:hyperlink w:anchor="_Toc182599245" w:history="1">
            <w:r w:rsidRPr="008631A1">
              <w:rPr>
                <w:rStyle w:val="Hyperlink"/>
              </w:rPr>
              <w:t>1</w:t>
            </w:r>
            <w:r>
              <w:rPr>
                <w:rFonts w:asciiTheme="minorHAnsi" w:hAnsiTheme="minorHAnsi"/>
                <w:b w:val="0"/>
                <w:color w:val="auto"/>
                <w:kern w:val="2"/>
                <w:sz w:val="24"/>
                <w:szCs w:val="24"/>
                <w14:ligatures w14:val="standardContextual"/>
              </w:rPr>
              <w:tab/>
            </w:r>
            <w:r w:rsidRPr="008631A1">
              <w:rPr>
                <w:rStyle w:val="Hyperlink"/>
              </w:rPr>
              <w:t>Progress against Strategies and Measures</w:t>
            </w:r>
            <w:r>
              <w:rPr>
                <w:webHidden/>
              </w:rPr>
              <w:tab/>
            </w:r>
            <w:r>
              <w:rPr>
                <w:webHidden/>
              </w:rPr>
              <w:fldChar w:fldCharType="begin"/>
            </w:r>
            <w:r>
              <w:rPr>
                <w:webHidden/>
              </w:rPr>
              <w:instrText xml:space="preserve"> PAGEREF _Toc182599245 \h </w:instrText>
            </w:r>
            <w:r>
              <w:rPr>
                <w:webHidden/>
              </w:rPr>
            </w:r>
            <w:r>
              <w:rPr>
                <w:webHidden/>
              </w:rPr>
              <w:fldChar w:fldCharType="separate"/>
            </w:r>
            <w:r>
              <w:rPr>
                <w:webHidden/>
              </w:rPr>
              <w:t>4</w:t>
            </w:r>
            <w:r>
              <w:rPr>
                <w:webHidden/>
              </w:rPr>
              <w:fldChar w:fldCharType="end"/>
            </w:r>
          </w:hyperlink>
        </w:p>
        <w:p w14:paraId="6636366C" w14:textId="583ED7E4" w:rsidR="006D1EF4" w:rsidRDefault="006D1EF4">
          <w:pPr>
            <w:pStyle w:val="TOC1"/>
            <w:rPr>
              <w:rFonts w:asciiTheme="minorHAnsi" w:hAnsiTheme="minorHAnsi"/>
              <w:b w:val="0"/>
              <w:color w:val="auto"/>
              <w:kern w:val="2"/>
              <w:sz w:val="24"/>
              <w:szCs w:val="24"/>
              <w14:ligatures w14:val="standardContextual"/>
            </w:rPr>
          </w:pPr>
          <w:hyperlink w:anchor="_Toc182599246" w:history="1">
            <w:r w:rsidRPr="008631A1">
              <w:rPr>
                <w:rStyle w:val="Hyperlink"/>
              </w:rPr>
              <w:t>2</w:t>
            </w:r>
            <w:r>
              <w:rPr>
                <w:rFonts w:asciiTheme="minorHAnsi" w:hAnsiTheme="minorHAnsi"/>
                <w:b w:val="0"/>
                <w:color w:val="auto"/>
                <w:kern w:val="2"/>
                <w:sz w:val="24"/>
                <w:szCs w:val="24"/>
                <w14:ligatures w14:val="standardContextual"/>
              </w:rPr>
              <w:tab/>
            </w:r>
            <w:r w:rsidRPr="008631A1">
              <w:rPr>
                <w:rStyle w:val="Hyperlink"/>
              </w:rPr>
              <w:t>Progress on Gender Equality Indicators</w:t>
            </w:r>
            <w:r>
              <w:rPr>
                <w:webHidden/>
              </w:rPr>
              <w:tab/>
            </w:r>
            <w:r>
              <w:rPr>
                <w:webHidden/>
              </w:rPr>
              <w:fldChar w:fldCharType="begin"/>
            </w:r>
            <w:r>
              <w:rPr>
                <w:webHidden/>
              </w:rPr>
              <w:instrText xml:space="preserve"> PAGEREF _Toc182599246 \h </w:instrText>
            </w:r>
            <w:r>
              <w:rPr>
                <w:webHidden/>
              </w:rPr>
            </w:r>
            <w:r>
              <w:rPr>
                <w:webHidden/>
              </w:rPr>
              <w:fldChar w:fldCharType="separate"/>
            </w:r>
            <w:r>
              <w:rPr>
                <w:webHidden/>
              </w:rPr>
              <w:t>11</w:t>
            </w:r>
            <w:r>
              <w:rPr>
                <w:webHidden/>
              </w:rPr>
              <w:fldChar w:fldCharType="end"/>
            </w:r>
          </w:hyperlink>
        </w:p>
        <w:p w14:paraId="48D2A786" w14:textId="0DBECD4B" w:rsidR="006D1EF4" w:rsidRDefault="006D1EF4">
          <w:pPr>
            <w:pStyle w:val="TOC1"/>
            <w:rPr>
              <w:rFonts w:asciiTheme="minorHAnsi" w:hAnsiTheme="minorHAnsi"/>
              <w:b w:val="0"/>
              <w:color w:val="auto"/>
              <w:kern w:val="2"/>
              <w:sz w:val="24"/>
              <w:szCs w:val="24"/>
              <w14:ligatures w14:val="standardContextual"/>
            </w:rPr>
          </w:pPr>
          <w:hyperlink w:anchor="_Toc182599247" w:history="1">
            <w:r w:rsidRPr="008631A1">
              <w:rPr>
                <w:rStyle w:val="Hyperlink"/>
              </w:rPr>
              <w:t>3</w:t>
            </w:r>
            <w:r>
              <w:rPr>
                <w:rFonts w:asciiTheme="minorHAnsi" w:hAnsiTheme="minorHAnsi"/>
                <w:b w:val="0"/>
                <w:color w:val="auto"/>
                <w:kern w:val="2"/>
                <w:sz w:val="24"/>
                <w:szCs w:val="24"/>
                <w14:ligatures w14:val="standardContextual"/>
              </w:rPr>
              <w:tab/>
            </w:r>
            <w:r w:rsidRPr="008631A1">
              <w:rPr>
                <w:rStyle w:val="Hyperlink"/>
              </w:rPr>
              <w:t>Gender Impact Assessments</w:t>
            </w:r>
            <w:r>
              <w:rPr>
                <w:webHidden/>
              </w:rPr>
              <w:tab/>
            </w:r>
            <w:r>
              <w:rPr>
                <w:webHidden/>
              </w:rPr>
              <w:fldChar w:fldCharType="begin"/>
            </w:r>
            <w:r>
              <w:rPr>
                <w:webHidden/>
              </w:rPr>
              <w:instrText xml:space="preserve"> PAGEREF _Toc182599247 \h </w:instrText>
            </w:r>
            <w:r>
              <w:rPr>
                <w:webHidden/>
              </w:rPr>
            </w:r>
            <w:r>
              <w:rPr>
                <w:webHidden/>
              </w:rPr>
              <w:fldChar w:fldCharType="separate"/>
            </w:r>
            <w:r>
              <w:rPr>
                <w:webHidden/>
              </w:rPr>
              <w:t>20</w:t>
            </w:r>
            <w:r>
              <w:rPr>
                <w:webHidden/>
              </w:rPr>
              <w:fldChar w:fldCharType="end"/>
            </w:r>
          </w:hyperlink>
        </w:p>
        <w:p w14:paraId="547194CC" w14:textId="2A13335F" w:rsidR="006D1EF4" w:rsidRDefault="006D1EF4">
          <w:pPr>
            <w:pStyle w:val="TOC1"/>
            <w:rPr>
              <w:rFonts w:asciiTheme="minorHAnsi" w:hAnsiTheme="minorHAnsi"/>
              <w:b w:val="0"/>
              <w:color w:val="auto"/>
              <w:kern w:val="2"/>
              <w:sz w:val="24"/>
              <w:szCs w:val="24"/>
              <w14:ligatures w14:val="standardContextual"/>
            </w:rPr>
          </w:pPr>
          <w:hyperlink w:anchor="_Toc182599248" w:history="1">
            <w:r w:rsidRPr="008631A1">
              <w:rPr>
                <w:rStyle w:val="Hyperlink"/>
              </w:rPr>
              <w:t>4</w:t>
            </w:r>
            <w:r>
              <w:rPr>
                <w:rFonts w:asciiTheme="minorHAnsi" w:hAnsiTheme="minorHAnsi"/>
                <w:b w:val="0"/>
                <w:color w:val="auto"/>
                <w:kern w:val="2"/>
                <w:sz w:val="24"/>
                <w:szCs w:val="24"/>
                <w14:ligatures w14:val="standardContextual"/>
              </w:rPr>
              <w:tab/>
            </w:r>
            <w:r w:rsidRPr="008631A1">
              <w:rPr>
                <w:rStyle w:val="Hyperlink"/>
              </w:rPr>
              <w:t>Supporting Documentation</w:t>
            </w:r>
            <w:r>
              <w:rPr>
                <w:webHidden/>
              </w:rPr>
              <w:tab/>
            </w:r>
            <w:r>
              <w:rPr>
                <w:webHidden/>
              </w:rPr>
              <w:fldChar w:fldCharType="begin"/>
            </w:r>
            <w:r>
              <w:rPr>
                <w:webHidden/>
              </w:rPr>
              <w:instrText xml:space="preserve"> PAGEREF _Toc182599248 \h </w:instrText>
            </w:r>
            <w:r>
              <w:rPr>
                <w:webHidden/>
              </w:rPr>
            </w:r>
            <w:r>
              <w:rPr>
                <w:webHidden/>
              </w:rPr>
              <w:fldChar w:fldCharType="separate"/>
            </w:r>
            <w:r>
              <w:rPr>
                <w:webHidden/>
              </w:rPr>
              <w:t>25</w:t>
            </w:r>
            <w:r>
              <w:rPr>
                <w:webHidden/>
              </w:rPr>
              <w:fldChar w:fldCharType="end"/>
            </w:r>
          </w:hyperlink>
        </w:p>
        <w:p w14:paraId="24663D23" w14:textId="19D2F92B" w:rsidR="006D1EF4" w:rsidRDefault="006D1EF4">
          <w:pPr>
            <w:pStyle w:val="TOC1"/>
            <w:rPr>
              <w:rFonts w:asciiTheme="minorHAnsi" w:hAnsiTheme="minorHAnsi"/>
              <w:b w:val="0"/>
              <w:color w:val="auto"/>
              <w:kern w:val="2"/>
              <w:sz w:val="24"/>
              <w:szCs w:val="24"/>
              <w14:ligatures w14:val="standardContextual"/>
            </w:rPr>
          </w:pPr>
          <w:hyperlink w:anchor="_Toc182599249" w:history="1">
            <w:r w:rsidRPr="008631A1">
              <w:rPr>
                <w:rStyle w:val="Hyperlink"/>
              </w:rPr>
              <w:t>5</w:t>
            </w:r>
            <w:r>
              <w:rPr>
                <w:rFonts w:asciiTheme="minorHAnsi" w:hAnsiTheme="minorHAnsi"/>
                <w:b w:val="0"/>
                <w:color w:val="auto"/>
                <w:kern w:val="2"/>
                <w:sz w:val="24"/>
                <w:szCs w:val="24"/>
                <w14:ligatures w14:val="standardContextual"/>
              </w:rPr>
              <w:tab/>
            </w:r>
            <w:r w:rsidRPr="008631A1">
              <w:rPr>
                <w:rStyle w:val="Hyperlink"/>
              </w:rPr>
              <w:t>Supporting Statement – November 2024</w:t>
            </w:r>
            <w:r>
              <w:rPr>
                <w:webHidden/>
              </w:rPr>
              <w:tab/>
            </w:r>
            <w:r>
              <w:rPr>
                <w:webHidden/>
              </w:rPr>
              <w:fldChar w:fldCharType="begin"/>
            </w:r>
            <w:r>
              <w:rPr>
                <w:webHidden/>
              </w:rPr>
              <w:instrText xml:space="preserve"> PAGEREF _Toc182599249 \h </w:instrText>
            </w:r>
            <w:r>
              <w:rPr>
                <w:webHidden/>
              </w:rPr>
            </w:r>
            <w:r>
              <w:rPr>
                <w:webHidden/>
              </w:rPr>
              <w:fldChar w:fldCharType="separate"/>
            </w:r>
            <w:r>
              <w:rPr>
                <w:webHidden/>
              </w:rPr>
              <w:t>26</w:t>
            </w:r>
            <w:r>
              <w:rPr>
                <w:webHidden/>
              </w:rPr>
              <w:fldChar w:fldCharType="end"/>
            </w:r>
          </w:hyperlink>
        </w:p>
        <w:p w14:paraId="6669A1BD" w14:textId="01443831" w:rsidR="006B7B23" w:rsidRDefault="006B7B23" w:rsidP="00A65F1E">
          <w:pPr>
            <w:pStyle w:val="BodyText"/>
          </w:pPr>
          <w:r>
            <w:rPr>
              <w:b/>
              <w:bCs/>
              <w:noProof/>
            </w:rPr>
            <w:fldChar w:fldCharType="end"/>
          </w:r>
        </w:p>
      </w:sdtContent>
    </w:sdt>
    <w:p w14:paraId="21C80515" w14:textId="6BC71B20" w:rsidR="00CF29B3" w:rsidRDefault="00CF29B3" w:rsidP="00CF29B3">
      <w:r>
        <w:br w:type="page"/>
      </w:r>
    </w:p>
    <w:p w14:paraId="41B4D493" w14:textId="5B05793F" w:rsidR="00E45655" w:rsidRDefault="00CA26A4" w:rsidP="00D978F0">
      <w:pPr>
        <w:pStyle w:val="Heading1"/>
        <w:numPr>
          <w:ilvl w:val="0"/>
          <w:numId w:val="0"/>
        </w:numPr>
        <w:ind w:left="454" w:hanging="454"/>
      </w:pPr>
      <w:bookmarkStart w:id="0" w:name="_Toc182599243"/>
      <w:r>
        <w:lastRenderedPageBreak/>
        <w:t>Acknowledgement of Country</w:t>
      </w:r>
      <w:bookmarkEnd w:id="0"/>
    </w:p>
    <w:p w14:paraId="62E28F71" w14:textId="77777777" w:rsidR="00A63F7C" w:rsidRPr="00701832" w:rsidRDefault="00A63F7C" w:rsidP="00A63F7C">
      <w:pPr>
        <w:pStyle w:val="HighlightBoxText"/>
        <w:rPr>
          <w:sz w:val="20"/>
        </w:rPr>
      </w:pPr>
      <w:r w:rsidRPr="00701832">
        <w:rPr>
          <w:sz w:val="20"/>
        </w:rPr>
        <w:t>Court Services Victoria acknowledges Aboriginal and Torres Strait Islander peoples as the First Peoples and Traditional Owners and Custodians of the land and waterways upon which our lives depend.</w:t>
      </w:r>
    </w:p>
    <w:p w14:paraId="28A5DEE2" w14:textId="77777777" w:rsidR="00A63F7C" w:rsidRPr="00701832" w:rsidRDefault="00A63F7C" w:rsidP="00A63F7C">
      <w:pPr>
        <w:pStyle w:val="HighlightBoxText"/>
        <w:rPr>
          <w:sz w:val="20"/>
        </w:rPr>
      </w:pPr>
      <w:r w:rsidRPr="00701832">
        <w:rPr>
          <w:sz w:val="20"/>
        </w:rPr>
        <w:t>Court Services Victoria acknowledges and pays respects to ancestors of this country, Elders, knowledge holders and leaders – past and present.</w:t>
      </w:r>
    </w:p>
    <w:p w14:paraId="79647E99" w14:textId="6D6B22F2" w:rsidR="00A63F7C" w:rsidRPr="00701832" w:rsidRDefault="00A63F7C" w:rsidP="009E0174">
      <w:pPr>
        <w:pStyle w:val="HighlightBoxText"/>
        <w:rPr>
          <w:sz w:val="20"/>
        </w:rPr>
      </w:pPr>
      <w:r w:rsidRPr="00701832">
        <w:rPr>
          <w:sz w:val="20"/>
        </w:rPr>
        <w:t>Court Services Victoria extends that respect to all Aboriginal and Torres Strait Islander peoples. Court Services Victoria acknowledges the ongoing leadership of Aboriginal communities across Victoria in striving to build on these strengths to address inequalities and improve Aboriginal justice outcomes.</w:t>
      </w:r>
    </w:p>
    <w:p w14:paraId="6CF21A95" w14:textId="16E17752" w:rsidR="00E45655" w:rsidRDefault="00E45655" w:rsidP="00E45655">
      <w:pPr>
        <w:pStyle w:val="Heading1"/>
        <w:numPr>
          <w:ilvl w:val="0"/>
          <w:numId w:val="0"/>
        </w:numPr>
        <w:ind w:left="454" w:hanging="454"/>
      </w:pPr>
      <w:bookmarkStart w:id="1" w:name="_Toc182599244"/>
      <w:r>
        <w:t>Background</w:t>
      </w:r>
      <w:bookmarkEnd w:id="1"/>
    </w:p>
    <w:p w14:paraId="42961641" w14:textId="12E096E1" w:rsidR="00E45655" w:rsidRPr="00701832" w:rsidRDefault="00E45655" w:rsidP="00E45655">
      <w:pPr>
        <w:pStyle w:val="BodyText"/>
        <w:rPr>
          <w:sz w:val="20"/>
          <w:szCs w:val="20"/>
        </w:rPr>
      </w:pPr>
      <w:r w:rsidRPr="00701832">
        <w:rPr>
          <w:sz w:val="20"/>
          <w:szCs w:val="20"/>
        </w:rPr>
        <w:t xml:space="preserve">As a defined entity under the </w:t>
      </w:r>
      <w:r w:rsidRPr="00701832">
        <w:rPr>
          <w:i/>
          <w:iCs/>
          <w:sz w:val="20"/>
          <w:szCs w:val="20"/>
        </w:rPr>
        <w:t>Gender Equality Act 2020</w:t>
      </w:r>
      <w:r w:rsidRPr="00701832">
        <w:rPr>
          <w:sz w:val="20"/>
          <w:szCs w:val="20"/>
        </w:rPr>
        <w:t xml:space="preserve"> (the Act), Court Services Victoria (CSV) must publicly report on progress towards gender equality in its workplaces and in its public policies, programs and services every two years. Reporting on progress ensures that organisations covered by the Act are meeting their obligations</w:t>
      </w:r>
    </w:p>
    <w:p w14:paraId="042C51A9" w14:textId="77777777" w:rsidR="002A0F81" w:rsidRPr="00701832" w:rsidRDefault="002A0F81" w:rsidP="00E45655">
      <w:pPr>
        <w:pStyle w:val="BodyText"/>
        <w:rPr>
          <w:sz w:val="20"/>
          <w:szCs w:val="20"/>
        </w:rPr>
      </w:pPr>
      <w:r w:rsidRPr="00701832">
        <w:rPr>
          <w:sz w:val="20"/>
          <w:szCs w:val="20"/>
        </w:rPr>
        <w:t xml:space="preserve">In February 2024, CSV was required to: </w:t>
      </w:r>
    </w:p>
    <w:p w14:paraId="3345669C" w14:textId="72CE8026" w:rsidR="002A0F81" w:rsidRPr="00701832" w:rsidRDefault="002A0F81" w:rsidP="00E45655">
      <w:pPr>
        <w:pStyle w:val="BodyText"/>
        <w:numPr>
          <w:ilvl w:val="0"/>
          <w:numId w:val="17"/>
        </w:numPr>
        <w:rPr>
          <w:sz w:val="20"/>
          <w:szCs w:val="20"/>
        </w:rPr>
      </w:pPr>
      <w:r w:rsidRPr="00701832">
        <w:rPr>
          <w:sz w:val="20"/>
          <w:szCs w:val="20"/>
        </w:rPr>
        <w:t>complete a progress data audit to collect, compare, and submit information about workplace gender equality at CSV</w:t>
      </w:r>
    </w:p>
    <w:p w14:paraId="6FC15081" w14:textId="48DB9A22" w:rsidR="002A0F81" w:rsidRPr="00701832" w:rsidRDefault="002A0F81" w:rsidP="00E45655">
      <w:pPr>
        <w:pStyle w:val="BodyText"/>
        <w:numPr>
          <w:ilvl w:val="0"/>
          <w:numId w:val="17"/>
        </w:numPr>
        <w:rPr>
          <w:sz w:val="20"/>
          <w:szCs w:val="20"/>
        </w:rPr>
      </w:pPr>
      <w:r w:rsidRPr="00701832">
        <w:rPr>
          <w:sz w:val="20"/>
          <w:szCs w:val="20"/>
        </w:rPr>
        <w:t xml:space="preserve">submit a progress report, drawing on our audit data and other information, to demonstrate whether our actions are achieving positive change towards workplace gender equality, and in our public programs, policies and services. </w:t>
      </w:r>
    </w:p>
    <w:p w14:paraId="72D35565" w14:textId="20238617" w:rsidR="00E63F2A" w:rsidRPr="00701832" w:rsidRDefault="002A0F81" w:rsidP="00D64DD2">
      <w:pPr>
        <w:pStyle w:val="BodyText"/>
        <w:rPr>
          <w:sz w:val="20"/>
          <w:szCs w:val="20"/>
        </w:rPr>
      </w:pPr>
      <w:r w:rsidRPr="00701832">
        <w:rPr>
          <w:sz w:val="20"/>
          <w:szCs w:val="20"/>
        </w:rPr>
        <w:t>CSV’s progress was assessed by the Commission for Gender Equality in the Public Sector (CGEPS) as compliant with its obligations under the Act on 1 October 2024</w:t>
      </w:r>
      <w:r w:rsidR="00D64DD2" w:rsidRPr="00701832">
        <w:rPr>
          <w:sz w:val="20"/>
          <w:szCs w:val="20"/>
        </w:rPr>
        <w:t>.</w:t>
      </w:r>
    </w:p>
    <w:p w14:paraId="7A2EE0FF" w14:textId="545BD243" w:rsidR="002A3241" w:rsidRPr="00701832" w:rsidRDefault="002A3241" w:rsidP="002A3241">
      <w:pPr>
        <w:pStyle w:val="BodyText"/>
        <w:rPr>
          <w:sz w:val="20"/>
          <w:szCs w:val="20"/>
        </w:rPr>
        <w:sectPr w:rsidR="002A3241" w:rsidRPr="00701832" w:rsidSect="00E45655">
          <w:headerReference w:type="even" r:id="rId13"/>
          <w:footerReference w:type="even" r:id="rId14"/>
          <w:type w:val="continuous"/>
          <w:pgSz w:w="11907" w:h="16838" w:code="9"/>
          <w:pgMar w:top="1134" w:right="1134" w:bottom="1134" w:left="1134" w:header="454" w:footer="454" w:gutter="0"/>
          <w:cols w:space="340"/>
          <w:docGrid w:linePitch="360"/>
        </w:sectPr>
      </w:pPr>
      <w:r w:rsidRPr="00701832">
        <w:rPr>
          <w:sz w:val="20"/>
          <w:szCs w:val="20"/>
        </w:rPr>
        <w:t xml:space="preserve">The next sections detail progress against the strategies and measure in </w:t>
      </w:r>
      <w:r w:rsidR="00583F98" w:rsidRPr="00701832">
        <w:rPr>
          <w:sz w:val="20"/>
          <w:szCs w:val="20"/>
        </w:rPr>
        <w:t>CSV’s</w:t>
      </w:r>
      <w:r w:rsidRPr="00701832">
        <w:rPr>
          <w:sz w:val="20"/>
          <w:szCs w:val="20"/>
        </w:rPr>
        <w:t xml:space="preserve"> Gender Equality </w:t>
      </w:r>
      <w:r w:rsidR="006D1EF4" w:rsidRPr="00701832">
        <w:rPr>
          <w:sz w:val="20"/>
          <w:szCs w:val="20"/>
        </w:rPr>
        <w:t>A</w:t>
      </w:r>
      <w:r w:rsidRPr="00701832">
        <w:rPr>
          <w:sz w:val="20"/>
          <w:szCs w:val="20"/>
        </w:rPr>
        <w:t>ction Plan</w:t>
      </w:r>
      <w:r w:rsidR="000F4407" w:rsidRPr="00701832">
        <w:rPr>
          <w:sz w:val="20"/>
          <w:szCs w:val="20"/>
        </w:rPr>
        <w:t xml:space="preserve"> (GEAP)</w:t>
      </w:r>
      <w:r w:rsidRPr="00701832">
        <w:rPr>
          <w:sz w:val="20"/>
          <w:szCs w:val="20"/>
        </w:rPr>
        <w:t>, the</w:t>
      </w:r>
      <w:r w:rsidR="00065587" w:rsidRPr="00701832">
        <w:rPr>
          <w:sz w:val="20"/>
          <w:szCs w:val="20"/>
        </w:rPr>
        <w:t xml:space="preserve"> </w:t>
      </w:r>
      <w:r w:rsidRPr="00701832">
        <w:rPr>
          <w:sz w:val="20"/>
          <w:szCs w:val="20"/>
        </w:rPr>
        <w:t>Workplace Gender Equality Indicators, as well as detailing the Gender Impact Assessments</w:t>
      </w:r>
      <w:r w:rsidR="000F4407" w:rsidRPr="00701832">
        <w:rPr>
          <w:sz w:val="20"/>
          <w:szCs w:val="20"/>
        </w:rPr>
        <w:t xml:space="preserve"> (GIAs)</w:t>
      </w:r>
      <w:r w:rsidRPr="00701832">
        <w:rPr>
          <w:sz w:val="20"/>
          <w:szCs w:val="20"/>
        </w:rPr>
        <w:t xml:space="preserve"> </w:t>
      </w:r>
      <w:r w:rsidR="00583F98" w:rsidRPr="00701832">
        <w:rPr>
          <w:sz w:val="20"/>
          <w:szCs w:val="20"/>
        </w:rPr>
        <w:t>undertaken</w:t>
      </w:r>
      <w:r w:rsidRPr="00701832">
        <w:rPr>
          <w:sz w:val="20"/>
          <w:szCs w:val="20"/>
        </w:rPr>
        <w:t>.</w:t>
      </w:r>
    </w:p>
    <w:p w14:paraId="1533C55A" w14:textId="77777777" w:rsidR="00E45655" w:rsidRDefault="00E45655" w:rsidP="006F74E8">
      <w:pPr>
        <w:pStyle w:val="Caption"/>
        <w:sectPr w:rsidR="00E45655" w:rsidSect="005703CD">
          <w:headerReference w:type="first" r:id="rId15"/>
          <w:footerReference w:type="first" r:id="rId16"/>
          <w:pgSz w:w="16838" w:h="11907" w:orient="landscape" w:code="9"/>
          <w:pgMar w:top="1134" w:right="1134" w:bottom="1134" w:left="1134" w:header="454" w:footer="454" w:gutter="0"/>
          <w:cols w:space="340"/>
          <w:docGrid w:linePitch="360"/>
        </w:sectPr>
      </w:pPr>
    </w:p>
    <w:p w14:paraId="737AA0BA" w14:textId="7DACC38D" w:rsidR="00234F87" w:rsidRDefault="004B3737" w:rsidP="00763B25">
      <w:pPr>
        <w:pStyle w:val="Heading1"/>
      </w:pPr>
      <w:bookmarkStart w:id="2" w:name="_Toc182599245"/>
      <w:r>
        <w:t>Progress against Strategies and Measures</w:t>
      </w:r>
      <w:bookmarkEnd w:id="2"/>
      <w:r>
        <w:t xml:space="preserve"> </w:t>
      </w:r>
    </w:p>
    <w:tbl>
      <w:tblPr>
        <w:tblStyle w:val="TableGrid"/>
        <w:tblW w:w="5000" w:type="pct"/>
        <w:tblLook w:val="06A0" w:firstRow="1" w:lastRow="0" w:firstColumn="1" w:lastColumn="0" w:noHBand="1" w:noVBand="1"/>
      </w:tblPr>
      <w:tblGrid>
        <w:gridCol w:w="3969"/>
        <w:gridCol w:w="1276"/>
        <w:gridCol w:w="9325"/>
      </w:tblGrid>
      <w:tr w:rsidR="00DA3BC5" w14:paraId="799B12F3" w14:textId="77777777" w:rsidTr="002A3241">
        <w:trPr>
          <w:cnfStyle w:val="100000000000" w:firstRow="1" w:lastRow="0" w:firstColumn="0" w:lastColumn="0" w:oddVBand="0" w:evenVBand="0" w:oddHBand="0" w:evenHBand="0" w:firstRowFirstColumn="0" w:firstRowLastColumn="0" w:lastRowFirstColumn="0" w:lastRowLastColumn="0"/>
          <w:tblHeader/>
        </w:trPr>
        <w:tc>
          <w:tcPr>
            <w:tcW w:w="1362" w:type="pct"/>
          </w:tcPr>
          <w:p w14:paraId="4274F6C8" w14:textId="3265F0D7" w:rsidR="00DA3BC5" w:rsidRDefault="00DA3BC5" w:rsidP="00A65F1E">
            <w:pPr>
              <w:pStyle w:val="BodyText"/>
            </w:pPr>
            <w:r>
              <w:t>Strategies and Measures</w:t>
            </w:r>
          </w:p>
        </w:tc>
        <w:tc>
          <w:tcPr>
            <w:tcW w:w="438" w:type="pct"/>
          </w:tcPr>
          <w:p w14:paraId="1C2C3033" w14:textId="0BBEF9FE" w:rsidR="00DA3BC5" w:rsidRDefault="00DA3BC5" w:rsidP="00A65F1E">
            <w:pPr>
              <w:pStyle w:val="BodyText"/>
            </w:pPr>
            <w:r>
              <w:t>Status</w:t>
            </w:r>
          </w:p>
        </w:tc>
        <w:tc>
          <w:tcPr>
            <w:tcW w:w="3200" w:type="pct"/>
          </w:tcPr>
          <w:p w14:paraId="6641CA53" w14:textId="5E7E948C" w:rsidR="00DA3BC5" w:rsidRDefault="00DA3BC5" w:rsidP="00A65F1E">
            <w:pPr>
              <w:pStyle w:val="BodyText"/>
            </w:pPr>
            <w:r>
              <w:t xml:space="preserve">Status description </w:t>
            </w:r>
          </w:p>
        </w:tc>
      </w:tr>
      <w:tr w:rsidR="00ED1EA4" w:rsidRPr="00EF32E8" w14:paraId="38668A7E" w14:textId="77777777" w:rsidTr="002A3241">
        <w:tblPrEx>
          <w:tblLook w:val="04A0" w:firstRow="1" w:lastRow="0" w:firstColumn="1" w:lastColumn="0" w:noHBand="0" w:noVBand="1"/>
        </w:tblPrEx>
        <w:trPr>
          <w:trHeight w:val="1515"/>
        </w:trPr>
        <w:tc>
          <w:tcPr>
            <w:tcW w:w="1362" w:type="pct"/>
            <w:hideMark/>
          </w:tcPr>
          <w:p w14:paraId="676778B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1.1 Embed Gender Impact Assessment (GIA) processes across the organisation</w:t>
            </w:r>
          </w:p>
        </w:tc>
        <w:tc>
          <w:tcPr>
            <w:tcW w:w="438" w:type="pct"/>
            <w:hideMark/>
          </w:tcPr>
          <w:p w14:paraId="078EED50"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1132BE9A" w14:textId="77777777" w:rsidR="001A56EB" w:rsidRPr="00901A90" w:rsidRDefault="001A56EB" w:rsidP="00F907C8">
            <w:pPr>
              <w:spacing w:after="0" w:line="240" w:lineRule="auto"/>
              <w:rPr>
                <w:rFonts w:ascii="Arial" w:hAnsi="Arial" w:cs="Arial"/>
                <w:color w:val="000000"/>
                <w:sz w:val="20"/>
                <w:szCs w:val="20"/>
              </w:rPr>
            </w:pPr>
            <w:r w:rsidRPr="00901A90">
              <w:rPr>
                <w:rFonts w:ascii="Arial" w:hAnsi="Arial" w:cs="Arial"/>
                <w:color w:val="000000"/>
                <w:sz w:val="20"/>
                <w:szCs w:val="20"/>
              </w:rPr>
              <w:t>This measure is ongoing; however, CSV did complete all actions:</w:t>
            </w:r>
          </w:p>
          <w:p w14:paraId="62C6D7AF" w14:textId="77777777" w:rsidR="001A56EB" w:rsidRPr="00901A90" w:rsidRDefault="001A56EB" w:rsidP="001A56EB">
            <w:pPr>
              <w:pStyle w:val="ListParagraph"/>
              <w:numPr>
                <w:ilvl w:val="0"/>
                <w:numId w:val="12"/>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Incorporated GIAs into the CSV Project Management System, processes, and resources.</w:t>
            </w:r>
          </w:p>
          <w:p w14:paraId="014D4831" w14:textId="77777777" w:rsidR="001A56EB" w:rsidRPr="00901A90" w:rsidRDefault="001A56EB" w:rsidP="001A56EB">
            <w:pPr>
              <w:pStyle w:val="ListParagraph"/>
              <w:numPr>
                <w:ilvl w:val="0"/>
                <w:numId w:val="12"/>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Incorporated GIAs into the annual budget bid process.</w:t>
            </w:r>
          </w:p>
          <w:p w14:paraId="0CD73DB2" w14:textId="77777777" w:rsidR="001A56EB" w:rsidRPr="00901A90" w:rsidRDefault="001A56EB" w:rsidP="001A56EB">
            <w:pPr>
              <w:pStyle w:val="ListParagraph"/>
              <w:numPr>
                <w:ilvl w:val="0"/>
                <w:numId w:val="12"/>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 xml:space="preserve">Delivered GIA training to key employees (via an external provider and internally via our DEI Manager). </w:t>
            </w:r>
            <w:r w:rsidRPr="00901A90">
              <w:rPr>
                <w:rFonts w:ascii="Arial" w:eastAsia="Times New Roman" w:hAnsi="Arial" w:cs="Arial"/>
                <w:color w:val="000000"/>
                <w:kern w:val="0"/>
                <w:sz w:val="20"/>
                <w:szCs w:val="20"/>
                <w:lang w:eastAsia="en-AU"/>
                <w14:ligatures w14:val="none"/>
              </w:rPr>
              <w:br/>
              <w:t>Formed a Gender Equality Advisory Group with diverse membership and representation across CSV to assist with GIAs.</w:t>
            </w:r>
          </w:p>
        </w:tc>
      </w:tr>
      <w:tr w:rsidR="00ED1EA4" w:rsidRPr="00EF32E8" w14:paraId="7E25C7E8" w14:textId="77777777" w:rsidTr="002A3241">
        <w:tblPrEx>
          <w:tblLook w:val="04A0" w:firstRow="1" w:lastRow="0" w:firstColumn="1" w:lastColumn="0" w:noHBand="0" w:noVBand="1"/>
        </w:tblPrEx>
        <w:trPr>
          <w:trHeight w:val="850"/>
        </w:trPr>
        <w:tc>
          <w:tcPr>
            <w:tcW w:w="1362" w:type="pct"/>
            <w:hideMark/>
          </w:tcPr>
          <w:p w14:paraId="50DBC4E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1.2 Develop an overarching People Strategy to establish future directions and guide investments that support and develop our people.</w:t>
            </w:r>
          </w:p>
        </w:tc>
        <w:tc>
          <w:tcPr>
            <w:tcW w:w="438" w:type="pct"/>
            <w:hideMark/>
          </w:tcPr>
          <w:p w14:paraId="1A1E7C4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1E92BB3D" w14:textId="353509F9"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CSV finalised its inaugural Court Services Victoria People Strategy 2023-2026 during the reporting period.</w:t>
            </w:r>
          </w:p>
        </w:tc>
      </w:tr>
      <w:tr w:rsidR="00ED1EA4" w:rsidRPr="00EF32E8" w14:paraId="1CEBC617" w14:textId="77777777" w:rsidTr="002A3241">
        <w:tblPrEx>
          <w:tblLook w:val="04A0" w:firstRow="1" w:lastRow="0" w:firstColumn="1" w:lastColumn="0" w:noHBand="0" w:noVBand="1"/>
        </w:tblPrEx>
        <w:trPr>
          <w:trHeight w:val="2010"/>
        </w:trPr>
        <w:tc>
          <w:tcPr>
            <w:tcW w:w="1362" w:type="pct"/>
            <w:hideMark/>
          </w:tcPr>
          <w:p w14:paraId="0A730AB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1.3 Develop an inclusive leadership program to cover topics such as gender and pronouns, intersectionality, disability in the workplace, lateral violence, and inclusive leadership behaviours.</w:t>
            </w:r>
          </w:p>
        </w:tc>
        <w:tc>
          <w:tcPr>
            <w:tcW w:w="438" w:type="pct"/>
            <w:hideMark/>
          </w:tcPr>
          <w:p w14:paraId="7A6DE21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6486A81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The intention of this measure was to develop a whole of CSV inclusive leadership program, however several factors meant that CSV implemented this measure in a slightly different way and implementation is ongoing.</w:t>
            </w:r>
            <w:r w:rsidRPr="00EF32E8">
              <w:rPr>
                <w:rFonts w:ascii="Arial" w:hAnsi="Arial" w:cs="Arial"/>
                <w:color w:val="000000"/>
                <w:sz w:val="20"/>
                <w:szCs w:val="20"/>
              </w:rPr>
              <w:br/>
              <w:t>A Director of Leadership and Culture was appointed in September 2022 and undertook significant consultation to reach consensus about the content and timing of delivery for this program. It was found that due to the different needs of each jurisdiction, and the different workforces they support, a one-size-fits all program was not the best approach.</w:t>
            </w:r>
            <w:r w:rsidRPr="00EF32E8">
              <w:rPr>
                <w:rFonts w:ascii="Arial" w:hAnsi="Arial" w:cs="Arial"/>
                <w:color w:val="000000"/>
                <w:sz w:val="20"/>
                <w:szCs w:val="20"/>
              </w:rPr>
              <w:br/>
              <w:t xml:space="preserve">Instead of delivering a standalone program, CSV has concentrated on offering a range of training (both face-to-face and online) for its leaders which can be undertaken throughout the year. </w:t>
            </w:r>
            <w:r w:rsidRPr="00EF32E8">
              <w:rPr>
                <w:rFonts w:ascii="Arial" w:hAnsi="Arial" w:cs="Arial"/>
                <w:color w:val="000000"/>
                <w:sz w:val="20"/>
                <w:szCs w:val="20"/>
              </w:rPr>
              <w:br/>
              <w:t xml:space="preserve">CSV currently offers training on LGBTQIA+ inclusion, Koori Cultural Safety, optimising respect in the workplace, sexual harassment, gender equity, disability, cultural competence, and unconscious bias. </w:t>
            </w:r>
            <w:r w:rsidRPr="00EF32E8">
              <w:rPr>
                <w:rFonts w:ascii="Arial" w:hAnsi="Arial" w:cs="Arial"/>
                <w:color w:val="000000"/>
                <w:sz w:val="20"/>
                <w:szCs w:val="20"/>
              </w:rPr>
              <w:br/>
              <w:t>Courts Executive members and People and Culture leaders have regular community of practice sessions with a specialised educator on sexual harassment and addressing inappropriate workplace behaviours.</w:t>
            </w:r>
          </w:p>
        </w:tc>
      </w:tr>
      <w:tr w:rsidR="00ED1EA4" w:rsidRPr="00EF32E8" w14:paraId="204C3EA0" w14:textId="77777777" w:rsidTr="002A3241">
        <w:tblPrEx>
          <w:tblLook w:val="04A0" w:firstRow="1" w:lastRow="0" w:firstColumn="1" w:lastColumn="0" w:noHBand="0" w:noVBand="1"/>
        </w:tblPrEx>
        <w:trPr>
          <w:trHeight w:val="577"/>
        </w:trPr>
        <w:tc>
          <w:tcPr>
            <w:tcW w:w="1362" w:type="pct"/>
            <w:hideMark/>
          </w:tcPr>
          <w:p w14:paraId="1C1B0F4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1.4 Deliver employee training programs, guidance materials and supports for diversity, inclusion and intersectionality including LGBTIQ+, disability, cultural and faith awareness</w:t>
            </w:r>
          </w:p>
        </w:tc>
        <w:tc>
          <w:tcPr>
            <w:tcW w:w="438" w:type="pct"/>
            <w:hideMark/>
          </w:tcPr>
          <w:p w14:paraId="55254BF0"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12DF24C9" w14:textId="77777777" w:rsidR="001A56EB" w:rsidRPr="00901A90" w:rsidRDefault="001A56EB" w:rsidP="00F907C8">
            <w:pPr>
              <w:spacing w:after="0" w:line="240" w:lineRule="auto"/>
              <w:rPr>
                <w:rFonts w:ascii="Arial" w:hAnsi="Arial" w:cs="Arial"/>
                <w:color w:val="000000"/>
                <w:sz w:val="20"/>
                <w:szCs w:val="20"/>
              </w:rPr>
            </w:pPr>
            <w:r w:rsidRPr="00901A90">
              <w:rPr>
                <w:rFonts w:ascii="Arial" w:hAnsi="Arial" w:cs="Arial"/>
                <w:color w:val="000000"/>
                <w:sz w:val="20"/>
                <w:szCs w:val="20"/>
              </w:rPr>
              <w:t>A key finding in CSV’s GEAP was the desire among employees for more training and guidance on gender equality, diversity, and inclusion. This measure is ongoing; however, CSV did complete all the actions:</w:t>
            </w:r>
          </w:p>
          <w:p w14:paraId="1592EA65" w14:textId="77777777" w:rsidR="001A56EB" w:rsidRPr="00901A90" w:rsidRDefault="001A56EB" w:rsidP="001A56EB">
            <w:pPr>
              <w:pStyle w:val="ListParagraph"/>
              <w:numPr>
                <w:ilvl w:val="0"/>
                <w:numId w:val="13"/>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Scoped and delivered training programs.</w:t>
            </w:r>
          </w:p>
          <w:p w14:paraId="4036E115" w14:textId="77777777" w:rsidR="001A56EB" w:rsidRPr="00901A90" w:rsidRDefault="001A56EB" w:rsidP="001A56EB">
            <w:pPr>
              <w:pStyle w:val="ListParagraph"/>
              <w:numPr>
                <w:ilvl w:val="0"/>
                <w:numId w:val="13"/>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Created a dedicated diversity intranet space including guidance and learning materials to support employee education and reinforce expectations of inclusive and respectful behaviours.</w:t>
            </w:r>
          </w:p>
          <w:p w14:paraId="1465CBE8" w14:textId="77777777" w:rsidR="001A56EB" w:rsidRPr="00901A90" w:rsidRDefault="001A56EB" w:rsidP="001A56EB">
            <w:pPr>
              <w:pStyle w:val="ListParagraph"/>
              <w:numPr>
                <w:ilvl w:val="0"/>
                <w:numId w:val="13"/>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 xml:space="preserve">Created Gender Affirmation guidelines to support the VPS Gender Transition Leave Policy. </w:t>
            </w:r>
          </w:p>
        </w:tc>
      </w:tr>
      <w:tr w:rsidR="00ED1EA4" w:rsidRPr="00EF32E8" w14:paraId="4184763F" w14:textId="77777777" w:rsidTr="002A3241">
        <w:tblPrEx>
          <w:tblLook w:val="04A0" w:firstRow="1" w:lastRow="0" w:firstColumn="1" w:lastColumn="0" w:noHBand="0" w:noVBand="1"/>
        </w:tblPrEx>
        <w:trPr>
          <w:trHeight w:val="1408"/>
        </w:trPr>
        <w:tc>
          <w:tcPr>
            <w:tcW w:w="1362" w:type="pct"/>
            <w:hideMark/>
          </w:tcPr>
          <w:p w14:paraId="280B5492"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1.5 Support the development of employee led networks (e.g. Enablers Network, Pride Network).</w:t>
            </w:r>
          </w:p>
        </w:tc>
        <w:tc>
          <w:tcPr>
            <w:tcW w:w="438" w:type="pct"/>
            <w:hideMark/>
          </w:tcPr>
          <w:p w14:paraId="55B833B6"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16A4C2AF" w14:textId="77777777" w:rsidR="001A56EB" w:rsidRPr="00901A90" w:rsidRDefault="001A56EB" w:rsidP="00F907C8">
            <w:pPr>
              <w:spacing w:after="0" w:line="240" w:lineRule="auto"/>
              <w:rPr>
                <w:rFonts w:ascii="Arial" w:hAnsi="Arial" w:cs="Arial"/>
                <w:color w:val="000000"/>
                <w:sz w:val="20"/>
                <w:szCs w:val="20"/>
              </w:rPr>
            </w:pPr>
            <w:r w:rsidRPr="00901A90">
              <w:rPr>
                <w:rFonts w:ascii="Arial" w:hAnsi="Arial" w:cs="Arial"/>
                <w:color w:val="000000"/>
                <w:sz w:val="20"/>
                <w:szCs w:val="20"/>
              </w:rPr>
              <w:t>This measure is ongoing however CSV did support the development of three groups within the reporting period</w:t>
            </w:r>
          </w:p>
          <w:p w14:paraId="49CD66D3" w14:textId="77777777" w:rsidR="001A56EB" w:rsidRPr="00901A90" w:rsidRDefault="001A56EB" w:rsidP="001A56EB">
            <w:pPr>
              <w:pStyle w:val="ListParagraph"/>
              <w:numPr>
                <w:ilvl w:val="0"/>
                <w:numId w:val="14"/>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The Pride at CSV and Courts Group Network.</w:t>
            </w:r>
          </w:p>
          <w:p w14:paraId="67EE8FC8" w14:textId="77777777" w:rsidR="001A56EB" w:rsidRPr="00901A90" w:rsidRDefault="001A56EB" w:rsidP="001A56EB">
            <w:pPr>
              <w:pStyle w:val="ListParagraph"/>
              <w:numPr>
                <w:ilvl w:val="0"/>
                <w:numId w:val="14"/>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The Gender Equality Advisory Group</w:t>
            </w:r>
          </w:p>
          <w:p w14:paraId="460ED169" w14:textId="77777777" w:rsidR="001A56EB" w:rsidRPr="00901A90" w:rsidRDefault="001A56EB" w:rsidP="001A56EB">
            <w:pPr>
              <w:pStyle w:val="ListParagraph"/>
              <w:numPr>
                <w:ilvl w:val="0"/>
                <w:numId w:val="14"/>
              </w:numPr>
              <w:spacing w:after="0" w:line="240" w:lineRule="auto"/>
              <w:rPr>
                <w:rFonts w:ascii="Arial" w:eastAsia="Times New Roman" w:hAnsi="Arial" w:cs="Arial"/>
                <w:color w:val="000000"/>
                <w:kern w:val="0"/>
                <w:sz w:val="20"/>
                <w:szCs w:val="20"/>
                <w:lang w:eastAsia="en-AU"/>
                <w14:ligatures w14:val="none"/>
              </w:rPr>
            </w:pPr>
            <w:r w:rsidRPr="00901A90">
              <w:rPr>
                <w:rFonts w:ascii="Arial" w:eastAsia="Times New Roman" w:hAnsi="Arial" w:cs="Arial"/>
                <w:color w:val="000000"/>
                <w:kern w:val="0"/>
                <w:sz w:val="20"/>
                <w:szCs w:val="20"/>
                <w:lang w:eastAsia="en-AU"/>
                <w14:ligatures w14:val="none"/>
              </w:rPr>
              <w:t>Supreme Court Diversity Working Groups.</w:t>
            </w:r>
          </w:p>
        </w:tc>
      </w:tr>
      <w:tr w:rsidR="00ED1EA4" w:rsidRPr="00EF32E8" w14:paraId="04E79DB5" w14:textId="77777777" w:rsidTr="002A3241">
        <w:tblPrEx>
          <w:tblLook w:val="04A0" w:firstRow="1" w:lastRow="0" w:firstColumn="1" w:lastColumn="0" w:noHBand="0" w:noVBand="1"/>
        </w:tblPrEx>
        <w:trPr>
          <w:trHeight w:val="3585"/>
        </w:trPr>
        <w:tc>
          <w:tcPr>
            <w:tcW w:w="1362" w:type="pct"/>
            <w:hideMark/>
          </w:tcPr>
          <w:p w14:paraId="11B9253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1.6 Introduce an employee peer support program</w:t>
            </w:r>
          </w:p>
        </w:tc>
        <w:tc>
          <w:tcPr>
            <w:tcW w:w="438" w:type="pct"/>
            <w:hideMark/>
          </w:tcPr>
          <w:p w14:paraId="06D51F5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391F680D"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A focus for CSV’s GEAP was on increased psychological safety. CSV cares about its people and wants to ensure they have multiple avenues of support. In 2022 CSV introduced two employee peer support programs, and this measure is complete. </w:t>
            </w:r>
            <w:r w:rsidRPr="00EF32E8">
              <w:rPr>
                <w:rFonts w:ascii="Arial" w:hAnsi="Arial" w:cs="Arial"/>
                <w:color w:val="000000"/>
                <w:sz w:val="20"/>
                <w:szCs w:val="20"/>
              </w:rPr>
              <w:br/>
            </w:r>
            <w:r w:rsidRPr="00EF32E8">
              <w:rPr>
                <w:rFonts w:ascii="Arial" w:hAnsi="Arial" w:cs="Arial"/>
                <w:color w:val="000000"/>
                <w:sz w:val="20"/>
                <w:szCs w:val="20"/>
              </w:rPr>
              <w:br/>
            </w:r>
            <w:r w:rsidRPr="00EF32E8">
              <w:rPr>
                <w:rFonts w:ascii="Arial" w:hAnsi="Arial" w:cs="Arial"/>
                <w:b/>
                <w:bCs/>
                <w:color w:val="000000"/>
                <w:sz w:val="20"/>
                <w:szCs w:val="20"/>
              </w:rPr>
              <w:t>Peer Support Program</w:t>
            </w:r>
            <w:r w:rsidRPr="00EF32E8">
              <w:rPr>
                <w:rFonts w:ascii="Arial" w:hAnsi="Arial" w:cs="Arial"/>
                <w:color w:val="000000"/>
                <w:sz w:val="20"/>
                <w:szCs w:val="20"/>
              </w:rPr>
              <w:br/>
              <w:t>The Peer Support Program was implemented in October 2022. It is a cross-jurisdictional program designed to help create a safe and supportive workplace where colleagues look out for each other. Peer Supporters were selected after a careful EOI process and received training on mental health and wellbeing and education on the available support pathways for referral if needed.</w:t>
            </w:r>
            <w:r w:rsidRPr="00EF32E8">
              <w:rPr>
                <w:rFonts w:ascii="Arial" w:hAnsi="Arial" w:cs="Arial"/>
                <w:color w:val="000000"/>
                <w:sz w:val="20"/>
                <w:szCs w:val="20"/>
              </w:rPr>
              <w:br/>
              <w:t xml:space="preserve">CSV currently has more than 40 Peer Supporters across the jurisdictions and a dedicated intranet page with profiles of each Peer Supporter. The cohort is diverse and includes women, men, and First Peoples. </w:t>
            </w:r>
            <w:r w:rsidRPr="00EF32E8">
              <w:rPr>
                <w:rFonts w:ascii="Arial" w:hAnsi="Arial" w:cs="Arial"/>
                <w:color w:val="000000"/>
                <w:sz w:val="20"/>
                <w:szCs w:val="20"/>
              </w:rPr>
              <w:br/>
            </w:r>
            <w:r w:rsidRPr="00EF32E8">
              <w:rPr>
                <w:rFonts w:ascii="Arial" w:hAnsi="Arial" w:cs="Arial"/>
                <w:color w:val="000000"/>
                <w:sz w:val="20"/>
                <w:szCs w:val="20"/>
              </w:rPr>
              <w:br/>
            </w:r>
            <w:r w:rsidRPr="00EF32E8">
              <w:rPr>
                <w:rFonts w:ascii="Arial" w:hAnsi="Arial" w:cs="Arial"/>
                <w:b/>
                <w:bCs/>
                <w:color w:val="000000"/>
                <w:sz w:val="20"/>
                <w:szCs w:val="20"/>
              </w:rPr>
              <w:t>Contact Officers</w:t>
            </w:r>
            <w:r w:rsidRPr="00EF32E8">
              <w:rPr>
                <w:rFonts w:ascii="Arial" w:hAnsi="Arial" w:cs="Arial"/>
                <w:color w:val="000000"/>
                <w:sz w:val="20"/>
                <w:szCs w:val="20"/>
              </w:rPr>
              <w:br/>
              <w:t xml:space="preserve">In April 2021 CSV established a Contact Officer Program. Contact Officers receive training from the Victorian Equal Opportunity and Human Rights Commission (VEOHRC) on how to provide advice to those who experience negative workplace behaviours including sexual harassment. Contact Officers are selected after a careful EOI process and receive ongoing training and support from CSV’s dedicated sexual harassment and respect training provider. As of 30 June 2023, CSV had 40 Contact Officers across the jurisdictions. The cohort is diverse and includes women, men, and First Peoples. </w:t>
            </w:r>
          </w:p>
        </w:tc>
      </w:tr>
      <w:tr w:rsidR="00ED1EA4" w:rsidRPr="00EF32E8" w14:paraId="50D12B47" w14:textId="77777777" w:rsidTr="002A3241">
        <w:tblPrEx>
          <w:tblLook w:val="04A0" w:firstRow="1" w:lastRow="0" w:firstColumn="1" w:lastColumn="0" w:noHBand="0" w:noVBand="1"/>
        </w:tblPrEx>
        <w:trPr>
          <w:trHeight w:val="900"/>
        </w:trPr>
        <w:tc>
          <w:tcPr>
            <w:tcW w:w="1362" w:type="pct"/>
            <w:hideMark/>
          </w:tcPr>
          <w:p w14:paraId="4499DA3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1.7 Improve employee development through mentoring and coaching offerings.</w:t>
            </w:r>
          </w:p>
        </w:tc>
        <w:tc>
          <w:tcPr>
            <w:tcW w:w="438" w:type="pct"/>
            <w:hideMark/>
          </w:tcPr>
          <w:p w14:paraId="5D54F89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Not started</w:t>
            </w:r>
          </w:p>
        </w:tc>
        <w:tc>
          <w:tcPr>
            <w:tcW w:w="3200" w:type="pct"/>
            <w:hideMark/>
          </w:tcPr>
          <w:p w14:paraId="1FD1DB2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is due to begin after the reporting period</w:t>
            </w:r>
          </w:p>
        </w:tc>
      </w:tr>
      <w:tr w:rsidR="00ED1EA4" w:rsidRPr="00EF32E8" w14:paraId="1B5E3653" w14:textId="77777777" w:rsidTr="002A3241">
        <w:tblPrEx>
          <w:tblLook w:val="04A0" w:firstRow="1" w:lastRow="0" w:firstColumn="1" w:lastColumn="0" w:noHBand="0" w:noVBand="1"/>
        </w:tblPrEx>
        <w:trPr>
          <w:trHeight w:val="1110"/>
        </w:trPr>
        <w:tc>
          <w:tcPr>
            <w:tcW w:w="1362" w:type="pct"/>
            <w:hideMark/>
          </w:tcPr>
          <w:p w14:paraId="037620E8"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1.8 Introduce an alumni program to establish an ongoing connection with former employees and create a culture where people are welcomed back and are advocates for working in Courts.</w:t>
            </w:r>
          </w:p>
        </w:tc>
        <w:tc>
          <w:tcPr>
            <w:tcW w:w="438" w:type="pct"/>
            <w:hideMark/>
          </w:tcPr>
          <w:p w14:paraId="65D91D26"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Not started</w:t>
            </w:r>
          </w:p>
        </w:tc>
        <w:tc>
          <w:tcPr>
            <w:tcW w:w="3200" w:type="pct"/>
            <w:hideMark/>
          </w:tcPr>
          <w:p w14:paraId="554035D6"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is due to begin after the reporting period</w:t>
            </w:r>
          </w:p>
        </w:tc>
      </w:tr>
      <w:tr w:rsidR="00ED1EA4" w:rsidRPr="00EF32E8" w14:paraId="0EF40551" w14:textId="77777777" w:rsidTr="002A3241">
        <w:tblPrEx>
          <w:tblLook w:val="04A0" w:firstRow="1" w:lastRow="0" w:firstColumn="1" w:lastColumn="0" w:noHBand="0" w:noVBand="1"/>
        </w:tblPrEx>
        <w:trPr>
          <w:trHeight w:val="436"/>
        </w:trPr>
        <w:tc>
          <w:tcPr>
            <w:tcW w:w="1362" w:type="pct"/>
            <w:hideMark/>
          </w:tcPr>
          <w:p w14:paraId="0856D0F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2.1 Respond to and prevent sexual harassment in the workplace.</w:t>
            </w:r>
          </w:p>
        </w:tc>
        <w:tc>
          <w:tcPr>
            <w:tcW w:w="438" w:type="pct"/>
            <w:hideMark/>
          </w:tcPr>
          <w:p w14:paraId="059C54A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59683CD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CSV has had a significant focus on the elimination of sexual harassment in its workplaces over the reporting period. The work has been guided by the independent Review of Sexual Harassment in Victorian Courts which was jointly commissioned by the Victorian Chief Justice and the then Victorian Attorney-General to determine the extent of sexual harassment in the state’s legal profession. The </w:t>
            </w:r>
            <w:r w:rsidRPr="00EF32E8">
              <w:rPr>
                <w:rFonts w:ascii="Arial" w:hAnsi="Arial" w:cs="Arial"/>
                <w:color w:val="000000"/>
                <w:sz w:val="20"/>
                <w:szCs w:val="20"/>
              </w:rPr>
              <w:lastRenderedPageBreak/>
              <w:t xml:space="preserve">review, led by Dr Helen Szoke AO (Szoke Review), made 20 recommendations, 11 of which were made to CSV. Ten of the 11 recommendations have now been acquitted. This measure is ongoing; however, the following summarises the work completed during the reporting period: </w:t>
            </w:r>
            <w:r w:rsidRPr="00EF32E8">
              <w:rPr>
                <w:rFonts w:ascii="Arial" w:hAnsi="Arial" w:cs="Arial"/>
                <w:color w:val="000000"/>
                <w:sz w:val="20"/>
                <w:szCs w:val="20"/>
              </w:rPr>
              <w:br/>
            </w:r>
            <w:r w:rsidRPr="00EF32E8">
              <w:rPr>
                <w:rFonts w:ascii="Arial" w:hAnsi="Arial" w:cs="Arial"/>
                <w:b/>
                <w:bCs/>
                <w:color w:val="000000"/>
                <w:sz w:val="20"/>
                <w:szCs w:val="20"/>
              </w:rPr>
              <w:t>Prevention/Training</w:t>
            </w:r>
            <w:r w:rsidRPr="00EF32E8">
              <w:rPr>
                <w:rFonts w:ascii="Arial" w:hAnsi="Arial" w:cs="Arial"/>
                <w:color w:val="000000"/>
                <w:sz w:val="20"/>
                <w:szCs w:val="20"/>
              </w:rPr>
              <w:br/>
              <w:t>A comprehensive training program for employees, managers, senior leaders, and judicial officers to help people identify, respond to, and call out sexual harassment and other inappropriate behaviours was developed and delivered.</w:t>
            </w:r>
            <w:r w:rsidRPr="00EF32E8">
              <w:rPr>
                <w:rFonts w:ascii="Arial" w:hAnsi="Arial" w:cs="Arial"/>
                <w:color w:val="000000"/>
                <w:sz w:val="20"/>
                <w:szCs w:val="20"/>
              </w:rPr>
              <w:br/>
              <w:t>The compulsory training for managers focusses on the positive duty under equal opportunity law to address the causes of sexual harassment (including intersectional gender inequality). The focus for employees is on identifying inappropriate behaviours and highlighting avenues for support and resolution.</w:t>
            </w:r>
            <w:r w:rsidRPr="00EF32E8">
              <w:rPr>
                <w:rFonts w:ascii="Arial" w:hAnsi="Arial" w:cs="Arial"/>
                <w:color w:val="000000"/>
                <w:sz w:val="20"/>
                <w:szCs w:val="20"/>
              </w:rPr>
              <w:br/>
            </w:r>
            <w:r w:rsidRPr="00EF32E8">
              <w:rPr>
                <w:rFonts w:ascii="Arial" w:hAnsi="Arial" w:cs="Arial"/>
                <w:b/>
                <w:bCs/>
                <w:color w:val="000000"/>
                <w:sz w:val="20"/>
                <w:szCs w:val="20"/>
              </w:rPr>
              <w:t xml:space="preserve">Accountability  </w:t>
            </w:r>
            <w:r w:rsidRPr="00EF32E8">
              <w:rPr>
                <w:rFonts w:ascii="Arial" w:hAnsi="Arial" w:cs="Arial"/>
                <w:color w:val="000000"/>
                <w:sz w:val="20"/>
                <w:szCs w:val="20"/>
              </w:rPr>
              <w:br/>
              <w:t>To ensure completion and accountability, training is part of performance metrics and has been embedded in all employee and manager performance plans as minimum behaviour expectations.</w:t>
            </w:r>
            <w:r w:rsidRPr="00EF32E8">
              <w:rPr>
                <w:rFonts w:ascii="Arial" w:hAnsi="Arial" w:cs="Arial"/>
                <w:color w:val="000000"/>
                <w:sz w:val="20"/>
                <w:szCs w:val="20"/>
              </w:rPr>
              <w:br/>
              <w:t>To ensure CSV’s approach is informed by specific expertise, an independent expert on sexual harassment prevention and organisational change was appointed to CSV’s Health, Safety and Culture Committee in September 2021.</w:t>
            </w:r>
            <w:r w:rsidRPr="00EF32E8">
              <w:rPr>
                <w:rFonts w:ascii="Arial" w:hAnsi="Arial" w:cs="Arial"/>
                <w:color w:val="000000"/>
                <w:sz w:val="20"/>
                <w:szCs w:val="20"/>
              </w:rPr>
              <w:br/>
            </w:r>
            <w:r w:rsidRPr="00EF32E8">
              <w:rPr>
                <w:rFonts w:ascii="Arial" w:hAnsi="Arial" w:cs="Arial"/>
                <w:b/>
                <w:bCs/>
                <w:color w:val="000000"/>
                <w:sz w:val="20"/>
                <w:szCs w:val="20"/>
              </w:rPr>
              <w:t xml:space="preserve">Response </w:t>
            </w:r>
            <w:r w:rsidRPr="00EF32E8">
              <w:rPr>
                <w:rFonts w:ascii="Arial" w:hAnsi="Arial" w:cs="Arial"/>
                <w:color w:val="000000"/>
                <w:sz w:val="20"/>
                <w:szCs w:val="20"/>
              </w:rPr>
              <w:br/>
              <w:t>To increase confidence to speak up, a revised trauma-informed, victim-survivor-centred reporting and resolution process was launched in June 2022.</w:t>
            </w:r>
            <w:r w:rsidRPr="00EF32E8">
              <w:rPr>
                <w:rFonts w:ascii="Arial" w:hAnsi="Arial" w:cs="Arial"/>
                <w:color w:val="000000"/>
                <w:sz w:val="20"/>
                <w:szCs w:val="20"/>
              </w:rPr>
              <w:br/>
              <w:t>Specialised support options are available to anyone impacted by inappropriate workplace behaviour including bystanders, managers, colleagues, and respondents. Support options include an external, confidential, anonymous, trauma informed support channel - Your Safe Space (made available in June 2022) and the Contact Officer network (in place since April 2021).</w:t>
            </w:r>
            <w:r w:rsidRPr="00EF32E8">
              <w:rPr>
                <w:rFonts w:ascii="Arial" w:hAnsi="Arial" w:cs="Arial"/>
                <w:color w:val="000000"/>
                <w:sz w:val="20"/>
                <w:szCs w:val="20"/>
              </w:rPr>
              <w:br/>
              <w:t xml:space="preserve">The resolution process includes various options from self-management to formal resolution. </w:t>
            </w:r>
            <w:r w:rsidRPr="00EF32E8">
              <w:rPr>
                <w:rFonts w:ascii="Arial" w:hAnsi="Arial" w:cs="Arial"/>
                <w:color w:val="000000"/>
                <w:sz w:val="20"/>
                <w:szCs w:val="20"/>
              </w:rPr>
              <w:br/>
              <w:t>There are also various reporting pathways, including anonymous reporting via Your Safe Space.</w:t>
            </w:r>
            <w:r w:rsidRPr="00EF32E8">
              <w:rPr>
                <w:rFonts w:ascii="Arial" w:hAnsi="Arial" w:cs="Arial"/>
                <w:color w:val="000000"/>
                <w:sz w:val="20"/>
                <w:szCs w:val="20"/>
              </w:rPr>
              <w:br/>
            </w:r>
            <w:r w:rsidRPr="00EF32E8">
              <w:rPr>
                <w:rFonts w:ascii="Arial" w:hAnsi="Arial" w:cs="Arial"/>
                <w:b/>
                <w:bCs/>
                <w:color w:val="000000"/>
                <w:sz w:val="20"/>
                <w:szCs w:val="20"/>
              </w:rPr>
              <w:t>Monitoring Progress</w:t>
            </w:r>
            <w:r w:rsidRPr="00EF32E8">
              <w:rPr>
                <w:rFonts w:ascii="Arial" w:hAnsi="Arial" w:cs="Arial"/>
                <w:color w:val="000000"/>
                <w:sz w:val="20"/>
                <w:szCs w:val="20"/>
              </w:rPr>
              <w:br/>
              <w:t>To track progress an anonymous, dedicated sexual harassment survey of employees, judicial officers and VCAT members took place in August 2022, with findings reported in April 2023.</w:t>
            </w:r>
            <w:r w:rsidRPr="00EF32E8">
              <w:rPr>
                <w:rFonts w:ascii="Arial" w:hAnsi="Arial" w:cs="Arial"/>
                <w:color w:val="000000"/>
                <w:sz w:val="20"/>
                <w:szCs w:val="20"/>
              </w:rPr>
              <w:br/>
              <w:t xml:space="preserve">In June 2023, an external provider was engaged to conduct an independent audit of the implementation of the Szoke Review. </w:t>
            </w:r>
          </w:p>
        </w:tc>
      </w:tr>
      <w:tr w:rsidR="00ED1EA4" w:rsidRPr="00EF32E8" w14:paraId="03DC37DA" w14:textId="77777777" w:rsidTr="002A3241">
        <w:tblPrEx>
          <w:tblLook w:val="04A0" w:firstRow="1" w:lastRow="0" w:firstColumn="1" w:lastColumn="0" w:noHBand="0" w:noVBand="1"/>
        </w:tblPrEx>
        <w:trPr>
          <w:trHeight w:val="1500"/>
        </w:trPr>
        <w:tc>
          <w:tcPr>
            <w:tcW w:w="1362" w:type="pct"/>
            <w:hideMark/>
          </w:tcPr>
          <w:p w14:paraId="427CA0C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2.2 Review and develop policies, processes and guidelines to address inappropriate workplace behaviours.</w:t>
            </w:r>
          </w:p>
        </w:tc>
        <w:tc>
          <w:tcPr>
            <w:tcW w:w="438" w:type="pct"/>
            <w:hideMark/>
          </w:tcPr>
          <w:p w14:paraId="423106E0"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6DE1A0A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All actions in this measure were completed during the reporting period.</w:t>
            </w:r>
            <w:r w:rsidRPr="00EF32E8">
              <w:rPr>
                <w:rFonts w:ascii="Arial" w:hAnsi="Arial" w:cs="Arial"/>
                <w:color w:val="000000"/>
                <w:sz w:val="20"/>
                <w:szCs w:val="20"/>
              </w:rPr>
              <w:br/>
              <w:t>A suite of redrafted policies covering sexual harassment, bullying, discrimination, harassment, victimisation, alcohol consumption at workplace events, and managing consensual personal relationships at work, have been developed, and are included in training.</w:t>
            </w:r>
            <w:r w:rsidRPr="00EF32E8">
              <w:rPr>
                <w:rFonts w:ascii="Arial" w:hAnsi="Arial" w:cs="Arial"/>
                <w:color w:val="000000"/>
                <w:sz w:val="20"/>
                <w:szCs w:val="20"/>
              </w:rPr>
              <w:br/>
              <w:t xml:space="preserve">These policies meet the six minimum standards for employers as prescribed by VEOHRC; they recognise CSV’s positive duty under equal opportunity and OHS laws, and they adopt a victim-survivor centred approach to sexual harassment. </w:t>
            </w:r>
          </w:p>
        </w:tc>
      </w:tr>
      <w:tr w:rsidR="00ED1EA4" w:rsidRPr="00EF32E8" w14:paraId="60F560DC" w14:textId="77777777" w:rsidTr="002A3241">
        <w:tblPrEx>
          <w:tblLook w:val="04A0" w:firstRow="1" w:lastRow="0" w:firstColumn="1" w:lastColumn="0" w:noHBand="0" w:noVBand="1"/>
        </w:tblPrEx>
        <w:trPr>
          <w:trHeight w:val="700"/>
        </w:trPr>
        <w:tc>
          <w:tcPr>
            <w:tcW w:w="1362" w:type="pct"/>
            <w:hideMark/>
          </w:tcPr>
          <w:p w14:paraId="3257674F"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3.1 Actively support implementation of the Koori Employment Plan 2021 2025.</w:t>
            </w:r>
          </w:p>
        </w:tc>
        <w:tc>
          <w:tcPr>
            <w:tcW w:w="438" w:type="pct"/>
            <w:hideMark/>
          </w:tcPr>
          <w:p w14:paraId="5E23159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0301390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The Koori Employment Plan (KEP) commits CSV to increasing Koori employment across all courts and tribunals and achieving a minimum of 3% Koori employment by 2025 with a further target to achieve 20% of the 3% target employed in Senior Leadership roles. </w:t>
            </w:r>
            <w:r w:rsidRPr="00EF32E8">
              <w:rPr>
                <w:rFonts w:ascii="Arial" w:hAnsi="Arial" w:cs="Arial"/>
                <w:color w:val="000000"/>
                <w:sz w:val="20"/>
                <w:szCs w:val="20"/>
              </w:rPr>
              <w:br/>
              <w:t>It also has a focus on cultural capability and cultural safety to ensure that CSV is providing a safe and inclusive working environment for First Peoples employees so they can progress their careers.</w:t>
            </w:r>
            <w:r w:rsidRPr="00EF32E8">
              <w:rPr>
                <w:rFonts w:ascii="Arial" w:hAnsi="Arial" w:cs="Arial"/>
                <w:color w:val="000000"/>
                <w:sz w:val="20"/>
                <w:szCs w:val="20"/>
              </w:rPr>
              <w:br/>
              <w:t>The DEI Manager has worked closely with the DMDU Koori Unit to ensure CSV is addressing instances of intersectional gender inequality and that our GEAP is informed by the principles of self-determination. This measure is ongoing and there is significant work ahead for the DMDU and the People and Culture team to jointly deliver on these commitments, particularly as it relates to cultural safety and cultural capability across CSV’s workforce.</w:t>
            </w:r>
          </w:p>
        </w:tc>
      </w:tr>
      <w:tr w:rsidR="00ED1EA4" w:rsidRPr="00EF32E8" w14:paraId="6D5C88F3" w14:textId="77777777" w:rsidTr="002A3241">
        <w:tblPrEx>
          <w:tblLook w:val="04A0" w:firstRow="1" w:lastRow="0" w:firstColumn="1" w:lastColumn="0" w:noHBand="0" w:noVBand="1"/>
        </w:tblPrEx>
        <w:trPr>
          <w:trHeight w:val="675"/>
        </w:trPr>
        <w:tc>
          <w:tcPr>
            <w:tcW w:w="1362" w:type="pct"/>
            <w:hideMark/>
          </w:tcPr>
          <w:p w14:paraId="4091D548"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3.2 Conduct an internal audit of end to end recruitment activities.</w:t>
            </w:r>
          </w:p>
        </w:tc>
        <w:tc>
          <w:tcPr>
            <w:tcW w:w="438" w:type="pct"/>
            <w:hideMark/>
          </w:tcPr>
          <w:p w14:paraId="35AFF13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39C59E7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This measure was implemented in May 2022.  An internal recruitment audit was conducted to review the effectiveness of CSV’s recruitment processes and the division of recruitment activities between CSV and jurisdictions. </w:t>
            </w:r>
          </w:p>
        </w:tc>
      </w:tr>
      <w:tr w:rsidR="00ED1EA4" w:rsidRPr="00EF32E8" w14:paraId="4D278C85" w14:textId="77777777" w:rsidTr="002A3241">
        <w:tblPrEx>
          <w:tblLook w:val="04A0" w:firstRow="1" w:lastRow="0" w:firstColumn="1" w:lastColumn="0" w:noHBand="0" w:noVBand="1"/>
        </w:tblPrEx>
        <w:trPr>
          <w:trHeight w:val="1530"/>
        </w:trPr>
        <w:tc>
          <w:tcPr>
            <w:tcW w:w="1362" w:type="pct"/>
            <w:hideMark/>
          </w:tcPr>
          <w:p w14:paraId="11FED70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3.3 Review CSV Recruitment and Selection Policy and supporting guidance materials to incorporate gender equality, gender pay equity principles and intersectionality principles and remove any barriers to inclusion.</w:t>
            </w:r>
          </w:p>
        </w:tc>
        <w:tc>
          <w:tcPr>
            <w:tcW w:w="438" w:type="pct"/>
            <w:hideMark/>
          </w:tcPr>
          <w:p w14:paraId="788CE27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4FD8D9C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In May 2023, the DEI Manager, in consultation with the DMDU, reviewed the Recruitment and Selection Policy to include a stronger statement about CSV’s commitment to recruiting a diverse workforce, to incorporate gender equality and intersectionality principles, remove any barriers to inclusion for marginalised groups, and clearly outline an approach to special measures and designated roles. To support these changes, the standard CSV position description was also updated, and an Inclusive Recruitment Guide and Checklist was developed. </w:t>
            </w:r>
            <w:r w:rsidRPr="00EF32E8">
              <w:rPr>
                <w:rFonts w:ascii="Arial" w:hAnsi="Arial" w:cs="Arial"/>
                <w:color w:val="000000"/>
                <w:sz w:val="20"/>
                <w:szCs w:val="20"/>
              </w:rPr>
              <w:br/>
              <w:t xml:space="preserve">The release of these documents was initially scheduled for 2022, but then delayed for release as part of a broader organisational project to increase the capability of hiring managers. </w:t>
            </w:r>
            <w:r w:rsidRPr="00EF32E8">
              <w:rPr>
                <w:rFonts w:ascii="Arial" w:hAnsi="Arial" w:cs="Arial"/>
                <w:color w:val="000000"/>
                <w:sz w:val="20"/>
                <w:szCs w:val="20"/>
              </w:rPr>
              <w:br/>
              <w:t>This measure is therefore in progress.</w:t>
            </w:r>
          </w:p>
        </w:tc>
      </w:tr>
      <w:tr w:rsidR="00ED1EA4" w:rsidRPr="00EF32E8" w14:paraId="5749550B" w14:textId="77777777" w:rsidTr="002A3241">
        <w:tblPrEx>
          <w:tblLook w:val="04A0" w:firstRow="1" w:lastRow="0" w:firstColumn="1" w:lastColumn="0" w:noHBand="0" w:noVBand="1"/>
        </w:tblPrEx>
        <w:trPr>
          <w:trHeight w:val="1275"/>
        </w:trPr>
        <w:tc>
          <w:tcPr>
            <w:tcW w:w="1362" w:type="pct"/>
            <w:hideMark/>
          </w:tcPr>
          <w:p w14:paraId="0146B35F"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3.4 Review induction and onboarding processes and materials.</w:t>
            </w:r>
          </w:p>
        </w:tc>
        <w:tc>
          <w:tcPr>
            <w:tcW w:w="438" w:type="pct"/>
            <w:hideMark/>
          </w:tcPr>
          <w:p w14:paraId="105BE9F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312AF016"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The intention of this measure was to ensure all induction and onboarding processes communicated workplace behavioural expectations and raised awareness of support mechanisms and resources. This measure was completed between February- March 2023. All new starters must now complete the Eliminating Sexual Harassment and Optimising Respect and The Respect and Equality at Work elearns which covers the behaviour expected of CSV employees and the multiple supports available.</w:t>
            </w:r>
          </w:p>
        </w:tc>
      </w:tr>
      <w:tr w:rsidR="00ED1EA4" w:rsidRPr="00EF32E8" w14:paraId="05200A47" w14:textId="77777777" w:rsidTr="002A3241">
        <w:tblPrEx>
          <w:tblLook w:val="04A0" w:firstRow="1" w:lastRow="0" w:firstColumn="1" w:lastColumn="0" w:noHBand="0" w:noVBand="1"/>
        </w:tblPrEx>
        <w:trPr>
          <w:trHeight w:val="1620"/>
        </w:trPr>
        <w:tc>
          <w:tcPr>
            <w:tcW w:w="1362" w:type="pct"/>
            <w:hideMark/>
          </w:tcPr>
          <w:p w14:paraId="33506F6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3.5 Deliver unconscious bias training, initially targeting hiring managers and People &amp; Culture representatives, to mitigate against recruitment and promotion biases.</w:t>
            </w:r>
          </w:p>
        </w:tc>
        <w:tc>
          <w:tcPr>
            <w:tcW w:w="438" w:type="pct"/>
            <w:hideMark/>
          </w:tcPr>
          <w:p w14:paraId="2FCEDA3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2D9696B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was completed in May 2023 with the release of four core inclusion elearn modules: What is Diversity and Inclusion, Unconscious Bias, Core Inclusion Skills, and How to be Inclusive.</w:t>
            </w:r>
            <w:r w:rsidRPr="00EF32E8">
              <w:rPr>
                <w:rFonts w:ascii="Arial" w:hAnsi="Arial" w:cs="Arial"/>
                <w:color w:val="000000"/>
                <w:sz w:val="20"/>
                <w:szCs w:val="20"/>
              </w:rPr>
              <w:br/>
              <w:t xml:space="preserve">These are promoted regularly via the CSV intranet and also the People and Culture Practice Leadership Group. </w:t>
            </w:r>
          </w:p>
        </w:tc>
      </w:tr>
      <w:tr w:rsidR="00ED1EA4" w:rsidRPr="00EF32E8" w14:paraId="1848AA6E" w14:textId="77777777" w:rsidTr="002A3241">
        <w:tblPrEx>
          <w:tblLook w:val="04A0" w:firstRow="1" w:lastRow="0" w:firstColumn="1" w:lastColumn="0" w:noHBand="0" w:noVBand="1"/>
        </w:tblPrEx>
        <w:trPr>
          <w:trHeight w:val="1215"/>
        </w:trPr>
        <w:tc>
          <w:tcPr>
            <w:tcW w:w="1362" w:type="pct"/>
            <w:hideMark/>
          </w:tcPr>
          <w:p w14:paraId="3936F09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3.6 Implement inclusive recruitment practices to mitigate against stereotypes and biases.</w:t>
            </w:r>
          </w:p>
        </w:tc>
        <w:tc>
          <w:tcPr>
            <w:tcW w:w="438" w:type="pct"/>
            <w:hideMark/>
          </w:tcPr>
          <w:p w14:paraId="0BB82CB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339939B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There were two sub-actions in this measure related to sections of the Recruitment and Selection Policy: ensuring gender balance and broader diversity of selection panels and inserting a clause that any recruitment agencies CSV engages with share the organisation’s commitment to gender equality, diversity and inclusion and abide by the measures in the GEAP</w:t>
            </w:r>
            <w:r w:rsidRPr="00EF32E8">
              <w:rPr>
                <w:rFonts w:ascii="Arial" w:hAnsi="Arial" w:cs="Arial"/>
                <w:color w:val="000000"/>
                <w:sz w:val="20"/>
                <w:szCs w:val="20"/>
              </w:rPr>
              <w:br/>
              <w:t>-These were completed in the reporting period, however, because the finalisation and release of the updated Recruitment and Selection Policy was delayed, this measure is still in progress</w:t>
            </w:r>
          </w:p>
        </w:tc>
      </w:tr>
      <w:tr w:rsidR="00ED1EA4" w:rsidRPr="00EF32E8" w14:paraId="2EC48FFD" w14:textId="77777777" w:rsidTr="002A3241">
        <w:tblPrEx>
          <w:tblLook w:val="04A0" w:firstRow="1" w:lastRow="0" w:firstColumn="1" w:lastColumn="0" w:noHBand="0" w:noVBand="1"/>
        </w:tblPrEx>
        <w:trPr>
          <w:trHeight w:val="810"/>
        </w:trPr>
        <w:tc>
          <w:tcPr>
            <w:tcW w:w="1362" w:type="pct"/>
            <w:hideMark/>
          </w:tcPr>
          <w:p w14:paraId="36BEFC3A"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3.7 Source candidates using non traditional means, such as community based groups.</w:t>
            </w:r>
          </w:p>
        </w:tc>
        <w:tc>
          <w:tcPr>
            <w:tcW w:w="438" w:type="pct"/>
            <w:hideMark/>
          </w:tcPr>
          <w:p w14:paraId="57DF14B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Not started</w:t>
            </w:r>
          </w:p>
        </w:tc>
        <w:tc>
          <w:tcPr>
            <w:tcW w:w="3200" w:type="pct"/>
            <w:hideMark/>
          </w:tcPr>
          <w:p w14:paraId="242B5E12"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was due to commence in 2022 however due to resourcing limitations it is now commencing in 2024.</w:t>
            </w:r>
          </w:p>
        </w:tc>
      </w:tr>
      <w:tr w:rsidR="00ED1EA4" w:rsidRPr="00EF32E8" w14:paraId="24ECD086" w14:textId="77777777" w:rsidTr="002A3241">
        <w:tblPrEx>
          <w:tblLook w:val="04A0" w:firstRow="1" w:lastRow="0" w:firstColumn="1" w:lastColumn="0" w:noHBand="0" w:noVBand="1"/>
        </w:tblPrEx>
        <w:trPr>
          <w:trHeight w:val="1570"/>
        </w:trPr>
        <w:tc>
          <w:tcPr>
            <w:tcW w:w="1362" w:type="pct"/>
            <w:hideMark/>
          </w:tcPr>
          <w:p w14:paraId="45D4A04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3.8 Provide symbols and statements of inclusion when communicating internally and externally.</w:t>
            </w:r>
          </w:p>
        </w:tc>
        <w:tc>
          <w:tcPr>
            <w:tcW w:w="438" w:type="pct"/>
            <w:hideMark/>
          </w:tcPr>
          <w:p w14:paraId="09155C3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137FB26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has two sub-actions and both are still in progress.</w:t>
            </w:r>
            <w:r w:rsidRPr="00EF32E8">
              <w:rPr>
                <w:rFonts w:ascii="Arial" w:hAnsi="Arial" w:cs="Arial"/>
                <w:color w:val="000000"/>
                <w:sz w:val="20"/>
                <w:szCs w:val="20"/>
              </w:rPr>
              <w:br/>
              <w:t>The first action was to update the diversity statement on standard position description to ensure CSV is  encouraging applications from diverse groups. The position description was reviewed in consultation with the DMDU in May 2023 and will be implemented in 2024.</w:t>
            </w:r>
            <w:r w:rsidRPr="00EF32E8">
              <w:rPr>
                <w:rFonts w:ascii="Arial" w:hAnsi="Arial" w:cs="Arial"/>
                <w:color w:val="000000"/>
                <w:sz w:val="20"/>
                <w:szCs w:val="20"/>
              </w:rPr>
              <w:br/>
              <w:t>The second action was to include a diversity statement or symbols of inclusion in email signatures and CSV’s external website. The CSV signature guide already included guidance on how to include an Acknowledgement of Country and pronouns. CSV wanted to ensure that its email diversity statement reflected the wishes of its employees so held off completing this action until its Gender Equality Advisory Group was established. The Group workshopped a new diversity statement in August-October 2023. This will be reported in the next progress report.</w:t>
            </w:r>
            <w:r w:rsidRPr="00EF32E8">
              <w:rPr>
                <w:rFonts w:ascii="Arial" w:hAnsi="Arial" w:cs="Arial"/>
                <w:color w:val="000000"/>
                <w:sz w:val="20"/>
                <w:szCs w:val="20"/>
              </w:rPr>
              <w:br/>
              <w:t xml:space="preserve">While CSV did not complete the specifics of this action in the reporting period, there was a focus on communicating with inclusion and respect. A DEI Manager commenced in October 2022 and designed a DEI Communication and Engagement Plan including observing days of significance. Four in-person events took place in the reporting period (for IWD, IDAHOBIT, Reconciliation Week and NAIDOC). Communication pieces were created for other days of significance (16 Days of Activism, Global Day of Parents, International Day for the Elimination of Racism, Midsumma, International Day of Persons with Disabilities, Transgender Day of Visibility). The focus of each communication piece has been on intersectionality and including the voices of employees with lived experience. </w:t>
            </w:r>
          </w:p>
        </w:tc>
      </w:tr>
      <w:tr w:rsidR="00ED1EA4" w:rsidRPr="00EF32E8" w14:paraId="6269C639" w14:textId="77777777" w:rsidTr="002A3241">
        <w:tblPrEx>
          <w:tblLook w:val="04A0" w:firstRow="1" w:lastRow="0" w:firstColumn="1" w:lastColumn="0" w:noHBand="0" w:noVBand="1"/>
        </w:tblPrEx>
        <w:trPr>
          <w:trHeight w:val="810"/>
        </w:trPr>
        <w:tc>
          <w:tcPr>
            <w:tcW w:w="1362" w:type="pct"/>
            <w:hideMark/>
          </w:tcPr>
          <w:p w14:paraId="2C085EC0"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3.9 Appropriate processes are adhered to when appointing new Independent Members of Courts Council.</w:t>
            </w:r>
          </w:p>
        </w:tc>
        <w:tc>
          <w:tcPr>
            <w:tcW w:w="438" w:type="pct"/>
            <w:hideMark/>
          </w:tcPr>
          <w:p w14:paraId="5827BCD2"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0783B2AA"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There was no change to the Independent Members of Courts Council during the reporting period, therefore this measure was not engaged and remains ongoing. </w:t>
            </w:r>
          </w:p>
        </w:tc>
      </w:tr>
      <w:tr w:rsidR="00ED1EA4" w:rsidRPr="00EF32E8" w14:paraId="533731EB" w14:textId="77777777" w:rsidTr="002A3241">
        <w:tblPrEx>
          <w:tblLook w:val="04A0" w:firstRow="1" w:lastRow="0" w:firstColumn="1" w:lastColumn="0" w:noHBand="0" w:noVBand="1"/>
        </w:tblPrEx>
        <w:trPr>
          <w:trHeight w:val="943"/>
        </w:trPr>
        <w:tc>
          <w:tcPr>
            <w:tcW w:w="1362" w:type="pct"/>
            <w:hideMark/>
          </w:tcPr>
          <w:p w14:paraId="0EE667D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3.10 Review CSV Capability Framework to remove any gender bias and/or other barriers to inclusion.</w:t>
            </w:r>
          </w:p>
        </w:tc>
        <w:tc>
          <w:tcPr>
            <w:tcW w:w="438" w:type="pct"/>
            <w:hideMark/>
          </w:tcPr>
          <w:p w14:paraId="3829F1C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Not started</w:t>
            </w:r>
          </w:p>
        </w:tc>
        <w:tc>
          <w:tcPr>
            <w:tcW w:w="3200" w:type="pct"/>
            <w:noWrap/>
            <w:hideMark/>
          </w:tcPr>
          <w:p w14:paraId="3C2E31BF"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is due to begin after the reporting period</w:t>
            </w:r>
          </w:p>
        </w:tc>
      </w:tr>
      <w:tr w:rsidR="00ED1EA4" w:rsidRPr="00EF32E8" w14:paraId="1DB1FD0E" w14:textId="77777777" w:rsidTr="002A3241">
        <w:tblPrEx>
          <w:tblLook w:val="04A0" w:firstRow="1" w:lastRow="0" w:firstColumn="1" w:lastColumn="0" w:noHBand="0" w:noVBand="1"/>
        </w:tblPrEx>
        <w:trPr>
          <w:trHeight w:val="1290"/>
        </w:trPr>
        <w:tc>
          <w:tcPr>
            <w:tcW w:w="1362" w:type="pct"/>
            <w:hideMark/>
          </w:tcPr>
          <w:p w14:paraId="0782F3CB"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4.1 Review and develop policies and guidelines to regularise and embed flexible working arrangements.</w:t>
            </w:r>
          </w:p>
        </w:tc>
        <w:tc>
          <w:tcPr>
            <w:tcW w:w="438" w:type="pct"/>
            <w:hideMark/>
          </w:tcPr>
          <w:p w14:paraId="45CF6A0B"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412403C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CSV’s Flexible Work Policy was developed throughout 2022 and was shared with employees and the CPSU for consultation in June 2023. It was launched in September 2023.</w:t>
            </w:r>
            <w:r w:rsidRPr="00EF32E8">
              <w:rPr>
                <w:rFonts w:ascii="Arial" w:hAnsi="Arial" w:cs="Arial"/>
                <w:color w:val="000000"/>
                <w:sz w:val="20"/>
                <w:szCs w:val="20"/>
              </w:rPr>
              <w:br/>
              <w:t>Work also progressed on CSV’s Workplace Adjustments Policy however due to resourcing limitations this was not completed during the reporting period, and therefore this measure is still in progress.</w:t>
            </w:r>
          </w:p>
        </w:tc>
      </w:tr>
      <w:tr w:rsidR="00ED1EA4" w:rsidRPr="00EF32E8" w14:paraId="0CE19BB1" w14:textId="77777777" w:rsidTr="002A3241">
        <w:tblPrEx>
          <w:tblLook w:val="04A0" w:firstRow="1" w:lastRow="0" w:firstColumn="1" w:lastColumn="0" w:noHBand="0" w:noVBand="1"/>
        </w:tblPrEx>
        <w:trPr>
          <w:trHeight w:val="1530"/>
        </w:trPr>
        <w:tc>
          <w:tcPr>
            <w:tcW w:w="1362" w:type="pct"/>
            <w:hideMark/>
          </w:tcPr>
          <w:p w14:paraId="5045BD0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4.2 Support leaders to apply flexible working arrangements.</w:t>
            </w:r>
          </w:p>
        </w:tc>
        <w:tc>
          <w:tcPr>
            <w:tcW w:w="438" w:type="pct"/>
            <w:hideMark/>
          </w:tcPr>
          <w:p w14:paraId="1E729A0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2D8CC80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Training sessions to explore flexible work were made available to all employees in March 2022. </w:t>
            </w:r>
            <w:r w:rsidRPr="00EF32E8">
              <w:rPr>
                <w:rFonts w:ascii="Arial" w:hAnsi="Arial" w:cs="Arial"/>
                <w:color w:val="000000"/>
                <w:sz w:val="20"/>
                <w:szCs w:val="20"/>
              </w:rPr>
              <w:br/>
              <w:t>Additional training specifically for managers and team leaders was provided in late March and early April 2022. These sessions were held in two parts: Part 1 – Leading Flexible Teams: sustaining engagement and performance; and Part 2 – Working Flexibly: creating safe and healthy work practices.</w:t>
            </w:r>
            <w:r w:rsidRPr="00EF32E8">
              <w:rPr>
                <w:rFonts w:ascii="Arial" w:hAnsi="Arial" w:cs="Arial"/>
                <w:color w:val="000000"/>
                <w:sz w:val="20"/>
                <w:szCs w:val="20"/>
              </w:rPr>
              <w:br/>
              <w:t>While training was delivered, this measure remains ongoing, as CSV’s PMS results have revealed a need to provide its leaders with further support.</w:t>
            </w:r>
          </w:p>
        </w:tc>
      </w:tr>
      <w:tr w:rsidR="00ED1EA4" w:rsidRPr="00EF32E8" w14:paraId="1CCF0E88" w14:textId="77777777" w:rsidTr="002A3241">
        <w:tblPrEx>
          <w:tblLook w:val="04A0" w:firstRow="1" w:lastRow="0" w:firstColumn="1" w:lastColumn="0" w:noHBand="0" w:noVBand="1"/>
        </w:tblPrEx>
        <w:trPr>
          <w:trHeight w:val="1485"/>
        </w:trPr>
        <w:tc>
          <w:tcPr>
            <w:tcW w:w="1362" w:type="pct"/>
            <w:hideMark/>
          </w:tcPr>
          <w:p w14:paraId="461E9A2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4.3 Communicate and promote success stories of working flexibly.</w:t>
            </w:r>
          </w:p>
        </w:tc>
        <w:tc>
          <w:tcPr>
            <w:tcW w:w="438" w:type="pct"/>
            <w:hideMark/>
          </w:tcPr>
          <w:p w14:paraId="1F0CEDF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4E11D2C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CSV’s DEI Communication and Engagement Plan includes regular opportunities to promote success stories of employees working flexibly. On the Global Day of Parents, CSV promoted a communication piece including interviews with senior male leaders from VCAT and Supreme Court who shared how working flexibly had allowed them to spend time with their children. CSV will run similar communications pieces regularly, and this measure remains ongoing.</w:t>
            </w:r>
          </w:p>
        </w:tc>
      </w:tr>
      <w:tr w:rsidR="00ED1EA4" w:rsidRPr="00EF32E8" w14:paraId="4F5B84E4" w14:textId="77777777" w:rsidTr="002A3241">
        <w:tblPrEx>
          <w:tblLook w:val="04A0" w:firstRow="1" w:lastRow="0" w:firstColumn="1" w:lastColumn="0" w:noHBand="0" w:noVBand="1"/>
        </w:tblPrEx>
        <w:trPr>
          <w:trHeight w:val="2130"/>
        </w:trPr>
        <w:tc>
          <w:tcPr>
            <w:tcW w:w="1362" w:type="pct"/>
            <w:hideMark/>
          </w:tcPr>
          <w:p w14:paraId="4E6D37C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4.4 Introduce support programs/ offerings for employees with family and/or caring responsibilities and employees with disability.</w:t>
            </w:r>
          </w:p>
        </w:tc>
        <w:tc>
          <w:tcPr>
            <w:tcW w:w="438" w:type="pct"/>
            <w:hideMark/>
          </w:tcPr>
          <w:p w14:paraId="4F015B8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0221378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There were multiple sub-actions in this measure, and they are all in progress.</w:t>
            </w:r>
            <w:r w:rsidRPr="00EF32E8">
              <w:rPr>
                <w:rFonts w:ascii="Arial" w:hAnsi="Arial" w:cs="Arial"/>
                <w:color w:val="000000"/>
                <w:sz w:val="20"/>
                <w:szCs w:val="20"/>
              </w:rPr>
              <w:br/>
              <w:t>Networks for employees with disability, and parents and carers were originally slated for establishment in 2023 but have been delayed until 2024 due to resourcing limitations.</w:t>
            </w:r>
            <w:r w:rsidRPr="00EF32E8">
              <w:rPr>
                <w:rFonts w:ascii="Arial" w:hAnsi="Arial" w:cs="Arial"/>
                <w:color w:val="000000"/>
                <w:sz w:val="20"/>
                <w:szCs w:val="20"/>
              </w:rPr>
              <w:br/>
              <w:t>CSV did, however, create a dedicated diversity, equity and inclusion intranet page which was launched in May 2022.The page was created in consultation with the DMDU/Koori Unit, the Pride Network, and employees with disability. The page contains guidance and support to employees on a range of diversity issues (including for parents and carers and for those with disability) and is regularly updated to ensure relevance.</w:t>
            </w:r>
            <w:r w:rsidRPr="00EF32E8">
              <w:rPr>
                <w:rFonts w:ascii="Arial" w:hAnsi="Arial" w:cs="Arial"/>
                <w:color w:val="000000"/>
                <w:sz w:val="20"/>
                <w:szCs w:val="20"/>
              </w:rPr>
              <w:br/>
              <w:t xml:space="preserve">Another action in this measure was to ensure that court building design standards are regularly reviewed to incorporate best practice in relation to safe, inclusive, and accessible workplaces and facilities. A Gender Equity section was added to the Courts Design Guide in 2022 committing the design and planning teams to implementing any relevant commitments in the GEAP. In addition, in 2023, the Built Environment team commenced a project to audit all court buildings for DDA compliance and opportunities for the provision of all-gender toilets. The success of this action will be evaluated in the next progress report.   </w:t>
            </w:r>
          </w:p>
        </w:tc>
      </w:tr>
      <w:tr w:rsidR="00ED1EA4" w:rsidRPr="00EF32E8" w14:paraId="49199B27" w14:textId="77777777" w:rsidTr="002A3241">
        <w:tblPrEx>
          <w:tblLook w:val="04A0" w:firstRow="1" w:lastRow="0" w:firstColumn="1" w:lastColumn="0" w:noHBand="0" w:noVBand="1"/>
        </w:tblPrEx>
        <w:trPr>
          <w:trHeight w:val="578"/>
        </w:trPr>
        <w:tc>
          <w:tcPr>
            <w:tcW w:w="1362" w:type="pct"/>
            <w:hideMark/>
          </w:tcPr>
          <w:p w14:paraId="0505F2A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5.1 Conduct detailed analysis to understand causes of the gender pay gap</w:t>
            </w:r>
          </w:p>
        </w:tc>
        <w:tc>
          <w:tcPr>
            <w:tcW w:w="438" w:type="pct"/>
            <w:hideMark/>
          </w:tcPr>
          <w:p w14:paraId="503BAB24"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1C216B2F"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CSV recognises that gender pay gaps are driven by many factors and that solutions to close the gap also need to be multi-faceted. CSV has engaged a specialist external provider to assist with understanding the drivers of its gender pay gap. They will provide a report which identifies key risk areas that are driving pay inequity at CSV and identify actions to close the pay gap. This will be available in early 2024.</w:t>
            </w:r>
            <w:r w:rsidRPr="00EF32E8">
              <w:rPr>
                <w:rFonts w:ascii="Arial" w:hAnsi="Arial" w:cs="Arial"/>
                <w:color w:val="000000"/>
                <w:sz w:val="20"/>
                <w:szCs w:val="20"/>
              </w:rPr>
              <w:br/>
            </w:r>
            <w:r w:rsidRPr="00EF32E8">
              <w:rPr>
                <w:rFonts w:ascii="Arial" w:hAnsi="Arial" w:cs="Arial"/>
                <w:color w:val="000000"/>
                <w:sz w:val="20"/>
                <w:szCs w:val="20"/>
              </w:rPr>
              <w:lastRenderedPageBreak/>
              <w:t xml:space="preserve">This action was due to commence in 2022 however due to resourcing limitations is now due to commence in November 2023 and will be reported in the next progress report. </w:t>
            </w:r>
          </w:p>
        </w:tc>
      </w:tr>
      <w:tr w:rsidR="00ED1EA4" w:rsidRPr="00EF32E8" w14:paraId="78A99DDF" w14:textId="77777777" w:rsidTr="002A3241">
        <w:tblPrEx>
          <w:tblLook w:val="04A0" w:firstRow="1" w:lastRow="0" w:firstColumn="1" w:lastColumn="0" w:noHBand="0" w:noVBand="1"/>
        </w:tblPrEx>
        <w:trPr>
          <w:trHeight w:val="776"/>
        </w:trPr>
        <w:tc>
          <w:tcPr>
            <w:tcW w:w="1362" w:type="pct"/>
            <w:hideMark/>
          </w:tcPr>
          <w:p w14:paraId="76620008"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5.2 Monitor in band pay gap data to ensure that VPS Grades 2 to 4 roles continue to offer secure, flexible work without gendered impact on salaries.</w:t>
            </w:r>
          </w:p>
        </w:tc>
        <w:tc>
          <w:tcPr>
            <w:tcW w:w="438" w:type="pct"/>
            <w:hideMark/>
          </w:tcPr>
          <w:p w14:paraId="28A81D1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547070F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As above</w:t>
            </w:r>
          </w:p>
        </w:tc>
      </w:tr>
      <w:tr w:rsidR="00ED1EA4" w:rsidRPr="00EF32E8" w14:paraId="082AC585" w14:textId="77777777" w:rsidTr="002A3241">
        <w:tblPrEx>
          <w:tblLook w:val="04A0" w:firstRow="1" w:lastRow="0" w:firstColumn="1" w:lastColumn="0" w:noHBand="0" w:noVBand="1"/>
        </w:tblPrEx>
        <w:trPr>
          <w:trHeight w:val="990"/>
        </w:trPr>
        <w:tc>
          <w:tcPr>
            <w:tcW w:w="1362" w:type="pct"/>
            <w:hideMark/>
          </w:tcPr>
          <w:p w14:paraId="1E1A696D"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5.3 Conduct Executive remuneration review.</w:t>
            </w:r>
          </w:p>
        </w:tc>
        <w:tc>
          <w:tcPr>
            <w:tcW w:w="438" w:type="pct"/>
            <w:hideMark/>
          </w:tcPr>
          <w:p w14:paraId="764B4659"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40D6B6A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An Executive Renumeration Review is undertaken on an annual basis with reference to the VPSC review of Executive Remuneration Bands and the Premier’s increase guidance, with any increases approved by CSV’s Executive Remuneration Committee and Courts Council (where appropriate). </w:t>
            </w:r>
          </w:p>
        </w:tc>
      </w:tr>
      <w:tr w:rsidR="00ED1EA4" w:rsidRPr="00EF32E8" w14:paraId="3600B8C1" w14:textId="77777777" w:rsidTr="002A3241">
        <w:tblPrEx>
          <w:tblLook w:val="04A0" w:firstRow="1" w:lastRow="0" w:firstColumn="1" w:lastColumn="0" w:noHBand="0" w:noVBand="1"/>
        </w:tblPrEx>
        <w:trPr>
          <w:trHeight w:val="1170"/>
        </w:trPr>
        <w:tc>
          <w:tcPr>
            <w:tcW w:w="1362" w:type="pct"/>
            <w:hideMark/>
          </w:tcPr>
          <w:p w14:paraId="6BE83B68"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5.4 Monitor pay gap data to analyse effectiveness of identified strategies.</w:t>
            </w:r>
          </w:p>
        </w:tc>
        <w:tc>
          <w:tcPr>
            <w:tcW w:w="438" w:type="pct"/>
            <w:hideMark/>
          </w:tcPr>
          <w:p w14:paraId="473BF88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62BADEC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CSV recognises that gender pay gaps are driven by many factors and that solutions to close the gap also need to be multi-faceted. CSV has engaged a specialist external provider to assist with understanding the drivers of its gender pay gap. They will provide a report which identifies key risk areas that are driving pay inequity at CSV and identify actions to close the pay gap. This will be available in early 2024.</w:t>
            </w:r>
            <w:r w:rsidRPr="00EF32E8">
              <w:rPr>
                <w:rFonts w:ascii="Arial" w:hAnsi="Arial" w:cs="Arial"/>
                <w:color w:val="000000"/>
                <w:sz w:val="20"/>
                <w:szCs w:val="20"/>
              </w:rPr>
              <w:br/>
              <w:t xml:space="preserve">This action was due to commence in 2022 however due to resourcing limitations is now due to commence in November 2023 and will be reported in the next Progress Report. </w:t>
            </w:r>
          </w:p>
        </w:tc>
      </w:tr>
      <w:tr w:rsidR="00ED1EA4" w:rsidRPr="00EF32E8" w14:paraId="4499EE1F" w14:textId="77777777" w:rsidTr="002A3241">
        <w:tblPrEx>
          <w:tblLook w:val="04A0" w:firstRow="1" w:lastRow="0" w:firstColumn="1" w:lastColumn="0" w:noHBand="0" w:noVBand="1"/>
        </w:tblPrEx>
        <w:trPr>
          <w:trHeight w:val="915"/>
        </w:trPr>
        <w:tc>
          <w:tcPr>
            <w:tcW w:w="1362" w:type="pct"/>
            <w:hideMark/>
          </w:tcPr>
          <w:p w14:paraId="54BC9CC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6.1 Monitor and report on gender composition of Courts Council.</w:t>
            </w:r>
          </w:p>
        </w:tc>
        <w:tc>
          <w:tcPr>
            <w:tcW w:w="438" w:type="pct"/>
            <w:hideMark/>
          </w:tcPr>
          <w:p w14:paraId="62D66D61"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Ongoing</w:t>
            </w:r>
          </w:p>
        </w:tc>
        <w:tc>
          <w:tcPr>
            <w:tcW w:w="3200" w:type="pct"/>
            <w:hideMark/>
          </w:tcPr>
          <w:p w14:paraId="572F173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The gender composition of Courts Council is reported each year through CSV’s Annual Report. The Annual Report for 2021-22 was published in December 2022 and is also available on the CSV intranet. This measure was completed in 2021 and 2022 but remains ongoing. </w:t>
            </w:r>
          </w:p>
        </w:tc>
      </w:tr>
      <w:tr w:rsidR="00ED1EA4" w:rsidRPr="00EF32E8" w14:paraId="5F2C9FA6" w14:textId="77777777" w:rsidTr="002A3241">
        <w:tblPrEx>
          <w:tblLook w:val="04A0" w:firstRow="1" w:lastRow="0" w:firstColumn="1" w:lastColumn="0" w:noHBand="0" w:noVBand="1"/>
        </w:tblPrEx>
        <w:trPr>
          <w:trHeight w:val="915"/>
        </w:trPr>
        <w:tc>
          <w:tcPr>
            <w:tcW w:w="1362" w:type="pct"/>
            <w:hideMark/>
          </w:tcPr>
          <w:p w14:paraId="6050F8FF"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6.2 Provide communications to new and existing CSV employees regarding the capture, privacy and use of personal data</w:t>
            </w:r>
          </w:p>
        </w:tc>
        <w:tc>
          <w:tcPr>
            <w:tcW w:w="438" w:type="pct"/>
            <w:hideMark/>
          </w:tcPr>
          <w:p w14:paraId="1D6D316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010CB29B"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An Employee Information Collection Notice was developed in early 2022 and explains how personal and health information will be collected, used, and disclosed by CSV. It is available on the CSV intranet for all employees to access. </w:t>
            </w:r>
            <w:r w:rsidRPr="00EF32E8">
              <w:rPr>
                <w:rFonts w:ascii="Arial" w:hAnsi="Arial" w:cs="Arial"/>
                <w:color w:val="000000"/>
                <w:sz w:val="20"/>
                <w:szCs w:val="20"/>
              </w:rPr>
              <w:br/>
              <w:t>Since 1 June 2022, the Employee Information Collection Notice has also been provided in all new employee starter packs.</w:t>
            </w:r>
          </w:p>
        </w:tc>
      </w:tr>
      <w:tr w:rsidR="00ED1EA4" w:rsidRPr="00EF32E8" w14:paraId="1A7BB7D0" w14:textId="77777777" w:rsidTr="002A3241">
        <w:tblPrEx>
          <w:tblLook w:val="04A0" w:firstRow="1" w:lastRow="0" w:firstColumn="1" w:lastColumn="0" w:noHBand="0" w:noVBand="1"/>
        </w:tblPrEx>
        <w:trPr>
          <w:trHeight w:val="1500"/>
        </w:trPr>
        <w:tc>
          <w:tcPr>
            <w:tcW w:w="1362" w:type="pct"/>
            <w:hideMark/>
          </w:tcPr>
          <w:p w14:paraId="4DF59E1D"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6.3 Improve intersectional data collection.</w:t>
            </w:r>
          </w:p>
        </w:tc>
        <w:tc>
          <w:tcPr>
            <w:tcW w:w="438" w:type="pct"/>
            <w:hideMark/>
          </w:tcPr>
          <w:p w14:paraId="62BF98A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6B50EC0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measure is in progress. In 2023 CSV worked with DJCS to create new intersectional data fields in the payroll system aligned to those required by CGEPS. Following this, CSV updated its Personal Details Form for new starters. CSV applied best practice principles for collecting diversity information including using inclusive language, asking questions respectfully and appropriately, explaining why the data is being collected and how it will be used, and adhering to privacy requirements.</w:t>
            </w:r>
            <w:r w:rsidRPr="00EF32E8">
              <w:rPr>
                <w:rFonts w:ascii="Arial" w:hAnsi="Arial" w:cs="Arial"/>
                <w:color w:val="000000"/>
                <w:sz w:val="20"/>
                <w:szCs w:val="20"/>
              </w:rPr>
              <w:br/>
              <w:t>The form and categories will be in use in 2024 with an initial focus on intersectional data collection for new employees.</w:t>
            </w:r>
          </w:p>
        </w:tc>
      </w:tr>
      <w:tr w:rsidR="00ED1EA4" w:rsidRPr="00EF32E8" w14:paraId="15D63A72" w14:textId="77777777" w:rsidTr="002A3241">
        <w:tblPrEx>
          <w:tblLook w:val="04A0" w:firstRow="1" w:lastRow="0" w:firstColumn="1" w:lastColumn="0" w:noHBand="0" w:noVBand="1"/>
        </w:tblPrEx>
        <w:trPr>
          <w:trHeight w:val="1093"/>
        </w:trPr>
        <w:tc>
          <w:tcPr>
            <w:tcW w:w="1362" w:type="pct"/>
            <w:hideMark/>
          </w:tcPr>
          <w:p w14:paraId="1747765D"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lastRenderedPageBreak/>
              <w:t>6.4 Improve data collection methods for career development opportunities.</w:t>
            </w:r>
          </w:p>
        </w:tc>
        <w:tc>
          <w:tcPr>
            <w:tcW w:w="438" w:type="pct"/>
            <w:hideMark/>
          </w:tcPr>
          <w:p w14:paraId="2B94926C"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In progress</w:t>
            </w:r>
          </w:p>
        </w:tc>
        <w:tc>
          <w:tcPr>
            <w:tcW w:w="3200" w:type="pct"/>
            <w:hideMark/>
          </w:tcPr>
          <w:p w14:paraId="7DC1FB65"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Discussions regarding improving data collection for career development opportunities commenced in 2023, however due to resourcing limitations finalisation has been delayed and will continue in 2024. </w:t>
            </w:r>
          </w:p>
        </w:tc>
      </w:tr>
      <w:tr w:rsidR="00ED1EA4" w:rsidRPr="00EF32E8" w14:paraId="42519BA4" w14:textId="77777777" w:rsidTr="002A3241">
        <w:tblPrEx>
          <w:tblLook w:val="04A0" w:firstRow="1" w:lastRow="0" w:firstColumn="1" w:lastColumn="0" w:noHBand="0" w:noVBand="1"/>
        </w:tblPrEx>
        <w:trPr>
          <w:trHeight w:val="1260"/>
        </w:trPr>
        <w:tc>
          <w:tcPr>
            <w:tcW w:w="1362" w:type="pct"/>
            <w:hideMark/>
          </w:tcPr>
          <w:p w14:paraId="568CD87E"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6.5 Improve consistency of exit data collection and reporting.</w:t>
            </w:r>
          </w:p>
        </w:tc>
        <w:tc>
          <w:tcPr>
            <w:tcW w:w="438" w:type="pct"/>
            <w:hideMark/>
          </w:tcPr>
          <w:p w14:paraId="745A32A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Complete</w:t>
            </w:r>
          </w:p>
        </w:tc>
        <w:tc>
          <w:tcPr>
            <w:tcW w:w="3200" w:type="pct"/>
            <w:hideMark/>
          </w:tcPr>
          <w:p w14:paraId="43558163"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 xml:space="preserve">This measure was completed in 2023. A comprehensive exit survey was developed in consultation with the DEI Manager and the DMDU. The survey will be in use from October 2023. It will allow CSV to track any exits related to inappropriate workplace behaviour or instances of discrimination. </w:t>
            </w:r>
          </w:p>
        </w:tc>
      </w:tr>
      <w:tr w:rsidR="00ED1EA4" w:rsidRPr="00EF32E8" w14:paraId="05B5B818" w14:textId="77777777" w:rsidTr="002A3241">
        <w:tblPrEx>
          <w:tblLook w:val="04A0" w:firstRow="1" w:lastRow="0" w:firstColumn="1" w:lastColumn="0" w:noHBand="0" w:noVBand="1"/>
        </w:tblPrEx>
        <w:trPr>
          <w:trHeight w:val="930"/>
        </w:trPr>
        <w:tc>
          <w:tcPr>
            <w:tcW w:w="1362" w:type="pct"/>
            <w:hideMark/>
          </w:tcPr>
          <w:p w14:paraId="4FCCB2E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6.6 Conduct a review of the impact of gender stereotypes on workforce composition</w:t>
            </w:r>
          </w:p>
        </w:tc>
        <w:tc>
          <w:tcPr>
            <w:tcW w:w="438" w:type="pct"/>
            <w:hideMark/>
          </w:tcPr>
          <w:p w14:paraId="7AF816F7"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Not started</w:t>
            </w:r>
          </w:p>
        </w:tc>
        <w:tc>
          <w:tcPr>
            <w:tcW w:w="3200" w:type="pct"/>
            <w:hideMark/>
          </w:tcPr>
          <w:p w14:paraId="1A95F3C6" w14:textId="77777777" w:rsidR="001A56EB" w:rsidRPr="00EF32E8" w:rsidRDefault="001A56EB" w:rsidP="00F907C8">
            <w:pPr>
              <w:spacing w:after="0" w:line="240" w:lineRule="auto"/>
              <w:rPr>
                <w:rFonts w:ascii="Arial" w:hAnsi="Arial" w:cs="Arial"/>
                <w:color w:val="000000"/>
                <w:sz w:val="20"/>
                <w:szCs w:val="20"/>
              </w:rPr>
            </w:pPr>
            <w:r w:rsidRPr="00EF32E8">
              <w:rPr>
                <w:rFonts w:ascii="Arial" w:hAnsi="Arial" w:cs="Arial"/>
                <w:color w:val="000000"/>
                <w:sz w:val="20"/>
                <w:szCs w:val="20"/>
              </w:rPr>
              <w:t>This action is due to commence after the reporting period.</w:t>
            </w:r>
          </w:p>
        </w:tc>
      </w:tr>
    </w:tbl>
    <w:p w14:paraId="6D5E0CFD" w14:textId="77777777" w:rsidR="002A523C" w:rsidRDefault="002A523C" w:rsidP="00A65F1E">
      <w:pPr>
        <w:pStyle w:val="BodyText"/>
      </w:pPr>
    </w:p>
    <w:p w14:paraId="48A72A42" w14:textId="396DB3A8" w:rsidR="002A523C" w:rsidRDefault="00861FC1" w:rsidP="00861FC1">
      <w:pPr>
        <w:pStyle w:val="Heading1"/>
      </w:pPr>
      <w:bookmarkStart w:id="3" w:name="_Toc182599246"/>
      <w:r>
        <w:t>Progress on Gender Equality Indicators</w:t>
      </w:r>
      <w:bookmarkEnd w:id="3"/>
    </w:p>
    <w:p w14:paraId="1B3803B3" w14:textId="77777777" w:rsidR="002A523C" w:rsidRDefault="002A523C" w:rsidP="00A65F1E">
      <w:pPr>
        <w:pStyle w:val="BodyText"/>
      </w:pPr>
    </w:p>
    <w:tbl>
      <w:tblPr>
        <w:tblStyle w:val="TableGrid"/>
        <w:tblW w:w="0" w:type="auto"/>
        <w:tblLook w:val="04A0" w:firstRow="1" w:lastRow="0" w:firstColumn="1" w:lastColumn="0" w:noHBand="0" w:noVBand="1"/>
      </w:tblPr>
      <w:tblGrid>
        <w:gridCol w:w="2268"/>
        <w:gridCol w:w="1276"/>
        <w:gridCol w:w="11026"/>
      </w:tblGrid>
      <w:tr w:rsidR="00861FC1" w14:paraId="1DB9C24D" w14:textId="77777777" w:rsidTr="002A3241">
        <w:trPr>
          <w:cnfStyle w:val="100000000000" w:firstRow="1" w:lastRow="0" w:firstColumn="0" w:lastColumn="0" w:oddVBand="0" w:evenVBand="0" w:oddHBand="0" w:evenHBand="0" w:firstRowFirstColumn="0" w:firstRowLastColumn="0" w:lastRowFirstColumn="0" w:lastRowLastColumn="0"/>
          <w:tblHeader/>
        </w:trPr>
        <w:tc>
          <w:tcPr>
            <w:tcW w:w="2268" w:type="dxa"/>
          </w:tcPr>
          <w:p w14:paraId="415E8D5D" w14:textId="2788C98A" w:rsidR="00861FC1" w:rsidRDefault="00861FC1" w:rsidP="00A65F1E">
            <w:pPr>
              <w:pStyle w:val="BodyText"/>
            </w:pPr>
            <w:r>
              <w:t>Indicator</w:t>
            </w:r>
          </w:p>
        </w:tc>
        <w:tc>
          <w:tcPr>
            <w:tcW w:w="1276" w:type="dxa"/>
          </w:tcPr>
          <w:p w14:paraId="6362083E" w14:textId="2224E82E" w:rsidR="00861FC1" w:rsidRDefault="00861FC1" w:rsidP="00A65F1E">
            <w:pPr>
              <w:pStyle w:val="BodyText"/>
            </w:pPr>
            <w:r>
              <w:t>Confirm if progress made</w:t>
            </w:r>
          </w:p>
        </w:tc>
        <w:tc>
          <w:tcPr>
            <w:tcW w:w="11026" w:type="dxa"/>
          </w:tcPr>
          <w:p w14:paraId="42E31C19" w14:textId="607F0F9C" w:rsidR="00861FC1" w:rsidRDefault="00861FC1" w:rsidP="00A65F1E">
            <w:pPr>
              <w:pStyle w:val="BodyText"/>
            </w:pPr>
            <w:r>
              <w:t>Progress description</w:t>
            </w:r>
          </w:p>
        </w:tc>
      </w:tr>
      <w:tr w:rsidR="000F1FBE" w14:paraId="5D46CE85" w14:textId="77777777" w:rsidTr="002A3241">
        <w:tc>
          <w:tcPr>
            <w:tcW w:w="2268" w:type="dxa"/>
          </w:tcPr>
          <w:p w14:paraId="68C106AA" w14:textId="0A507500" w:rsidR="000F1FBE" w:rsidRDefault="000F1FBE" w:rsidP="000F1FBE">
            <w:pPr>
              <w:pStyle w:val="BodyText"/>
            </w:pPr>
            <w:r w:rsidRPr="001C2083">
              <w:rPr>
                <w:rFonts w:ascii="Arial" w:hAnsi="Arial" w:cs="Arial"/>
                <w:b/>
                <w:bCs/>
                <w:sz w:val="20"/>
                <w:szCs w:val="20"/>
              </w:rPr>
              <w:t>Gender composition of all levels of the workforce</w:t>
            </w:r>
          </w:p>
        </w:tc>
        <w:tc>
          <w:tcPr>
            <w:tcW w:w="1276" w:type="dxa"/>
          </w:tcPr>
          <w:p w14:paraId="5029A590" w14:textId="4BA545B5" w:rsidR="000F1FBE" w:rsidRDefault="000F1FBE" w:rsidP="000F1FBE">
            <w:pPr>
              <w:pStyle w:val="BodyText"/>
            </w:pPr>
            <w:r w:rsidRPr="001C2083">
              <w:rPr>
                <w:rFonts w:ascii="Arial" w:hAnsi="Arial" w:cs="Arial"/>
                <w:color w:val="000000"/>
                <w:sz w:val="20"/>
                <w:szCs w:val="20"/>
              </w:rPr>
              <w:t>Yes</w:t>
            </w:r>
          </w:p>
        </w:tc>
        <w:tc>
          <w:tcPr>
            <w:tcW w:w="11026" w:type="dxa"/>
          </w:tcPr>
          <w:p w14:paraId="68C15E2D" w14:textId="1E702040" w:rsidR="000F1FBE" w:rsidRDefault="000F1FBE" w:rsidP="000F1FBE">
            <w:pPr>
              <w:pStyle w:val="BodyText"/>
            </w:pPr>
            <w:r w:rsidRPr="001C2083">
              <w:rPr>
                <w:rFonts w:ascii="Arial" w:hAnsi="Arial" w:cs="Arial"/>
                <w:sz w:val="20"/>
                <w:szCs w:val="20"/>
              </w:rPr>
              <w:t xml:space="preserve">Like many defined entities, women comprise most of the CSV workforce, but remain proportionately underrepresented in leadership roles. In 2021, 71% of the workforce were women, but held only 60% of leadership roles. </w:t>
            </w:r>
            <w:r w:rsidRPr="001C2083">
              <w:rPr>
                <w:rFonts w:ascii="Arial" w:hAnsi="Arial" w:cs="Arial"/>
                <w:sz w:val="20"/>
                <w:szCs w:val="20"/>
              </w:rPr>
              <w:br/>
            </w:r>
            <w:r w:rsidRPr="001C2083">
              <w:rPr>
                <w:rFonts w:ascii="Arial" w:hAnsi="Arial" w:cs="Arial"/>
                <w:sz w:val="20"/>
                <w:szCs w:val="20"/>
              </w:rPr>
              <w:br/>
              <w:t xml:space="preserve">The biggest gap was at the Registrar Grade 6 level. In 2021, 29% of these roles were held by women, compared to Registrar Grade 5 roles which comprised 70% women.  </w:t>
            </w:r>
            <w:r w:rsidRPr="001C2083">
              <w:rPr>
                <w:rFonts w:ascii="Arial" w:hAnsi="Arial" w:cs="Arial"/>
                <w:sz w:val="20"/>
                <w:szCs w:val="20"/>
              </w:rPr>
              <w:br/>
              <w:t>In 2023, the percentage of women in leadership roles has remained stable - 72% of the workforce are women, and women hold 61% of leadership roles. There has been an increase of women in Registrar Grade 6 roles. Women now hold 40% of these roles, compared to 29% in 2021. This increase is attributed to natural attrition and the promotion of women within the organisation.</w:t>
            </w:r>
            <w:r w:rsidRPr="001C2083">
              <w:rPr>
                <w:rFonts w:ascii="Arial" w:hAnsi="Arial" w:cs="Arial"/>
                <w:sz w:val="20"/>
                <w:szCs w:val="20"/>
              </w:rPr>
              <w:br/>
            </w:r>
            <w:r w:rsidRPr="001C2083">
              <w:rPr>
                <w:rFonts w:ascii="Arial" w:hAnsi="Arial" w:cs="Arial"/>
                <w:sz w:val="20"/>
                <w:szCs w:val="20"/>
              </w:rPr>
              <w:br/>
              <w:t>In 2021, most (86%) of employees were employed fulltime and of these employees, 68% were women and 32% were men which is closely aligned to the gender profile overall.</w:t>
            </w:r>
            <w:r w:rsidRPr="001C2083">
              <w:rPr>
                <w:rFonts w:ascii="Arial" w:hAnsi="Arial" w:cs="Arial"/>
                <w:sz w:val="20"/>
                <w:szCs w:val="20"/>
              </w:rPr>
              <w:br/>
            </w:r>
            <w:r w:rsidRPr="001C2083">
              <w:rPr>
                <w:rFonts w:ascii="Arial" w:hAnsi="Arial" w:cs="Arial"/>
                <w:sz w:val="20"/>
                <w:szCs w:val="20"/>
              </w:rPr>
              <w:br/>
            </w:r>
            <w:r w:rsidRPr="001C2083">
              <w:rPr>
                <w:rFonts w:ascii="Arial" w:hAnsi="Arial" w:cs="Arial"/>
                <w:sz w:val="20"/>
                <w:szCs w:val="20"/>
              </w:rPr>
              <w:lastRenderedPageBreak/>
              <w:t>Like most defined entities, women were overrepresented in part-time work. Of the 14% of employees who worked part-time in 2021, 90% were women and 10% were men. 18% of women worked part-time in 2021 compared to only 5% of men.</w:t>
            </w:r>
            <w:r w:rsidRPr="001C2083">
              <w:rPr>
                <w:rFonts w:ascii="Arial" w:hAnsi="Arial" w:cs="Arial"/>
                <w:sz w:val="20"/>
                <w:szCs w:val="20"/>
              </w:rPr>
              <w:br/>
            </w:r>
            <w:r w:rsidRPr="001C2083">
              <w:rPr>
                <w:rFonts w:ascii="Arial" w:hAnsi="Arial" w:cs="Arial"/>
                <w:sz w:val="20"/>
                <w:szCs w:val="20"/>
              </w:rPr>
              <w:br/>
              <w:t>In 2021, CSV employed a small number of casuals, 53% were men and 47% were women. In 2023, CSV employed more women on a casual basis than men (57% vs 43%).</w:t>
            </w:r>
            <w:r w:rsidRPr="001C2083">
              <w:rPr>
                <w:rFonts w:ascii="Arial" w:hAnsi="Arial" w:cs="Arial"/>
                <w:sz w:val="20"/>
                <w:szCs w:val="20"/>
              </w:rPr>
              <w:br/>
            </w:r>
            <w:r w:rsidRPr="001C2083">
              <w:rPr>
                <w:rFonts w:ascii="Arial" w:hAnsi="Arial" w:cs="Arial"/>
                <w:sz w:val="20"/>
                <w:szCs w:val="20"/>
              </w:rPr>
              <w:br/>
              <w:t xml:space="preserve">In 2023, the gender composition of the fulltime workforce has remained stable (85%) comprising 69% women and 31% men. </w:t>
            </w:r>
            <w:r w:rsidRPr="001C2083">
              <w:rPr>
                <w:rFonts w:ascii="Arial" w:hAnsi="Arial" w:cs="Arial"/>
                <w:sz w:val="20"/>
                <w:szCs w:val="20"/>
              </w:rPr>
              <w:br/>
            </w:r>
            <w:r w:rsidRPr="001C2083">
              <w:rPr>
                <w:rFonts w:ascii="Arial" w:hAnsi="Arial" w:cs="Arial"/>
                <w:sz w:val="20"/>
                <w:szCs w:val="20"/>
              </w:rPr>
              <w:br/>
              <w:t xml:space="preserve">There has been a slight improvement in the percentage of men working part-time. Of the 14% of employees who worked part-time in 2023, 12% were men, compared to 10% in 2021. 17% of women worked part-time in 2023 compared to 6% of men. </w:t>
            </w:r>
            <w:r w:rsidRPr="001C2083">
              <w:rPr>
                <w:rFonts w:ascii="Arial" w:hAnsi="Arial" w:cs="Arial"/>
                <w:sz w:val="20"/>
                <w:szCs w:val="20"/>
              </w:rPr>
              <w:br/>
            </w:r>
            <w:r w:rsidRPr="001C2083">
              <w:rPr>
                <w:rFonts w:ascii="Arial" w:hAnsi="Arial" w:cs="Arial"/>
                <w:sz w:val="20"/>
                <w:szCs w:val="20"/>
              </w:rPr>
              <w:br/>
              <w:t xml:space="preserve">CSV continues to work on the collection of intersectional workforce data and doesn’t yet understand the full diversity of its workforce. Available intersectional workforce data shows: </w:t>
            </w:r>
            <w:r w:rsidRPr="001C2083">
              <w:rPr>
                <w:rFonts w:ascii="Arial" w:hAnsi="Arial" w:cs="Arial"/>
                <w:sz w:val="20"/>
                <w:szCs w:val="20"/>
              </w:rPr>
              <w:br/>
              <w:t>• 0.23% of employees identified as self-described in 2023 compared to 0.15% in 2021.</w:t>
            </w:r>
            <w:r w:rsidRPr="001C2083">
              <w:rPr>
                <w:rFonts w:ascii="Arial" w:hAnsi="Arial" w:cs="Arial"/>
                <w:sz w:val="20"/>
                <w:szCs w:val="20"/>
              </w:rPr>
              <w:br/>
              <w:t>• 2.6% of employees identified as Aboriginal and Torres Strait Islander in 2023 compared with 2.5% in 2021.</w:t>
            </w:r>
            <w:r w:rsidRPr="001C2083">
              <w:rPr>
                <w:rFonts w:ascii="Arial" w:hAnsi="Arial" w:cs="Arial"/>
                <w:sz w:val="20"/>
                <w:szCs w:val="20"/>
              </w:rPr>
              <w:br/>
              <w:t>• 0.8% of employees shared disability information in 2023 compared with 0.7% in 2021.</w:t>
            </w:r>
            <w:r w:rsidRPr="001C2083">
              <w:rPr>
                <w:rFonts w:ascii="Arial" w:hAnsi="Arial" w:cs="Arial"/>
                <w:sz w:val="20"/>
                <w:szCs w:val="20"/>
              </w:rPr>
              <w:br/>
            </w:r>
            <w:r w:rsidRPr="001C2083">
              <w:rPr>
                <w:rFonts w:ascii="Arial" w:hAnsi="Arial" w:cs="Arial"/>
                <w:sz w:val="20"/>
                <w:szCs w:val="20"/>
              </w:rPr>
              <w:br/>
              <w:t>One improvement CSV has observed in 2023 is increased gender diversity as more employees have identified as self-described. In 2021, 0.15% of the workforce were self-described, this increased to 0.23% in 2023. This is also reflected in CSV’s PMS data where enough respondents identified as non-binary or preferred to self-describe their gender to allow us to report results for this cohort. This increase cannot be accounted for by recruitment alone and shows a growing trust and sense of safety within the organisation to identity outside the gender binary. This has been achieved via several measures in the CSV GEAP including inclusive employee training programs and guidance materials on gender equality, diversity, and inclusion (1.4), the development of employee-led networks including the Pride Network (1.5), and guidance materials including the release of our Gender Affirmation Leave Procedure and Gender Affirmation Guide (1.4).</w:t>
            </w:r>
            <w:r w:rsidRPr="001C2083">
              <w:rPr>
                <w:rFonts w:ascii="Arial" w:hAnsi="Arial" w:cs="Arial"/>
                <w:sz w:val="20"/>
                <w:szCs w:val="20"/>
              </w:rPr>
              <w:br/>
            </w:r>
            <w:r w:rsidRPr="001C2083">
              <w:rPr>
                <w:rFonts w:ascii="Arial" w:hAnsi="Arial" w:cs="Arial"/>
                <w:sz w:val="20"/>
                <w:szCs w:val="20"/>
              </w:rPr>
              <w:br/>
              <w:t>CSV will continue to improve its data collection processes and systems and hope that in the next progress report it will be able to report more fully on the composition of the workforce (including greater alignment between the audit and PMS data) and whether intersecting forms of inequality or discrimination exist.</w:t>
            </w:r>
            <w:r w:rsidRPr="001C2083">
              <w:rPr>
                <w:rFonts w:ascii="Arial" w:hAnsi="Arial" w:cs="Arial"/>
                <w:sz w:val="20"/>
                <w:szCs w:val="20"/>
              </w:rPr>
              <w:br/>
            </w:r>
            <w:r w:rsidRPr="001C2083">
              <w:rPr>
                <w:rFonts w:ascii="Arial" w:hAnsi="Arial" w:cs="Arial"/>
                <w:sz w:val="20"/>
                <w:szCs w:val="20"/>
              </w:rPr>
              <w:br/>
              <w:t xml:space="preserve">While relatively small, the changes noted above including an increase of women at Registrar Grade 6, an increase in the </w:t>
            </w:r>
            <w:r w:rsidRPr="001C2083">
              <w:rPr>
                <w:rFonts w:ascii="Arial" w:hAnsi="Arial" w:cs="Arial"/>
                <w:sz w:val="20"/>
                <w:szCs w:val="20"/>
              </w:rPr>
              <w:lastRenderedPageBreak/>
              <w:t xml:space="preserve">percentage of employees who identity outside the gender binary, and the slight increase in men working part-time, represent progress against this indicator.  </w:t>
            </w:r>
          </w:p>
        </w:tc>
      </w:tr>
      <w:tr w:rsidR="000F1FBE" w14:paraId="7A2D24A6" w14:textId="77777777" w:rsidTr="002A3241">
        <w:tc>
          <w:tcPr>
            <w:tcW w:w="2268" w:type="dxa"/>
          </w:tcPr>
          <w:p w14:paraId="409255D4" w14:textId="4E91F584" w:rsidR="000F1FBE" w:rsidRDefault="000F1FBE" w:rsidP="000F1FBE">
            <w:pPr>
              <w:pStyle w:val="BodyText"/>
            </w:pPr>
            <w:r w:rsidRPr="001C2083">
              <w:rPr>
                <w:rFonts w:ascii="Arial" w:hAnsi="Arial" w:cs="Arial"/>
                <w:b/>
                <w:bCs/>
                <w:sz w:val="20"/>
                <w:szCs w:val="20"/>
              </w:rPr>
              <w:lastRenderedPageBreak/>
              <w:t>Gender composition of governing bodies</w:t>
            </w:r>
          </w:p>
        </w:tc>
        <w:tc>
          <w:tcPr>
            <w:tcW w:w="1276" w:type="dxa"/>
          </w:tcPr>
          <w:p w14:paraId="48F37D3B" w14:textId="5084A09E" w:rsidR="000F1FBE" w:rsidRDefault="000F1FBE" w:rsidP="000F1FBE">
            <w:pPr>
              <w:pStyle w:val="BodyText"/>
            </w:pPr>
            <w:r w:rsidRPr="001C2083">
              <w:rPr>
                <w:rFonts w:ascii="Arial" w:hAnsi="Arial" w:cs="Arial"/>
                <w:color w:val="000000"/>
                <w:sz w:val="20"/>
                <w:szCs w:val="20"/>
              </w:rPr>
              <w:t>Yes</w:t>
            </w:r>
          </w:p>
        </w:tc>
        <w:tc>
          <w:tcPr>
            <w:tcW w:w="11026" w:type="dxa"/>
          </w:tcPr>
          <w:p w14:paraId="40182AC2" w14:textId="0B12BB2C" w:rsidR="000F1FBE" w:rsidRDefault="000F1FBE" w:rsidP="000F1FBE">
            <w:pPr>
              <w:pStyle w:val="BodyText"/>
            </w:pPr>
            <w:r w:rsidRPr="001C2083">
              <w:rPr>
                <w:rFonts w:ascii="Arial" w:hAnsi="Arial" w:cs="Arial"/>
                <w:sz w:val="20"/>
                <w:szCs w:val="20"/>
              </w:rPr>
              <w:t xml:space="preserve">Courts Council is the governing body for Courts Group and is comprised of the six Heads of Jurisdiction (appointed by the Governor in Council on the recommendation of the Attorney-General) and two independent members appointed directly by the Courts Council. The gender composition of Courts Council has remained the same throughout the reporting period, four women (including the chair) and four men. As CSV has maintained the gender balance of its governing body, this represents progress against this indicator. </w:t>
            </w:r>
          </w:p>
        </w:tc>
      </w:tr>
      <w:tr w:rsidR="000F1FBE" w14:paraId="67F018E0" w14:textId="77777777" w:rsidTr="002A3241">
        <w:tc>
          <w:tcPr>
            <w:tcW w:w="2268" w:type="dxa"/>
          </w:tcPr>
          <w:p w14:paraId="2EB3991E" w14:textId="68A33E6E" w:rsidR="000F1FBE" w:rsidRDefault="000F1FBE" w:rsidP="000F1FBE">
            <w:pPr>
              <w:pStyle w:val="BodyText"/>
            </w:pPr>
            <w:r w:rsidRPr="001C2083">
              <w:rPr>
                <w:rFonts w:ascii="Arial" w:hAnsi="Arial" w:cs="Arial"/>
                <w:b/>
                <w:bCs/>
                <w:sz w:val="20"/>
                <w:szCs w:val="20"/>
              </w:rPr>
              <w:t xml:space="preserve">Equal remuneration for work of equal or </w:t>
            </w:r>
            <w:r w:rsidRPr="001C2083">
              <w:rPr>
                <w:rFonts w:ascii="Arial" w:hAnsi="Arial" w:cs="Arial"/>
                <w:b/>
                <w:bCs/>
                <w:sz w:val="20"/>
                <w:szCs w:val="20"/>
              </w:rPr>
              <w:br/>
              <w:t xml:space="preserve">comparable value across all levels of </w:t>
            </w:r>
            <w:r w:rsidRPr="001C2083">
              <w:rPr>
                <w:rFonts w:ascii="Arial" w:hAnsi="Arial" w:cs="Arial"/>
                <w:b/>
                <w:bCs/>
                <w:sz w:val="20"/>
                <w:szCs w:val="20"/>
              </w:rPr>
              <w:br/>
              <w:t>the workforce, irrespective of gender</w:t>
            </w:r>
          </w:p>
        </w:tc>
        <w:tc>
          <w:tcPr>
            <w:tcW w:w="1276" w:type="dxa"/>
          </w:tcPr>
          <w:p w14:paraId="3B05EB44" w14:textId="599EEBAF" w:rsidR="000F1FBE" w:rsidRDefault="000F1FBE" w:rsidP="000F1FBE">
            <w:pPr>
              <w:pStyle w:val="BodyText"/>
            </w:pPr>
            <w:r w:rsidRPr="001C2083">
              <w:rPr>
                <w:rFonts w:ascii="Arial" w:hAnsi="Arial" w:cs="Arial"/>
                <w:sz w:val="20"/>
                <w:szCs w:val="20"/>
              </w:rPr>
              <w:t>No</w:t>
            </w:r>
          </w:p>
        </w:tc>
        <w:tc>
          <w:tcPr>
            <w:tcW w:w="11026" w:type="dxa"/>
          </w:tcPr>
          <w:p w14:paraId="6D1F6199" w14:textId="40C47DBA" w:rsidR="000F1FBE" w:rsidRDefault="000F1FBE" w:rsidP="000F1FBE">
            <w:pPr>
              <w:pStyle w:val="BodyText"/>
            </w:pPr>
            <w:r w:rsidRPr="001C2083">
              <w:rPr>
                <w:rFonts w:ascii="Arial" w:hAnsi="Arial" w:cs="Arial"/>
                <w:sz w:val="20"/>
                <w:szCs w:val="20"/>
              </w:rPr>
              <w:t xml:space="preserve">Between 2021 and 2023 there has been a slight reduction in CSV’s median base salary gap between men and women (from 10.1% to 9.4%). There has also been a slight reduction in CSV’s median total remuneration salary between men and women (from 9.0% to 8.7%). </w:t>
            </w:r>
            <w:r w:rsidRPr="001C2083">
              <w:rPr>
                <w:rFonts w:ascii="Arial" w:hAnsi="Arial" w:cs="Arial"/>
                <w:sz w:val="20"/>
                <w:szCs w:val="20"/>
              </w:rPr>
              <w:br/>
            </w:r>
            <w:r w:rsidRPr="001C2083">
              <w:rPr>
                <w:rFonts w:ascii="Arial" w:hAnsi="Arial" w:cs="Arial"/>
                <w:sz w:val="20"/>
                <w:szCs w:val="20"/>
              </w:rPr>
              <w:br/>
              <w:t>The mean base salary gap has slightly increased between 2021 and 2023 (from 9.4% to 9.9%). The mean total remuneration gap stayed the same (9.8%).</w:t>
            </w:r>
            <w:r w:rsidRPr="001C2083">
              <w:rPr>
                <w:rFonts w:ascii="Arial" w:hAnsi="Arial" w:cs="Arial"/>
                <w:sz w:val="20"/>
                <w:szCs w:val="20"/>
              </w:rPr>
              <w:br/>
            </w:r>
            <w:r w:rsidRPr="001C2083">
              <w:rPr>
                <w:rFonts w:ascii="Arial" w:hAnsi="Arial" w:cs="Arial"/>
                <w:sz w:val="20"/>
                <w:szCs w:val="20"/>
              </w:rPr>
              <w:br/>
              <w:t>One factor which may have contributed to the reduction of CSV’s median salary pay gap is that as of 1 January 2023, the qualification-related salary progression points of Trainee Court Registrars (the majority of whom are women) was increased.</w:t>
            </w:r>
            <w:r w:rsidRPr="001C2083">
              <w:rPr>
                <w:rFonts w:ascii="Arial" w:hAnsi="Arial" w:cs="Arial"/>
                <w:sz w:val="20"/>
                <w:szCs w:val="20"/>
              </w:rPr>
              <w:br/>
            </w:r>
            <w:r w:rsidRPr="001C2083">
              <w:rPr>
                <w:rFonts w:ascii="Arial" w:hAnsi="Arial" w:cs="Arial"/>
                <w:sz w:val="20"/>
                <w:szCs w:val="20"/>
              </w:rPr>
              <w:br/>
              <w:t>In 2024, CSV will be in a better position to understand the causes of its gender pay gap as a specialist external provider has been engaged to conduct detailed analysis and identify key areas that are driving pay inequity. This action was due to commence in 2022 however due to resourcing limitations is now due to commence in November 2023 and will be reported in the next progress report.</w:t>
            </w:r>
            <w:r w:rsidRPr="001C2083">
              <w:rPr>
                <w:rFonts w:ascii="Arial" w:hAnsi="Arial" w:cs="Arial"/>
                <w:sz w:val="20"/>
                <w:szCs w:val="20"/>
              </w:rPr>
              <w:br/>
            </w:r>
            <w:r w:rsidRPr="001C2083">
              <w:rPr>
                <w:rFonts w:ascii="Arial" w:hAnsi="Arial" w:cs="Arial"/>
                <w:sz w:val="20"/>
                <w:szCs w:val="20"/>
              </w:rPr>
              <w:br/>
              <w:t xml:space="preserve">CSV still has a way to go to understand the factors driving its gender pay gap and cannot show progress against this indicator at this time. </w:t>
            </w:r>
          </w:p>
        </w:tc>
      </w:tr>
      <w:tr w:rsidR="000F1FBE" w14:paraId="39F77483" w14:textId="77777777" w:rsidTr="002A3241">
        <w:tc>
          <w:tcPr>
            <w:tcW w:w="2268" w:type="dxa"/>
          </w:tcPr>
          <w:p w14:paraId="0215161C" w14:textId="4D182AA7" w:rsidR="000F1FBE" w:rsidRDefault="000F1FBE" w:rsidP="000F1FBE">
            <w:pPr>
              <w:pStyle w:val="BodyText"/>
            </w:pPr>
            <w:r w:rsidRPr="001C2083">
              <w:rPr>
                <w:rFonts w:ascii="Arial" w:hAnsi="Arial" w:cs="Arial"/>
                <w:b/>
                <w:bCs/>
                <w:sz w:val="20"/>
                <w:szCs w:val="20"/>
              </w:rPr>
              <w:t>Sexual harassment in the workplace</w:t>
            </w:r>
          </w:p>
        </w:tc>
        <w:tc>
          <w:tcPr>
            <w:tcW w:w="1276" w:type="dxa"/>
          </w:tcPr>
          <w:p w14:paraId="7DFDF298" w14:textId="33291997" w:rsidR="000F1FBE" w:rsidRDefault="000F1FBE" w:rsidP="000F1FBE">
            <w:pPr>
              <w:pStyle w:val="BodyText"/>
            </w:pPr>
            <w:r w:rsidRPr="001C2083">
              <w:rPr>
                <w:rFonts w:ascii="Arial" w:hAnsi="Arial" w:cs="Arial"/>
                <w:sz w:val="20"/>
                <w:szCs w:val="20"/>
              </w:rPr>
              <w:t>Yes</w:t>
            </w:r>
          </w:p>
        </w:tc>
        <w:tc>
          <w:tcPr>
            <w:tcW w:w="11026" w:type="dxa"/>
          </w:tcPr>
          <w:p w14:paraId="12509F2E" w14:textId="4AC7964A" w:rsidR="000F1FBE" w:rsidRDefault="000F1FBE" w:rsidP="000F1FBE">
            <w:pPr>
              <w:pStyle w:val="BodyText"/>
            </w:pPr>
            <w:r w:rsidRPr="001C2083">
              <w:rPr>
                <w:rFonts w:ascii="Arial" w:hAnsi="Arial" w:cs="Arial"/>
                <w:b/>
                <w:bCs/>
                <w:sz w:val="20"/>
                <w:szCs w:val="20"/>
              </w:rPr>
              <w:t xml:space="preserve">Prevalence and nature </w:t>
            </w:r>
            <w:r w:rsidRPr="001C2083">
              <w:rPr>
                <w:rFonts w:ascii="Arial" w:hAnsi="Arial" w:cs="Arial"/>
                <w:sz w:val="20"/>
                <w:szCs w:val="20"/>
              </w:rPr>
              <w:br/>
              <w:t>CSV’s 2021 PMS data showed that 8% of women and 3% of men who responded to the survey had experienced sexual harassment in the workplace. No PMS respondents in 2021 indicated that they had made a formal complaint.</w:t>
            </w:r>
            <w:r w:rsidRPr="001C2083">
              <w:rPr>
                <w:rFonts w:ascii="Arial" w:hAnsi="Arial" w:cs="Arial"/>
                <w:sz w:val="20"/>
                <w:szCs w:val="20"/>
              </w:rPr>
              <w:br/>
            </w:r>
            <w:r w:rsidRPr="001C2083">
              <w:rPr>
                <w:rFonts w:ascii="Arial" w:hAnsi="Arial" w:cs="Arial"/>
                <w:sz w:val="20"/>
                <w:szCs w:val="20"/>
              </w:rPr>
              <w:br/>
              <w:t>In 2023, PMS data showed that 7% of women and 3% of men who responded to the survey had experienced sexual harassment in the workplace, a slight reduction of 1% of women from 2021. Of the respondents, 3% indicated that they made a formal complaint.</w:t>
            </w:r>
            <w:r w:rsidRPr="001C2083">
              <w:rPr>
                <w:rFonts w:ascii="Arial" w:hAnsi="Arial" w:cs="Arial"/>
                <w:sz w:val="20"/>
                <w:szCs w:val="20"/>
              </w:rPr>
              <w:br/>
            </w:r>
            <w:r w:rsidRPr="001C2083">
              <w:rPr>
                <w:rFonts w:ascii="Arial" w:hAnsi="Arial" w:cs="Arial"/>
                <w:sz w:val="20"/>
                <w:szCs w:val="20"/>
              </w:rPr>
              <w:br/>
            </w:r>
            <w:r w:rsidRPr="001C2083">
              <w:rPr>
                <w:rFonts w:ascii="Arial" w:hAnsi="Arial" w:cs="Arial"/>
                <w:sz w:val="20"/>
                <w:szCs w:val="20"/>
              </w:rPr>
              <w:lastRenderedPageBreak/>
              <w:t xml:space="preserve">In both years, the most common forms of sexual harassment being experienced was sexually suggestive comments or jokes, followed by intrusive questions about private life or comments about physical appearance. </w:t>
            </w:r>
            <w:r w:rsidRPr="001C2083">
              <w:rPr>
                <w:rFonts w:ascii="Arial" w:hAnsi="Arial" w:cs="Arial"/>
                <w:sz w:val="20"/>
                <w:szCs w:val="20"/>
              </w:rPr>
              <w:br/>
            </w:r>
            <w:r w:rsidRPr="001C2083">
              <w:rPr>
                <w:rFonts w:ascii="Arial" w:hAnsi="Arial" w:cs="Arial"/>
                <w:sz w:val="20"/>
                <w:szCs w:val="20"/>
              </w:rPr>
              <w:br/>
              <w:t>CSV’s 2021 and 2023 PMS data indicates that marginalised groups are overrepresented among those who reported experiencing sexual harassment including those who are non-binary or use a different term, women with a disability, Aboriginal and Torres Strait Islander women, and women from the LGBTQIA+ community. Young women (those aged 25-34 years) were also more likely to experience sexual harassment than others. CSV has already put in place actions to address this overrepresentation including a stronger focus on intersectional gender inequality and compounded disadvantage in all sexual harassment training materials, specialist supports for First Peoples and the LGBTQIA+ community, and our concerted sexual harassment awareness raising campaign. In 2024, CSV will revise its support options and resolution procedures to ensure they are inclusive and safe, particularly for women with disability.</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Formal reporting</w:t>
            </w:r>
            <w:r w:rsidRPr="001C2083">
              <w:rPr>
                <w:rFonts w:ascii="Arial" w:hAnsi="Arial" w:cs="Arial"/>
                <w:sz w:val="20"/>
                <w:szCs w:val="20"/>
              </w:rPr>
              <w:br/>
              <w:t>Between 2021 and 2023 there has been an increase in the number of formal sexual harassment complaints made.</w:t>
            </w:r>
            <w:r w:rsidRPr="001C2083">
              <w:rPr>
                <w:rFonts w:ascii="Arial" w:hAnsi="Arial" w:cs="Arial"/>
                <w:sz w:val="20"/>
                <w:szCs w:val="20"/>
              </w:rPr>
              <w:br/>
            </w:r>
            <w:r w:rsidRPr="001C2083">
              <w:rPr>
                <w:rFonts w:ascii="Arial" w:hAnsi="Arial" w:cs="Arial"/>
                <w:sz w:val="20"/>
                <w:szCs w:val="20"/>
              </w:rPr>
              <w:br/>
              <w:t xml:space="preserve">In 2021, three formal sexual harassment complaints were made by CSV employees. In 2023, seven formal sexual harassment complaints were received from nine complainants, comprising six individual complaints and a group of three. </w:t>
            </w:r>
            <w:r w:rsidRPr="001C2083">
              <w:rPr>
                <w:rFonts w:ascii="Arial" w:hAnsi="Arial" w:cs="Arial"/>
                <w:sz w:val="20"/>
                <w:szCs w:val="20"/>
              </w:rPr>
              <w:br/>
            </w:r>
            <w:r w:rsidRPr="001C2083">
              <w:rPr>
                <w:rFonts w:ascii="Arial" w:hAnsi="Arial" w:cs="Arial"/>
                <w:sz w:val="20"/>
                <w:szCs w:val="20"/>
              </w:rPr>
              <w:br/>
              <w:t xml:space="preserve">CSV’s PMS results revealed some reasons as to why people experiencing sexual harassment were not making a formal complaint. The most common reasons being that people didn’t think the behaviour was ‘serious enough’, they did not think it would make a difference, or that they were fearful of repercussions. This shows CSV has more work to do to educate employees on behaviours that constitute sexual harassment, and the organisation’s zero tolerance for victimisation. </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Organisational action to prevent sexual harassment and safety to speak up</w:t>
            </w:r>
            <w:r w:rsidRPr="001C2083">
              <w:rPr>
                <w:rFonts w:ascii="Arial" w:hAnsi="Arial" w:cs="Arial"/>
                <w:b/>
                <w:bCs/>
                <w:sz w:val="20"/>
                <w:szCs w:val="20"/>
              </w:rPr>
              <w:br/>
            </w:r>
            <w:r w:rsidRPr="001C2083">
              <w:rPr>
                <w:rFonts w:ascii="Arial" w:hAnsi="Arial" w:cs="Arial"/>
                <w:sz w:val="20"/>
                <w:szCs w:val="20"/>
              </w:rPr>
              <w:t>While the prevalence and nature of sexual harassment has not substantially changed, it has decreased slightly, and there are some positive results in CSV’s PMS responses in terms of attitudes towards organisational action to prevent sexual harassment and safety to speak up.</w:t>
            </w:r>
            <w:r w:rsidRPr="001C2083">
              <w:rPr>
                <w:rFonts w:ascii="Arial" w:hAnsi="Arial" w:cs="Arial"/>
                <w:sz w:val="20"/>
                <w:szCs w:val="20"/>
              </w:rPr>
              <w:br/>
            </w:r>
            <w:r w:rsidRPr="001C2083">
              <w:rPr>
                <w:rFonts w:ascii="Arial" w:hAnsi="Arial" w:cs="Arial"/>
                <w:sz w:val="20"/>
                <w:szCs w:val="20"/>
              </w:rPr>
              <w:br/>
              <w:t>There have been some improvements in favourable responses to the statement ‘I feel safe to challenge inappropriate behaviour at work’ with an overall increase of 8% from 2021-2023 (59-67%). Amongst women the increase was also 8% (57-65%). Of non-binary/use a different term respondents 68% agreed with this statement (no comparable data from 2021). There were less favourable responses to this statement from women with a disability, Aboriginal and Torres Strait Islander women and young women (those aged 25-34).</w:t>
            </w:r>
            <w:r w:rsidRPr="001C2083">
              <w:rPr>
                <w:rFonts w:ascii="Arial" w:hAnsi="Arial" w:cs="Arial"/>
                <w:sz w:val="20"/>
                <w:szCs w:val="20"/>
              </w:rPr>
              <w:br/>
            </w:r>
            <w:r w:rsidRPr="001C2083">
              <w:rPr>
                <w:rFonts w:ascii="Arial" w:hAnsi="Arial" w:cs="Arial"/>
                <w:sz w:val="20"/>
                <w:szCs w:val="20"/>
              </w:rPr>
              <w:br/>
            </w:r>
            <w:r w:rsidRPr="001C2083">
              <w:rPr>
                <w:rFonts w:ascii="Arial" w:hAnsi="Arial" w:cs="Arial"/>
                <w:sz w:val="20"/>
                <w:szCs w:val="20"/>
              </w:rPr>
              <w:lastRenderedPageBreak/>
              <w:t>Overall, 81% of respondents agreed with the statement, ‘my organisation encourages respectful workplace behaviours’, including 81% of women, 90% of men, and 79% of non-binary/use a different term respondents. There were less favourable responses to this statement from women with a disability and Aboriginal and Torres Strait Islander women.</w:t>
            </w:r>
            <w:r w:rsidRPr="001C2083">
              <w:rPr>
                <w:rFonts w:ascii="Arial" w:hAnsi="Arial" w:cs="Arial"/>
                <w:sz w:val="20"/>
                <w:szCs w:val="20"/>
              </w:rPr>
              <w:br/>
            </w:r>
            <w:r w:rsidRPr="001C2083">
              <w:rPr>
                <w:rFonts w:ascii="Arial" w:hAnsi="Arial" w:cs="Arial"/>
                <w:sz w:val="20"/>
                <w:szCs w:val="20"/>
              </w:rPr>
              <w:br/>
              <w:t>In 2023, CSV asked custom questions about sexual harassment and responses were favourable overall. To the statement, ‘It is clear in my organisation that sexual harassment is not tolerated’, 88% of respondents agreed, including 87% of women, 89% of non-binary/use a different term respondents, and 92% of men. Aboriginal and Torres Strait Islander women and young women (those aged 25-34) also returned a favourable response to this question. The least favourable response came from women with a disability.</w:t>
            </w:r>
            <w:r w:rsidRPr="001C2083">
              <w:rPr>
                <w:rFonts w:ascii="Arial" w:hAnsi="Arial" w:cs="Arial"/>
                <w:sz w:val="20"/>
                <w:szCs w:val="20"/>
              </w:rPr>
              <w:br/>
            </w:r>
            <w:r w:rsidRPr="001C2083">
              <w:rPr>
                <w:rFonts w:ascii="Arial" w:hAnsi="Arial" w:cs="Arial"/>
                <w:sz w:val="20"/>
                <w:szCs w:val="20"/>
              </w:rPr>
              <w:br/>
              <w:t>To the statement ‘I know how to raise concerns about sexual harassment in the workplace and am confident that I will be supported’, overall, 82% of respondents agreed including 82% of women, 84% of non-binary/use a different term respondents, and 87% of men. Aboriginal and Torres Strait Islander women also returned a favourable response to this question. The least favourable response came from women with a disability.</w:t>
            </w:r>
            <w:r w:rsidRPr="001C2083">
              <w:rPr>
                <w:rFonts w:ascii="Arial" w:hAnsi="Arial" w:cs="Arial"/>
                <w:sz w:val="20"/>
                <w:szCs w:val="20"/>
              </w:rPr>
              <w:br/>
            </w:r>
            <w:r w:rsidRPr="001C2083">
              <w:rPr>
                <w:rFonts w:ascii="Arial" w:hAnsi="Arial" w:cs="Arial"/>
                <w:sz w:val="20"/>
                <w:szCs w:val="20"/>
              </w:rPr>
              <w:br/>
              <w:t>In addition, 72% of respondents identified they had participated in workplace sexual harassment training during the last year.</w:t>
            </w:r>
            <w:r w:rsidRPr="001C2083">
              <w:rPr>
                <w:rFonts w:ascii="Arial" w:hAnsi="Arial" w:cs="Arial"/>
                <w:sz w:val="20"/>
                <w:szCs w:val="20"/>
              </w:rPr>
              <w:br/>
            </w:r>
            <w:r w:rsidRPr="001C2083">
              <w:rPr>
                <w:rFonts w:ascii="Arial" w:hAnsi="Arial" w:cs="Arial"/>
                <w:sz w:val="20"/>
                <w:szCs w:val="20"/>
              </w:rPr>
              <w:br/>
              <w:t>While it is concerning that marginalised groups and young women are experiencing higher rates of sexual harassment, and women with a disability and young women (those aged 25-34) have less confidence than others to challenge inappropriate behaviours and that they will be supported if they experience sexual harassment, CSV is pleased to see an overall drop in prevalence rates indicated via its PMS survey results.</w:t>
            </w:r>
            <w:r w:rsidRPr="001C2083">
              <w:rPr>
                <w:rFonts w:ascii="Arial" w:hAnsi="Arial" w:cs="Arial"/>
                <w:sz w:val="20"/>
                <w:szCs w:val="20"/>
              </w:rPr>
              <w:br/>
            </w:r>
            <w:r w:rsidRPr="001C2083">
              <w:rPr>
                <w:rFonts w:ascii="Arial" w:hAnsi="Arial" w:cs="Arial"/>
                <w:sz w:val="20"/>
                <w:szCs w:val="20"/>
              </w:rPr>
              <w:br/>
              <w:t xml:space="preserve">Similarly, it is noted that an increase in the number of formal complaints made in the short term (as reported in PMS and audit data) is an indicator that CSV’s focus on safety, trauma-informed, victim-survivor focused reporting and support mechanisms have been successful in encouraging employees to raise complaints. </w:t>
            </w:r>
            <w:r w:rsidRPr="001C2083">
              <w:rPr>
                <w:rFonts w:ascii="Arial" w:hAnsi="Arial" w:cs="Arial"/>
                <w:sz w:val="20"/>
                <w:szCs w:val="20"/>
              </w:rPr>
              <w:br/>
              <w:t xml:space="preserve">CSV has also seen some positive and favourable responses and some improvements from 2021 in PMS questions relating to sexual harassment, organisational response, and safety to speak up. </w:t>
            </w:r>
            <w:r w:rsidRPr="001C2083">
              <w:rPr>
                <w:rFonts w:ascii="Arial" w:hAnsi="Arial" w:cs="Arial"/>
                <w:sz w:val="20"/>
                <w:szCs w:val="20"/>
              </w:rPr>
              <w:br/>
            </w:r>
            <w:r w:rsidRPr="001C2083">
              <w:rPr>
                <w:rFonts w:ascii="Arial" w:hAnsi="Arial" w:cs="Arial"/>
                <w:sz w:val="20"/>
                <w:szCs w:val="20"/>
              </w:rPr>
              <w:br/>
              <w:t xml:space="preserve">CSV considers these small improvements as progress against this indicator. </w:t>
            </w:r>
          </w:p>
        </w:tc>
      </w:tr>
      <w:tr w:rsidR="000F1FBE" w14:paraId="3A0A563E" w14:textId="77777777" w:rsidTr="002A3241">
        <w:tc>
          <w:tcPr>
            <w:tcW w:w="2268" w:type="dxa"/>
          </w:tcPr>
          <w:p w14:paraId="3E9B457D" w14:textId="399B5194" w:rsidR="000F1FBE" w:rsidRPr="001C2083" w:rsidRDefault="000F1FBE" w:rsidP="000F1FBE">
            <w:pPr>
              <w:pStyle w:val="BodyText"/>
              <w:rPr>
                <w:rFonts w:ascii="Arial" w:hAnsi="Arial" w:cs="Arial"/>
                <w:b/>
                <w:bCs/>
                <w:sz w:val="20"/>
                <w:szCs w:val="20"/>
              </w:rPr>
            </w:pPr>
            <w:r w:rsidRPr="001C2083">
              <w:rPr>
                <w:rFonts w:ascii="Arial" w:hAnsi="Arial" w:cs="Arial"/>
                <w:b/>
                <w:bCs/>
                <w:sz w:val="20"/>
                <w:szCs w:val="20"/>
              </w:rPr>
              <w:lastRenderedPageBreak/>
              <w:t>Recruitment and promotion practices in the workplace</w:t>
            </w:r>
          </w:p>
        </w:tc>
        <w:tc>
          <w:tcPr>
            <w:tcW w:w="1276" w:type="dxa"/>
          </w:tcPr>
          <w:p w14:paraId="65C5B48F" w14:textId="1695786E" w:rsidR="000F1FBE" w:rsidRPr="001C2083" w:rsidRDefault="000F1FBE" w:rsidP="000F1FBE">
            <w:pPr>
              <w:pStyle w:val="BodyText"/>
              <w:rPr>
                <w:rFonts w:ascii="Arial" w:hAnsi="Arial" w:cs="Arial"/>
                <w:sz w:val="20"/>
                <w:szCs w:val="20"/>
              </w:rPr>
            </w:pPr>
            <w:r w:rsidRPr="001C2083">
              <w:rPr>
                <w:rFonts w:ascii="Arial" w:hAnsi="Arial" w:cs="Arial"/>
                <w:sz w:val="20"/>
                <w:szCs w:val="20"/>
              </w:rPr>
              <w:t>No</w:t>
            </w:r>
          </w:p>
        </w:tc>
        <w:tc>
          <w:tcPr>
            <w:tcW w:w="11026" w:type="dxa"/>
          </w:tcPr>
          <w:p w14:paraId="6CACBE38" w14:textId="7F39C962" w:rsidR="000F1FBE" w:rsidRPr="001C2083" w:rsidRDefault="000F1FBE" w:rsidP="000F1FBE">
            <w:pPr>
              <w:pStyle w:val="BodyText"/>
              <w:rPr>
                <w:rFonts w:ascii="Arial" w:hAnsi="Arial" w:cs="Arial"/>
                <w:b/>
                <w:bCs/>
                <w:sz w:val="20"/>
                <w:szCs w:val="20"/>
              </w:rPr>
            </w:pPr>
            <w:r w:rsidRPr="001C2083">
              <w:rPr>
                <w:rFonts w:ascii="Arial" w:hAnsi="Arial" w:cs="Arial"/>
                <w:b/>
                <w:bCs/>
                <w:sz w:val="20"/>
                <w:szCs w:val="20"/>
              </w:rPr>
              <w:t>Audit data</w:t>
            </w:r>
            <w:r w:rsidRPr="001C2083">
              <w:rPr>
                <w:rFonts w:ascii="Arial" w:hAnsi="Arial" w:cs="Arial"/>
                <w:b/>
                <w:bCs/>
                <w:sz w:val="20"/>
                <w:szCs w:val="20"/>
              </w:rPr>
              <w:br/>
              <w:t>Recruitment</w:t>
            </w:r>
            <w:r w:rsidRPr="001C2083">
              <w:rPr>
                <w:rFonts w:ascii="Arial" w:hAnsi="Arial" w:cs="Arial"/>
                <w:b/>
                <w:bCs/>
                <w:sz w:val="20"/>
                <w:szCs w:val="20"/>
              </w:rPr>
              <w:br/>
            </w:r>
            <w:r w:rsidRPr="001C2083">
              <w:rPr>
                <w:rFonts w:ascii="Arial" w:hAnsi="Arial" w:cs="Arial"/>
                <w:sz w:val="20"/>
                <w:szCs w:val="20"/>
              </w:rPr>
              <w:t xml:space="preserve">The gender composition of people who have joined CSV over the reporting period has remained consistent with the organisation’s overall gender profile. In 2021, CSV recruited 70% women and 30% men. In 2023 CSV recruited 71% </w:t>
            </w:r>
            <w:r w:rsidRPr="001C2083">
              <w:rPr>
                <w:rFonts w:ascii="Arial" w:hAnsi="Arial" w:cs="Arial"/>
                <w:sz w:val="20"/>
                <w:szCs w:val="20"/>
              </w:rPr>
              <w:lastRenderedPageBreak/>
              <w:t xml:space="preserve">women and 29% men. In both years, more women than men were recruited into part-time roles (both ongoing and fixed term) however, as a percentage of all men recruited, there was an increase in 2023 of men recruited into part time roles. In both years, CSV recruited a small number of people who prefer to self-describe their gender, most of these employees were recruited into casual or contract/fixed-term roles. </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Exits</w:t>
            </w:r>
            <w:r w:rsidRPr="001C2083">
              <w:rPr>
                <w:rFonts w:ascii="Arial" w:hAnsi="Arial" w:cs="Arial"/>
                <w:sz w:val="20"/>
                <w:szCs w:val="20"/>
              </w:rPr>
              <w:br/>
              <w:t>In both years, slightly more men (as a proportion of men) exited CSV than women. In both years, the percentage of people with self-described gender exiting the organisation has matched the percentage recruited.</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 xml:space="preserve">Permanent promotion </w:t>
            </w:r>
            <w:r w:rsidRPr="001C2083">
              <w:rPr>
                <w:rFonts w:ascii="Arial" w:hAnsi="Arial" w:cs="Arial"/>
                <w:sz w:val="20"/>
                <w:szCs w:val="20"/>
              </w:rPr>
              <w:br/>
              <w:t xml:space="preserve">In both years, slightly more women than men have been permanently promoted (as a proportion of women). In 2021, 78% of people promoted were women and 22% were men. In 2023, 77% of people promoted were women and 23% were men. In both years, no people who self-described their gender were promoted. </w:t>
            </w:r>
            <w:r w:rsidRPr="001C2083">
              <w:rPr>
                <w:rFonts w:ascii="Arial" w:hAnsi="Arial" w:cs="Arial"/>
                <w:sz w:val="20"/>
                <w:szCs w:val="20"/>
              </w:rPr>
              <w:br/>
              <w:t xml:space="preserve">In addition, in both years, of the women who were promoted, those who worked fulltime had a greater chance of being promoted than those who worked part-time. In 2021, 71% of women who were promoted were employed fulltime permanent/ongoing, and only 7% of women promoted were employed part-time permanent/ongoing. In 2023, 84% of women who were promoted were employed fulltime permanent/ongoing, and only 1% of women who were promoted were employed part-time permanent/ongoing. This is despite women being overrepresented in part-time work, which suggests that this continues to be a barrier to progression. </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Career development</w:t>
            </w:r>
            <w:r w:rsidRPr="001C2083">
              <w:rPr>
                <w:rFonts w:ascii="Arial" w:hAnsi="Arial" w:cs="Arial"/>
                <w:sz w:val="20"/>
                <w:szCs w:val="20"/>
              </w:rPr>
              <w:t xml:space="preserve"> </w:t>
            </w:r>
            <w:r w:rsidRPr="001C2083">
              <w:rPr>
                <w:rFonts w:ascii="Arial" w:hAnsi="Arial" w:cs="Arial"/>
                <w:sz w:val="20"/>
                <w:szCs w:val="20"/>
              </w:rPr>
              <w:br/>
              <w:t xml:space="preserve">In both years, more women than men participated in career development opportunities, higher duties and were awarded internal secondments (as a proportion of the workforce). In 2023, CSV had more people of self-described gender participate in career development opportunities than in 2021. </w:t>
            </w:r>
            <w:r w:rsidRPr="001C2083">
              <w:rPr>
                <w:rFonts w:ascii="Arial" w:hAnsi="Arial" w:cs="Arial"/>
                <w:sz w:val="20"/>
                <w:szCs w:val="20"/>
              </w:rPr>
              <w:br/>
            </w:r>
            <w:r w:rsidRPr="001C2083">
              <w:rPr>
                <w:rFonts w:ascii="Arial" w:hAnsi="Arial" w:cs="Arial"/>
                <w:sz w:val="20"/>
                <w:szCs w:val="20"/>
              </w:rPr>
              <w:br/>
              <w:t>Recruitment, promotion, career development, and exit data shows that CSV has more work to do to achieve gender-equitable practices. Audit data shows that working part-time continues to be a barrier to career progression for women, despite the fact they are taking up career development opportunities. It also showed that CSV needs to do more to attract and recruit people with self-described gender, particularly into ongoing/permanent roles, and encourage employees in this cohort to take up career development and promotion opportunities.</w:t>
            </w:r>
            <w:r w:rsidRPr="001C2083">
              <w:rPr>
                <w:rFonts w:ascii="Arial" w:hAnsi="Arial" w:cs="Arial"/>
                <w:sz w:val="20"/>
                <w:szCs w:val="20"/>
              </w:rPr>
              <w:br/>
            </w:r>
            <w:r w:rsidRPr="001C2083">
              <w:rPr>
                <w:rFonts w:ascii="Arial" w:hAnsi="Arial" w:cs="Arial"/>
                <w:b/>
                <w:bCs/>
                <w:sz w:val="20"/>
                <w:szCs w:val="20"/>
              </w:rPr>
              <w:br/>
              <w:t>PMS Data</w:t>
            </w:r>
            <w:r w:rsidRPr="001C2083">
              <w:rPr>
                <w:rFonts w:ascii="Arial" w:hAnsi="Arial" w:cs="Arial"/>
                <w:b/>
                <w:bCs/>
                <w:sz w:val="20"/>
                <w:szCs w:val="20"/>
              </w:rPr>
              <w:br/>
            </w:r>
            <w:r w:rsidRPr="001C2083">
              <w:rPr>
                <w:rFonts w:ascii="Arial" w:hAnsi="Arial" w:cs="Arial"/>
                <w:sz w:val="20"/>
                <w:szCs w:val="20"/>
              </w:rPr>
              <w:t xml:space="preserve">CSV has seen some improvement in attitudes towards recruitment and promotion in PMS data. In response to the statement ‘I believe the recruitment processes in my organisation are fair’, there has been an overall increase of </w:t>
            </w:r>
            <w:r w:rsidRPr="001C2083">
              <w:rPr>
                <w:rFonts w:ascii="Arial" w:hAnsi="Arial" w:cs="Arial"/>
                <w:sz w:val="20"/>
                <w:szCs w:val="20"/>
              </w:rPr>
              <w:lastRenderedPageBreak/>
              <w:t>respondents who agree - from 49% to 61%. The improvement amongst women was 47-60%. 63% of non-binary/use a different term cohort agreed with this statement in 2023 (no comparative data available from 2021). There was less of an improvement for women with a disability and a drop in favourable responses from Aboriginal and Torres Strait Islander women respondents.</w:t>
            </w:r>
            <w:r w:rsidRPr="001C2083">
              <w:rPr>
                <w:rFonts w:ascii="Arial" w:hAnsi="Arial" w:cs="Arial"/>
                <w:sz w:val="20"/>
                <w:szCs w:val="20"/>
              </w:rPr>
              <w:br/>
            </w:r>
            <w:r w:rsidRPr="001C2083">
              <w:rPr>
                <w:rFonts w:ascii="Arial" w:hAnsi="Arial" w:cs="Arial"/>
                <w:sz w:val="20"/>
                <w:szCs w:val="20"/>
              </w:rPr>
              <w:br/>
              <w:t>There has been some improvement amongst women in terms of attitudes towards promotion. 45% of women agreed with the statement ‘I have an equal chance at promotion in my organisation’ - an increase from 38% in 2021. There was also an increase in favourable responses from Aboriginal and Torres Strait Islander women. The only decrease in favourable scores was from women with disability which shows that in 2024-25, CSV’s focus must be on this cohort.</w:t>
            </w:r>
            <w:r w:rsidRPr="001C2083">
              <w:rPr>
                <w:rFonts w:ascii="Arial" w:hAnsi="Arial" w:cs="Arial"/>
                <w:sz w:val="20"/>
                <w:szCs w:val="20"/>
              </w:rPr>
              <w:br/>
            </w:r>
            <w:r w:rsidRPr="001C2083">
              <w:rPr>
                <w:rFonts w:ascii="Arial" w:hAnsi="Arial" w:cs="Arial"/>
                <w:sz w:val="20"/>
                <w:szCs w:val="20"/>
              </w:rPr>
              <w:br/>
              <w:t xml:space="preserve">Responses were less favourable to the question ‘I am satisfied with the opportunities to progress in my organisation’. Only 43% of women agreed with this statement and 26% of non-binary/use a different term respondents. Favourable responses were also low amongst Aboriginal and Torres Strait Islander women respondents and women with a disability. </w:t>
            </w:r>
            <w:r w:rsidRPr="001C2083">
              <w:rPr>
                <w:rFonts w:ascii="Arial" w:hAnsi="Arial" w:cs="Arial"/>
                <w:sz w:val="20"/>
                <w:szCs w:val="20"/>
              </w:rPr>
              <w:br/>
            </w:r>
            <w:r w:rsidRPr="001C2083">
              <w:rPr>
                <w:rFonts w:ascii="Arial" w:hAnsi="Arial" w:cs="Arial"/>
                <w:sz w:val="20"/>
                <w:szCs w:val="20"/>
              </w:rPr>
              <w:br/>
              <w:t>In addition, in answer to questions about barriers to success at work, people in marginalised groups (people with a disability, First Peoples, those from the LGBTQIA+ community and people not born in Australia) were more likely than others to experience barriers.</w:t>
            </w:r>
            <w:r w:rsidRPr="001C2083">
              <w:rPr>
                <w:rFonts w:ascii="Arial" w:hAnsi="Arial" w:cs="Arial"/>
                <w:sz w:val="20"/>
                <w:szCs w:val="20"/>
              </w:rPr>
              <w:br/>
            </w:r>
            <w:r w:rsidRPr="001C2083">
              <w:rPr>
                <w:rFonts w:ascii="Arial" w:hAnsi="Arial" w:cs="Arial"/>
                <w:sz w:val="20"/>
                <w:szCs w:val="20"/>
              </w:rPr>
              <w:br/>
              <w:t xml:space="preserve">Despite some increase in favourable responses amongst some groups to PMS questions relating to recruitment, promotion, and career development, CSV’s audit and PMS data shows there is more work to do to make these processes more equitable. </w:t>
            </w:r>
            <w:r w:rsidRPr="001C2083">
              <w:rPr>
                <w:rFonts w:ascii="Arial" w:hAnsi="Arial" w:cs="Arial"/>
                <w:sz w:val="20"/>
                <w:szCs w:val="20"/>
              </w:rPr>
              <w:br/>
            </w:r>
            <w:r w:rsidRPr="001C2083">
              <w:rPr>
                <w:rFonts w:ascii="Arial" w:hAnsi="Arial" w:cs="Arial"/>
                <w:sz w:val="20"/>
                <w:szCs w:val="20"/>
              </w:rPr>
              <w:br/>
              <w:t xml:space="preserve">CSV was unable to implement some of its recruitment actions during the reporting period due to resourcing limitations and competing priorities. This means CSV cannot show substantial progress against this indicator at this time. </w:t>
            </w:r>
          </w:p>
        </w:tc>
      </w:tr>
      <w:tr w:rsidR="000F1FBE" w14:paraId="5417137C" w14:textId="77777777" w:rsidTr="002A3241">
        <w:tc>
          <w:tcPr>
            <w:tcW w:w="2268" w:type="dxa"/>
          </w:tcPr>
          <w:p w14:paraId="101410BC" w14:textId="145358D0" w:rsidR="000F1FBE" w:rsidRPr="001C2083" w:rsidRDefault="000F1FBE" w:rsidP="000F1FBE">
            <w:pPr>
              <w:pStyle w:val="BodyText"/>
              <w:rPr>
                <w:rFonts w:ascii="Arial" w:hAnsi="Arial" w:cs="Arial"/>
                <w:b/>
                <w:bCs/>
                <w:sz w:val="20"/>
                <w:szCs w:val="20"/>
              </w:rPr>
            </w:pPr>
            <w:r w:rsidRPr="001C2083">
              <w:rPr>
                <w:rFonts w:ascii="Arial" w:hAnsi="Arial" w:cs="Arial"/>
                <w:b/>
                <w:bCs/>
                <w:sz w:val="20"/>
                <w:szCs w:val="20"/>
              </w:rPr>
              <w:lastRenderedPageBreak/>
              <w:t xml:space="preserve">Availability and utilisation of terms, </w:t>
            </w:r>
            <w:r w:rsidRPr="001C2083">
              <w:rPr>
                <w:rFonts w:ascii="Arial" w:hAnsi="Arial" w:cs="Arial"/>
                <w:b/>
                <w:bCs/>
                <w:sz w:val="20"/>
                <w:szCs w:val="20"/>
              </w:rPr>
              <w:br/>
              <w:t>conditions and practices relating to:</w:t>
            </w:r>
            <w:r w:rsidRPr="001C2083">
              <w:rPr>
                <w:rFonts w:ascii="Arial" w:hAnsi="Arial" w:cs="Arial"/>
                <w:b/>
                <w:bCs/>
                <w:sz w:val="20"/>
                <w:szCs w:val="20"/>
              </w:rPr>
              <w:br/>
              <w:t>- family violence leave; and</w:t>
            </w:r>
            <w:r w:rsidRPr="001C2083">
              <w:rPr>
                <w:rFonts w:ascii="Arial" w:hAnsi="Arial" w:cs="Arial"/>
                <w:b/>
                <w:bCs/>
                <w:sz w:val="20"/>
                <w:szCs w:val="20"/>
              </w:rPr>
              <w:br/>
              <w:t>- flexible working arrangements; and</w:t>
            </w:r>
            <w:r w:rsidRPr="001C2083">
              <w:rPr>
                <w:rFonts w:ascii="Arial" w:hAnsi="Arial" w:cs="Arial"/>
                <w:b/>
                <w:bCs/>
                <w:sz w:val="20"/>
                <w:szCs w:val="20"/>
              </w:rPr>
              <w:br/>
              <w:t xml:space="preserve">- working arrangements </w:t>
            </w:r>
            <w:r w:rsidRPr="001C2083">
              <w:rPr>
                <w:rFonts w:ascii="Arial" w:hAnsi="Arial" w:cs="Arial"/>
                <w:b/>
                <w:bCs/>
                <w:sz w:val="20"/>
                <w:szCs w:val="20"/>
              </w:rPr>
              <w:lastRenderedPageBreak/>
              <w:t xml:space="preserve">supporting </w:t>
            </w:r>
            <w:r w:rsidRPr="001C2083">
              <w:rPr>
                <w:rFonts w:ascii="Arial" w:hAnsi="Arial" w:cs="Arial"/>
                <w:b/>
                <w:bCs/>
                <w:sz w:val="20"/>
                <w:szCs w:val="20"/>
              </w:rPr>
              <w:br/>
              <w:t xml:space="preserve">employees with family or caring </w:t>
            </w:r>
            <w:r w:rsidRPr="001C2083">
              <w:rPr>
                <w:rFonts w:ascii="Arial" w:hAnsi="Arial" w:cs="Arial"/>
                <w:b/>
                <w:bCs/>
                <w:sz w:val="20"/>
                <w:szCs w:val="20"/>
              </w:rPr>
              <w:br/>
              <w:t>responsibilities</w:t>
            </w:r>
          </w:p>
        </w:tc>
        <w:tc>
          <w:tcPr>
            <w:tcW w:w="1276" w:type="dxa"/>
          </w:tcPr>
          <w:p w14:paraId="6CD2A355" w14:textId="5C82D217" w:rsidR="000F1FBE" w:rsidRPr="001C2083" w:rsidRDefault="000F1FBE" w:rsidP="000F1FBE">
            <w:pPr>
              <w:pStyle w:val="BodyText"/>
              <w:rPr>
                <w:rFonts w:ascii="Arial" w:hAnsi="Arial" w:cs="Arial"/>
                <w:sz w:val="20"/>
                <w:szCs w:val="20"/>
              </w:rPr>
            </w:pPr>
            <w:r w:rsidRPr="001C2083">
              <w:rPr>
                <w:rFonts w:ascii="Arial" w:hAnsi="Arial" w:cs="Arial"/>
                <w:sz w:val="20"/>
                <w:szCs w:val="20"/>
              </w:rPr>
              <w:lastRenderedPageBreak/>
              <w:t>Yes</w:t>
            </w:r>
          </w:p>
        </w:tc>
        <w:tc>
          <w:tcPr>
            <w:tcW w:w="11026" w:type="dxa"/>
          </w:tcPr>
          <w:p w14:paraId="67D0E611" w14:textId="5E798F26" w:rsidR="000F1FBE" w:rsidRPr="00515E1C" w:rsidRDefault="000F1FBE" w:rsidP="00515E1C">
            <w:pPr>
              <w:spacing w:after="0" w:line="240" w:lineRule="auto"/>
              <w:rPr>
                <w:rFonts w:ascii="Arial" w:hAnsi="Arial" w:cs="Arial"/>
                <w:sz w:val="20"/>
                <w:szCs w:val="20"/>
              </w:rPr>
            </w:pPr>
            <w:r w:rsidRPr="001C2083">
              <w:rPr>
                <w:rFonts w:ascii="Arial" w:hAnsi="Arial" w:cs="Arial"/>
                <w:b/>
                <w:bCs/>
                <w:sz w:val="20"/>
                <w:szCs w:val="20"/>
              </w:rPr>
              <w:t>Flexible working</w:t>
            </w:r>
            <w:r w:rsidRPr="001C2083">
              <w:rPr>
                <w:rFonts w:ascii="Arial" w:hAnsi="Arial" w:cs="Arial"/>
                <w:sz w:val="20"/>
                <w:szCs w:val="20"/>
              </w:rPr>
              <w:br/>
              <w:t>CSV has seen an increase in the proportion of its workforce utilising formal flexible working arrangements. In 2021, 10% of employees utilised a formal flexible working arrangement and of this 10%, 78% were women and 22% were men. In 2023, 20% of the workforce utilised a formal flexible working arrangement and 83% were women and 17% were men. The proportion of women who utilised a formal flexible working arrangement increased from 11-22%. The proportion of men who utilised a formal flexible working arrangement increased from 7-11%. A small number of CSV employees who self-describe their gender utilised a formal flexible working arrangement in both years.</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Senior leader flexible working</w:t>
            </w:r>
            <w:r w:rsidRPr="001C2083">
              <w:rPr>
                <w:rFonts w:ascii="Arial" w:hAnsi="Arial" w:cs="Arial"/>
                <w:b/>
                <w:bCs/>
                <w:sz w:val="20"/>
                <w:szCs w:val="20"/>
              </w:rPr>
              <w:br/>
            </w:r>
            <w:r w:rsidRPr="001C2083">
              <w:rPr>
                <w:rFonts w:ascii="Arial" w:hAnsi="Arial" w:cs="Arial"/>
                <w:sz w:val="20"/>
                <w:szCs w:val="20"/>
              </w:rPr>
              <w:t xml:space="preserve">In 2021, 16 of CSV’s senior leaders utilised a formal flexible working arrangement including nine women and seven men. In 2023, eight of CSV’s senior leaders utilised a formal flexible working arrangement including five women and three men. </w:t>
            </w:r>
            <w:r w:rsidRPr="001C2083">
              <w:rPr>
                <w:rFonts w:ascii="Arial" w:hAnsi="Arial" w:cs="Arial"/>
                <w:sz w:val="20"/>
                <w:szCs w:val="20"/>
              </w:rPr>
              <w:br/>
            </w:r>
            <w:r w:rsidRPr="001C2083">
              <w:rPr>
                <w:rFonts w:ascii="Arial" w:hAnsi="Arial" w:cs="Arial"/>
                <w:sz w:val="20"/>
                <w:szCs w:val="20"/>
              </w:rPr>
              <w:lastRenderedPageBreak/>
              <w:br/>
              <w:t>Despite an increase in the percentage of CSV employees utilising a formal flexible working arrangement (from 10-20%) access to flexible work has emerged as a key theme among respondents who completed the employee experience survey.</w:t>
            </w:r>
            <w:r w:rsidRPr="001C2083">
              <w:rPr>
                <w:rFonts w:ascii="Arial" w:hAnsi="Arial" w:cs="Arial"/>
                <w:sz w:val="20"/>
                <w:szCs w:val="20"/>
              </w:rPr>
              <w:br/>
            </w:r>
            <w:r w:rsidRPr="001C2083">
              <w:rPr>
                <w:rFonts w:ascii="Arial" w:hAnsi="Arial" w:cs="Arial"/>
                <w:sz w:val="20"/>
                <w:szCs w:val="20"/>
              </w:rPr>
              <w:br/>
              <w:t xml:space="preserve">In 2021, 71% of respondents were confident that if they requested a flexible work arrangement it would be given due consideration, this fell to 69% of respondents in 2023. Amongst women, the drop in confidence was from 71% to 67%. Among women respondents with caring responsibilities the drop was from 77-71%. 63% of people who self-described gender agreed with this statement in 2023 (no comparative data for 2021). There was also a drop in confidence amongst Aboriginal and Torres Strait Islander women respondents and women with a disability.  </w:t>
            </w:r>
            <w:r w:rsidRPr="001C2083">
              <w:rPr>
                <w:rFonts w:ascii="Arial" w:hAnsi="Arial" w:cs="Arial"/>
                <w:sz w:val="20"/>
                <w:szCs w:val="20"/>
              </w:rPr>
              <w:br/>
            </w:r>
            <w:r w:rsidRPr="001C2083">
              <w:rPr>
                <w:rFonts w:ascii="Arial" w:hAnsi="Arial" w:cs="Arial"/>
                <w:sz w:val="20"/>
                <w:szCs w:val="20"/>
              </w:rPr>
              <w:br/>
              <w:t xml:space="preserve">There were more favourable responses to the 2023 statement, ‘my manager supports working flexibly’ – 79% of women, 81% of men, and 84% of people who self-described their gender agreed with this statement, and 82% of women with caring responsibilities. The group with the lowest agreement to this statement was women with a disability. </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Parental leave</w:t>
            </w:r>
            <w:r w:rsidRPr="001C2083">
              <w:rPr>
                <w:rFonts w:ascii="Arial" w:hAnsi="Arial" w:cs="Arial"/>
                <w:sz w:val="20"/>
                <w:szCs w:val="20"/>
              </w:rPr>
              <w:br/>
            </w:r>
            <w:r w:rsidR="00515E1C" w:rsidRPr="00DF4CF5">
              <w:rPr>
                <w:rFonts w:ascii="Arial" w:hAnsi="Arial" w:cs="Arial"/>
                <w:sz w:val="20"/>
                <w:szCs w:val="20"/>
              </w:rPr>
              <w:t xml:space="preserve">CSV has seen a slight increase in the percentage of men taking parental leave. In 2021, of the people taking parental leave 85% were women and 15% were men. </w:t>
            </w:r>
            <w:r w:rsidR="00515E1C" w:rsidRPr="00515E1C">
              <w:rPr>
                <w:rFonts w:ascii="Arial" w:hAnsi="Arial" w:cs="Arial"/>
                <w:sz w:val="20"/>
                <w:szCs w:val="20"/>
              </w:rPr>
              <w:t xml:space="preserve">In 2023, 82% were women and 18% were men – an increase of 3%. </w:t>
            </w:r>
            <w:r w:rsidR="00515E1C" w:rsidRPr="00DF4CF5">
              <w:rPr>
                <w:rFonts w:ascii="Arial" w:hAnsi="Arial" w:cs="Arial"/>
                <w:sz w:val="20"/>
                <w:szCs w:val="20"/>
              </w:rPr>
              <w:t>Men took significantly less leave than women and significantly less unpaid leave, however, this increase is still a step in the right direction.</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Carers leave</w:t>
            </w:r>
            <w:r w:rsidRPr="001C2083">
              <w:rPr>
                <w:rFonts w:ascii="Arial" w:hAnsi="Arial" w:cs="Arial"/>
                <w:sz w:val="20"/>
                <w:szCs w:val="20"/>
              </w:rPr>
              <w:br/>
              <w:t>In 2021 and 2023, a similar percentage of employees taking carers leave were men (27% in 2021 and 25% in 2023).</w:t>
            </w:r>
            <w:r w:rsidRPr="001C2083">
              <w:rPr>
                <w:rFonts w:ascii="Arial" w:hAnsi="Arial" w:cs="Arial"/>
                <w:sz w:val="20"/>
                <w:szCs w:val="20"/>
              </w:rPr>
              <w:br/>
            </w:r>
            <w:r w:rsidRPr="001C2083">
              <w:rPr>
                <w:rFonts w:ascii="Arial" w:hAnsi="Arial" w:cs="Arial"/>
                <w:sz w:val="20"/>
                <w:szCs w:val="20"/>
              </w:rPr>
              <w:br/>
            </w:r>
            <w:r w:rsidRPr="001C2083">
              <w:rPr>
                <w:rFonts w:ascii="Arial" w:hAnsi="Arial" w:cs="Arial"/>
                <w:b/>
                <w:bCs/>
                <w:sz w:val="20"/>
                <w:szCs w:val="20"/>
              </w:rPr>
              <w:t>Family Violence Leave</w:t>
            </w:r>
            <w:r w:rsidRPr="001C2083">
              <w:rPr>
                <w:rFonts w:ascii="Arial" w:hAnsi="Arial" w:cs="Arial"/>
                <w:sz w:val="20"/>
                <w:szCs w:val="20"/>
              </w:rPr>
              <w:br/>
              <w:t>The number of employees taking family violence leave has increased. CSV currently has actions in place to support this increase including redrafting its family violence leave processes and procedures and training Contact Officers to provide support to employees experiencing family violence.</w:t>
            </w:r>
            <w:r w:rsidRPr="001C2083">
              <w:rPr>
                <w:rFonts w:ascii="Arial" w:hAnsi="Arial" w:cs="Arial"/>
                <w:sz w:val="20"/>
                <w:szCs w:val="20"/>
              </w:rPr>
              <w:br/>
            </w:r>
            <w:r w:rsidRPr="001C2083">
              <w:rPr>
                <w:rFonts w:ascii="Arial" w:hAnsi="Arial" w:cs="Arial"/>
                <w:sz w:val="20"/>
                <w:szCs w:val="20"/>
              </w:rPr>
              <w:br/>
              <w:t>PMS data shows that employees are confident that they will be supported if they need to take family violence leave and confidence has increased from 2021. The overall increase was from 77-83%. Among women the increase was 79-84%, and 84% of non-binary/use a different term respondents in 2023 (no comparable data for 2201). Aboriginal and Torres Strait Islander women respondents also responded favourably to this question. The lowest favourable response came from women with a disability.</w:t>
            </w:r>
            <w:r w:rsidRPr="001C2083">
              <w:rPr>
                <w:rFonts w:ascii="Arial" w:hAnsi="Arial" w:cs="Arial"/>
                <w:sz w:val="20"/>
                <w:szCs w:val="20"/>
              </w:rPr>
              <w:br/>
            </w:r>
            <w:r w:rsidRPr="001C2083">
              <w:rPr>
                <w:rFonts w:ascii="Arial" w:hAnsi="Arial" w:cs="Arial"/>
                <w:sz w:val="20"/>
                <w:szCs w:val="20"/>
              </w:rPr>
              <w:br/>
              <w:t xml:space="preserve">Despite the drop in confidence amongst PMS respondents that requests for formal flexible working arrangements will be considered (which warrants further investigation), CSV has seen an increase in the proportion of men utilising formal </w:t>
            </w:r>
            <w:r w:rsidRPr="001C2083">
              <w:rPr>
                <w:rFonts w:ascii="Arial" w:hAnsi="Arial" w:cs="Arial"/>
                <w:sz w:val="20"/>
                <w:szCs w:val="20"/>
              </w:rPr>
              <w:lastRenderedPageBreak/>
              <w:t>flexible working arrangements and taking up parental leave. This is a positive improvement which will have flow on effects for CSV’s gender pay gap and shows progress against this indicator.</w:t>
            </w:r>
          </w:p>
        </w:tc>
      </w:tr>
      <w:tr w:rsidR="000F1FBE" w14:paraId="324B3335" w14:textId="77777777" w:rsidTr="002A3241">
        <w:tc>
          <w:tcPr>
            <w:tcW w:w="2268" w:type="dxa"/>
          </w:tcPr>
          <w:p w14:paraId="20D72171" w14:textId="09F84CED" w:rsidR="000F1FBE" w:rsidRPr="001C2083" w:rsidRDefault="000F1FBE" w:rsidP="000F1FBE">
            <w:pPr>
              <w:pStyle w:val="BodyText"/>
              <w:rPr>
                <w:rFonts w:ascii="Arial" w:hAnsi="Arial" w:cs="Arial"/>
                <w:b/>
                <w:bCs/>
                <w:sz w:val="20"/>
                <w:szCs w:val="20"/>
              </w:rPr>
            </w:pPr>
            <w:r w:rsidRPr="001C2083">
              <w:rPr>
                <w:rFonts w:ascii="Arial" w:hAnsi="Arial" w:cs="Arial"/>
                <w:b/>
                <w:bCs/>
                <w:sz w:val="20"/>
                <w:szCs w:val="20"/>
              </w:rPr>
              <w:lastRenderedPageBreak/>
              <w:t>Gendered segregation within the workplace</w:t>
            </w:r>
          </w:p>
        </w:tc>
        <w:tc>
          <w:tcPr>
            <w:tcW w:w="1276" w:type="dxa"/>
          </w:tcPr>
          <w:p w14:paraId="782A9E06" w14:textId="15ABDD51" w:rsidR="000F1FBE" w:rsidRPr="001C2083" w:rsidRDefault="000F1FBE" w:rsidP="000F1FBE">
            <w:pPr>
              <w:pStyle w:val="BodyText"/>
              <w:rPr>
                <w:rFonts w:ascii="Arial" w:hAnsi="Arial" w:cs="Arial"/>
                <w:sz w:val="20"/>
                <w:szCs w:val="20"/>
              </w:rPr>
            </w:pPr>
            <w:r w:rsidRPr="001C2083">
              <w:rPr>
                <w:rFonts w:ascii="Arial" w:hAnsi="Arial" w:cs="Arial"/>
                <w:sz w:val="20"/>
                <w:szCs w:val="20"/>
              </w:rPr>
              <w:t>No</w:t>
            </w:r>
          </w:p>
        </w:tc>
        <w:tc>
          <w:tcPr>
            <w:tcW w:w="11026" w:type="dxa"/>
          </w:tcPr>
          <w:p w14:paraId="15FD524E" w14:textId="1EE2AF00" w:rsidR="000F1FBE" w:rsidRPr="001C2083" w:rsidRDefault="000F1FBE" w:rsidP="000F1FBE">
            <w:pPr>
              <w:pStyle w:val="BodyText"/>
              <w:rPr>
                <w:rFonts w:ascii="Arial" w:hAnsi="Arial" w:cs="Arial"/>
                <w:b/>
                <w:bCs/>
                <w:sz w:val="20"/>
                <w:szCs w:val="20"/>
              </w:rPr>
            </w:pPr>
            <w:r w:rsidRPr="001C2083">
              <w:rPr>
                <w:rFonts w:ascii="Arial" w:hAnsi="Arial" w:cs="Arial"/>
                <w:sz w:val="20"/>
                <w:szCs w:val="20"/>
              </w:rPr>
              <w:t>Despite comprising most (72%) of CSV’s workforce, like most defined entities, women are underrepresented in management roles and in technician and trade roles and are concentrated in lower-paid administrative roles (such as Trainee Court Registrar and Administration Officer roles). This has remained the same throughout the reporting period. The only major change CSV has observed in this period is the decrease of men in its Community and Personal Service Worker positions which are mainly roles in specialist courts and family violence programs. In 2021 these roles were gender balanced, in 2023, with the loss of seven men, women now comprise 91% of these roles. This warrants further investigation.</w:t>
            </w:r>
            <w:r w:rsidRPr="001C2083">
              <w:rPr>
                <w:rFonts w:ascii="Arial" w:hAnsi="Arial" w:cs="Arial"/>
                <w:sz w:val="20"/>
                <w:szCs w:val="20"/>
              </w:rPr>
              <w:br/>
            </w:r>
            <w:r w:rsidRPr="001C2083">
              <w:rPr>
                <w:rFonts w:ascii="Arial" w:hAnsi="Arial" w:cs="Arial"/>
                <w:sz w:val="20"/>
                <w:szCs w:val="20"/>
              </w:rPr>
              <w:br/>
              <w:t>CSV recognises that the composition of its workforce and the distribution of occupations can be influenced by various forms of workplace discrimination including bullying and other negative behaviours, and that people with certain attributes are more likely to experience negative workplace behaviours and barriers than others which can skew distributions across levels, occupations, or leadership groups in an organisation.</w:t>
            </w:r>
            <w:r w:rsidRPr="001C2083">
              <w:rPr>
                <w:rFonts w:ascii="Arial" w:hAnsi="Arial" w:cs="Arial"/>
                <w:sz w:val="20"/>
                <w:szCs w:val="20"/>
              </w:rPr>
              <w:br/>
            </w:r>
            <w:r w:rsidRPr="001C2083">
              <w:rPr>
                <w:rFonts w:ascii="Arial" w:hAnsi="Arial" w:cs="Arial"/>
                <w:sz w:val="20"/>
                <w:szCs w:val="20"/>
              </w:rPr>
              <w:br/>
              <w:t xml:space="preserve">PMS data provides some insights and shows that marginalised groups are overrepresented among those who reported experiencing bullying and discrimination including those who are non-binary or use a different term, people with disability, First People, and those from the LGBTQIA+ community. </w:t>
            </w:r>
            <w:r w:rsidRPr="001C2083">
              <w:rPr>
                <w:rFonts w:ascii="Arial" w:hAnsi="Arial" w:cs="Arial"/>
                <w:sz w:val="20"/>
                <w:szCs w:val="20"/>
              </w:rPr>
              <w:br/>
            </w:r>
            <w:r w:rsidRPr="001C2083">
              <w:rPr>
                <w:rFonts w:ascii="Arial" w:hAnsi="Arial" w:cs="Arial"/>
                <w:sz w:val="20"/>
                <w:szCs w:val="20"/>
              </w:rPr>
              <w:br/>
              <w:t xml:space="preserve">The most common forms of bullying experienced were incivility, exclusion, or isolation. The most common forms of discrimination people reported were being denied opportunities for promotion, training, and professional development, and being denied flexible work arrangements or other adjustments. </w:t>
            </w:r>
            <w:r w:rsidRPr="001C2083">
              <w:rPr>
                <w:rFonts w:ascii="Arial" w:hAnsi="Arial" w:cs="Arial"/>
                <w:sz w:val="20"/>
                <w:szCs w:val="20"/>
              </w:rPr>
              <w:br/>
            </w:r>
            <w:r w:rsidRPr="001C2083">
              <w:rPr>
                <w:rFonts w:ascii="Arial" w:hAnsi="Arial" w:cs="Arial"/>
                <w:sz w:val="20"/>
                <w:szCs w:val="20"/>
              </w:rPr>
              <w:br/>
              <w:t xml:space="preserve">CSV has already put in place actions to address this overrepresentation including employee and leader training on gender equality, diversity and inclusion, unconscious bias, and cultural safety. CSV has also included a stronger focus on intersectional gender inequality and compounded disadvantage in all its negative workplace behaviours training materials and introduced specialist supports for First Peoples and the LGBTQIA+ community. It is also implementing a program of work to increase cultural safety and cultural capability across CSV’s workforce. These results, however, show that there is still more to do. </w:t>
            </w:r>
            <w:r w:rsidRPr="001C2083">
              <w:rPr>
                <w:rFonts w:ascii="Arial" w:hAnsi="Arial" w:cs="Arial"/>
                <w:sz w:val="20"/>
                <w:szCs w:val="20"/>
              </w:rPr>
              <w:br/>
            </w:r>
            <w:r w:rsidRPr="001C2083">
              <w:rPr>
                <w:rFonts w:ascii="Arial" w:hAnsi="Arial" w:cs="Arial"/>
                <w:sz w:val="20"/>
                <w:szCs w:val="20"/>
              </w:rPr>
              <w:br/>
              <w:t>Despite the prevalence of bullying and discrimination in its workforce, CSV has seen some improvements in employee sentiment about gender segregation, workplace inclusion and respect. However, there are some differences for women with disability and Aboriginal and Torres Strait Islander women. These two groups returned some less favourable scores, and some notable decreases from 2021.</w:t>
            </w:r>
            <w:r w:rsidRPr="001C2083">
              <w:rPr>
                <w:rFonts w:ascii="Arial" w:hAnsi="Arial" w:cs="Arial"/>
                <w:sz w:val="20"/>
                <w:szCs w:val="20"/>
              </w:rPr>
              <w:br/>
            </w:r>
            <w:r w:rsidRPr="001C2083">
              <w:rPr>
                <w:rFonts w:ascii="Arial" w:hAnsi="Arial" w:cs="Arial"/>
                <w:sz w:val="20"/>
                <w:szCs w:val="20"/>
              </w:rPr>
              <w:lastRenderedPageBreak/>
              <w:br/>
              <w:t>Overall, 82% of women feel confident that work is allocated regardless of gender. Men are more confident in this regard (88%). The least favourable responses to this question came from women with disability, and the non-binary/prefer not say cohort.</w:t>
            </w:r>
            <w:r w:rsidRPr="001C2083">
              <w:rPr>
                <w:rFonts w:ascii="Arial" w:hAnsi="Arial" w:cs="Arial"/>
                <w:sz w:val="20"/>
                <w:szCs w:val="20"/>
              </w:rPr>
              <w:br/>
            </w:r>
            <w:r w:rsidRPr="001C2083">
              <w:rPr>
                <w:rFonts w:ascii="Arial" w:hAnsi="Arial" w:cs="Arial"/>
                <w:sz w:val="20"/>
                <w:szCs w:val="20"/>
              </w:rPr>
              <w:br/>
              <w:t>Since 2021, there has been an overall increase (from 86-88%) in favourable responses to the statement ‘my manager treats employees with dignity and respect’. Among women, the increase is smaller - 88-89%. 95% of respondents who identify as non-binary or use another term agreed with this statement in 2023 (no comparative data from 2021). There has been a decrease, however, in favourable responses to this statement from marginalised groups, including from Aboriginal and Torres Strait Islander women and women with a disability, which shows CSV has more work to do in these areas.</w:t>
            </w:r>
            <w:r w:rsidRPr="001C2083">
              <w:rPr>
                <w:rFonts w:ascii="Arial" w:hAnsi="Arial" w:cs="Arial"/>
                <w:sz w:val="20"/>
                <w:szCs w:val="20"/>
              </w:rPr>
              <w:br/>
            </w:r>
            <w:r w:rsidRPr="001C2083">
              <w:rPr>
                <w:rFonts w:ascii="Arial" w:hAnsi="Arial" w:cs="Arial"/>
                <w:sz w:val="20"/>
                <w:szCs w:val="20"/>
              </w:rPr>
              <w:br/>
              <w:t>For some groups, there has been a slight increase in favo</w:t>
            </w:r>
            <w:r w:rsidR="00FC02CE">
              <w:rPr>
                <w:rFonts w:ascii="Arial" w:hAnsi="Arial" w:cs="Arial"/>
                <w:sz w:val="20"/>
                <w:szCs w:val="20"/>
              </w:rPr>
              <w:t>u</w:t>
            </w:r>
            <w:r w:rsidRPr="001C2083">
              <w:rPr>
                <w:rFonts w:ascii="Arial" w:hAnsi="Arial" w:cs="Arial"/>
                <w:sz w:val="20"/>
                <w:szCs w:val="20"/>
              </w:rPr>
              <w:t>rable responses to the statement ‘my organisation encourages respectful workplace behavio</w:t>
            </w:r>
            <w:r w:rsidR="00FC02CE">
              <w:rPr>
                <w:rFonts w:ascii="Arial" w:hAnsi="Arial" w:cs="Arial"/>
                <w:sz w:val="20"/>
                <w:szCs w:val="20"/>
              </w:rPr>
              <w:t>u</w:t>
            </w:r>
            <w:r w:rsidRPr="001C2083">
              <w:rPr>
                <w:rFonts w:ascii="Arial" w:hAnsi="Arial" w:cs="Arial"/>
                <w:sz w:val="20"/>
                <w:szCs w:val="20"/>
              </w:rPr>
              <w:t>rs’. In 2023, 81% of women respondents agreed with this statement and 79% of respondents who are non-binary/use a different term.  However, there has been a concerning drop from Aboriginal and Torres Strait Islander women respondents. CSV already has initiatives in place to address this, including our a program of work to increase cultural safety and cultural capability across CSV’s workforce.</w:t>
            </w:r>
            <w:r w:rsidRPr="001C2083">
              <w:rPr>
                <w:rFonts w:ascii="Arial" w:hAnsi="Arial" w:cs="Arial"/>
                <w:sz w:val="20"/>
                <w:szCs w:val="20"/>
              </w:rPr>
              <w:br/>
            </w:r>
            <w:r w:rsidRPr="001C2083">
              <w:rPr>
                <w:rFonts w:ascii="Arial" w:hAnsi="Arial" w:cs="Arial"/>
                <w:sz w:val="20"/>
                <w:szCs w:val="20"/>
              </w:rPr>
              <w:br/>
              <w:t xml:space="preserve">Despite some improvements in favourable responses to relevant PMS questions, CSV’s workforce remains highly gender segregated which may be related to the existence of negative workplace behaviours, and it cannot report progress against this indicator at this time. </w:t>
            </w:r>
          </w:p>
        </w:tc>
      </w:tr>
    </w:tbl>
    <w:p w14:paraId="174A5A25" w14:textId="77777777" w:rsidR="002A523C" w:rsidRDefault="002A523C" w:rsidP="00A65F1E">
      <w:pPr>
        <w:pStyle w:val="BodyText"/>
      </w:pPr>
    </w:p>
    <w:p w14:paraId="7A5B7317" w14:textId="77777777" w:rsidR="000F1FBE" w:rsidRDefault="000F1FBE" w:rsidP="000F1FBE"/>
    <w:p w14:paraId="60D266E9" w14:textId="77777777" w:rsidR="00CD7CEC" w:rsidRDefault="00CD7CEC" w:rsidP="000F1FBE"/>
    <w:p w14:paraId="0784AB8D" w14:textId="77777777" w:rsidR="00CD7CEC" w:rsidRDefault="00CD7CEC" w:rsidP="000F1FBE"/>
    <w:p w14:paraId="688CD720" w14:textId="77777777" w:rsidR="00CD7CEC" w:rsidRDefault="00CD7CEC" w:rsidP="000F1FBE"/>
    <w:p w14:paraId="3646F0FF" w14:textId="77777777" w:rsidR="00FC02CE" w:rsidRDefault="00FC02CE" w:rsidP="000F1FBE"/>
    <w:p w14:paraId="7E38A08E" w14:textId="77777777" w:rsidR="00CD7CEC" w:rsidRDefault="00CD7CEC" w:rsidP="000F1FBE"/>
    <w:p w14:paraId="4400F198" w14:textId="2B540F07" w:rsidR="000F1FBE" w:rsidRDefault="000F1FBE" w:rsidP="000F1FBE">
      <w:pPr>
        <w:pStyle w:val="Heading1"/>
      </w:pPr>
      <w:bookmarkStart w:id="4" w:name="_Toc182599247"/>
      <w:r>
        <w:lastRenderedPageBreak/>
        <w:t>Gender Impact Assessments</w:t>
      </w:r>
      <w:bookmarkEnd w:id="4"/>
    </w:p>
    <w:p w14:paraId="43F9CC3C" w14:textId="77777777" w:rsidR="000F1FBE" w:rsidRPr="000F1FBE" w:rsidRDefault="000F1FBE" w:rsidP="000F1FBE">
      <w:pPr>
        <w:tabs>
          <w:tab w:val="left" w:pos="1455"/>
        </w:tabs>
      </w:pPr>
      <w:r>
        <w:tab/>
      </w:r>
    </w:p>
    <w:tbl>
      <w:tblPr>
        <w:tblStyle w:val="TableGrid"/>
        <w:tblW w:w="0" w:type="auto"/>
        <w:tblLook w:val="04A0" w:firstRow="1" w:lastRow="0" w:firstColumn="1" w:lastColumn="0" w:noHBand="0" w:noVBand="1"/>
      </w:tblPr>
      <w:tblGrid>
        <w:gridCol w:w="2127"/>
        <w:gridCol w:w="4252"/>
        <w:gridCol w:w="3686"/>
        <w:gridCol w:w="4505"/>
      </w:tblGrid>
      <w:tr w:rsidR="000F1FBE" w14:paraId="043871C2" w14:textId="77777777" w:rsidTr="00CD7CEC">
        <w:trPr>
          <w:cnfStyle w:val="100000000000" w:firstRow="1" w:lastRow="0" w:firstColumn="0" w:lastColumn="0" w:oddVBand="0" w:evenVBand="0" w:oddHBand="0" w:evenHBand="0" w:firstRowFirstColumn="0" w:firstRowLastColumn="0" w:lastRowFirstColumn="0" w:lastRowLastColumn="0"/>
          <w:tblHeader/>
        </w:trPr>
        <w:tc>
          <w:tcPr>
            <w:tcW w:w="2127" w:type="dxa"/>
          </w:tcPr>
          <w:p w14:paraId="61363973" w14:textId="1E6A36FB" w:rsidR="000F1FBE" w:rsidRDefault="000F1FBE" w:rsidP="000F1FBE">
            <w:pPr>
              <w:tabs>
                <w:tab w:val="left" w:pos="1455"/>
              </w:tabs>
            </w:pPr>
            <w:r>
              <w:t>Title</w:t>
            </w:r>
          </w:p>
        </w:tc>
        <w:tc>
          <w:tcPr>
            <w:tcW w:w="4252" w:type="dxa"/>
          </w:tcPr>
          <w:p w14:paraId="7846DCBF" w14:textId="085F90B4" w:rsidR="000F1FBE" w:rsidRDefault="000F1FBE" w:rsidP="000F1FBE">
            <w:pPr>
              <w:tabs>
                <w:tab w:val="left" w:pos="1455"/>
              </w:tabs>
            </w:pPr>
            <w:r>
              <w:t>Description</w:t>
            </w:r>
          </w:p>
        </w:tc>
        <w:tc>
          <w:tcPr>
            <w:tcW w:w="3686" w:type="dxa"/>
          </w:tcPr>
          <w:p w14:paraId="518F81C6" w14:textId="163128F7" w:rsidR="000F1FBE" w:rsidRDefault="000F1FBE" w:rsidP="000F1FBE">
            <w:pPr>
              <w:tabs>
                <w:tab w:val="left" w:pos="1455"/>
              </w:tabs>
            </w:pPr>
            <w:r>
              <w:t>Actions taken</w:t>
            </w:r>
          </w:p>
        </w:tc>
        <w:tc>
          <w:tcPr>
            <w:tcW w:w="4505" w:type="dxa"/>
          </w:tcPr>
          <w:p w14:paraId="09726279" w14:textId="6FD6780F" w:rsidR="000F1FBE" w:rsidRDefault="000F1FBE" w:rsidP="000F1FBE">
            <w:pPr>
              <w:tabs>
                <w:tab w:val="left" w:pos="1455"/>
              </w:tabs>
            </w:pPr>
            <w:r>
              <w:t>Intersectional lens applied</w:t>
            </w:r>
          </w:p>
        </w:tc>
      </w:tr>
      <w:tr w:rsidR="00210A71" w:rsidRPr="00901A90" w14:paraId="666F006B" w14:textId="77777777" w:rsidTr="002A3241">
        <w:trPr>
          <w:trHeight w:val="1256"/>
        </w:trPr>
        <w:tc>
          <w:tcPr>
            <w:tcW w:w="2127" w:type="dxa"/>
            <w:hideMark/>
          </w:tcPr>
          <w:p w14:paraId="3A0148AF" w14:textId="77777777" w:rsidR="00210A71" w:rsidRPr="00701832" w:rsidRDefault="00210A71" w:rsidP="00F907C8">
            <w:pPr>
              <w:spacing w:after="0" w:line="240" w:lineRule="auto"/>
              <w:rPr>
                <w:rFonts w:ascii="Arial" w:hAnsi="Arial" w:cs="Arial"/>
                <w:b/>
                <w:bCs/>
                <w:color w:val="000000"/>
                <w:sz w:val="20"/>
                <w:szCs w:val="20"/>
              </w:rPr>
            </w:pPr>
            <w:r w:rsidRPr="00701832">
              <w:rPr>
                <w:rFonts w:ascii="Arial" w:hAnsi="Arial" w:cs="Arial"/>
                <w:b/>
                <w:bCs/>
                <w:color w:val="000000"/>
                <w:sz w:val="20"/>
                <w:szCs w:val="20"/>
              </w:rPr>
              <w:t>Bendigo Law Courts</w:t>
            </w:r>
          </w:p>
          <w:p w14:paraId="5E4E23F6" w14:textId="77777777" w:rsidR="00210A71" w:rsidRPr="00901A90" w:rsidRDefault="00210A71" w:rsidP="00F907C8">
            <w:pPr>
              <w:spacing w:after="0" w:line="240" w:lineRule="auto"/>
              <w:rPr>
                <w:rFonts w:ascii="Arial" w:hAnsi="Arial" w:cs="Arial"/>
                <w:color w:val="000000"/>
                <w:sz w:val="20"/>
                <w:szCs w:val="20"/>
              </w:rPr>
            </w:pPr>
          </w:p>
          <w:p w14:paraId="76C66BA8" w14:textId="77777777" w:rsidR="00210A71" w:rsidRPr="00B00311" w:rsidRDefault="00210A71" w:rsidP="00F907C8">
            <w:pPr>
              <w:spacing w:after="0" w:line="240" w:lineRule="auto"/>
              <w:rPr>
                <w:rFonts w:ascii="Arial" w:hAnsi="Arial" w:cs="Arial"/>
                <w:color w:val="000000"/>
                <w:sz w:val="20"/>
                <w:szCs w:val="20"/>
              </w:rPr>
            </w:pPr>
            <w:r w:rsidRPr="00901A90">
              <w:rPr>
                <w:rFonts w:ascii="Arial" w:hAnsi="Arial" w:cs="Arial"/>
                <w:color w:val="000000"/>
                <w:sz w:val="20"/>
                <w:szCs w:val="20"/>
              </w:rPr>
              <w:t>New Program</w:t>
            </w:r>
          </w:p>
        </w:tc>
        <w:tc>
          <w:tcPr>
            <w:tcW w:w="4252" w:type="dxa"/>
            <w:hideMark/>
          </w:tcPr>
          <w:p w14:paraId="351CFD53"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Capital funding to construct a new, multijurisdictional law court at Bendigo was provided by the Victorian government in 2019. A GIA was completed on the 2021 budget bid to provide the budget required to operationalise all court services.</w:t>
            </w:r>
            <w:r w:rsidRPr="00B00311">
              <w:rPr>
                <w:rFonts w:ascii="Arial" w:hAnsi="Arial" w:cs="Arial"/>
                <w:color w:val="000000"/>
                <w:sz w:val="20"/>
                <w:szCs w:val="20"/>
              </w:rPr>
              <w:br/>
              <w:t>Through the GIA process, it was found that the new court would already address gender inequality and promote gender equality because it would provide:</w:t>
            </w:r>
            <w:r w:rsidRPr="00B00311">
              <w:rPr>
                <w:rFonts w:ascii="Arial" w:hAnsi="Arial" w:cs="Arial"/>
                <w:color w:val="000000"/>
                <w:sz w:val="20"/>
                <w:szCs w:val="20"/>
              </w:rPr>
              <w:br/>
              <w:t>.enhanced access to protection for women seeking relief from family violence.</w:t>
            </w:r>
            <w:r w:rsidRPr="00B00311">
              <w:rPr>
                <w:rFonts w:ascii="Arial" w:hAnsi="Arial" w:cs="Arial"/>
                <w:color w:val="000000"/>
                <w:sz w:val="20"/>
                <w:szCs w:val="20"/>
              </w:rPr>
              <w:br/>
              <w:t>.local access to legal protections against discrimination on the grounds of gender identity, sexual orientation, and religious belief.</w:t>
            </w:r>
            <w:r w:rsidRPr="00B00311">
              <w:rPr>
                <w:rFonts w:ascii="Arial" w:hAnsi="Arial" w:cs="Arial"/>
                <w:color w:val="000000"/>
                <w:sz w:val="20"/>
                <w:szCs w:val="20"/>
              </w:rPr>
              <w:br/>
              <w:t xml:space="preserve">.an increase in employment opportunities for local women. </w:t>
            </w:r>
          </w:p>
        </w:tc>
        <w:tc>
          <w:tcPr>
            <w:tcW w:w="3686" w:type="dxa"/>
            <w:hideMark/>
          </w:tcPr>
          <w:p w14:paraId="342F2535"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To support the needs of carers (who are more likely to be women) and young people, the building incorporates a Parent Room which has a bench, sink, microwave, and comfortable seating for breastfeeding/chestfeeding parents. It is inclusive of parents of all genders and open to all members of the public. </w:t>
            </w:r>
            <w:r w:rsidRPr="00B00311">
              <w:rPr>
                <w:rFonts w:ascii="Arial" w:hAnsi="Arial" w:cs="Arial"/>
                <w:color w:val="000000"/>
                <w:sz w:val="20"/>
                <w:szCs w:val="20"/>
              </w:rPr>
              <w:br/>
              <w:t>All public waiting spaces have child-friendly furniture.</w:t>
            </w:r>
            <w:r w:rsidRPr="00B00311">
              <w:rPr>
                <w:rFonts w:ascii="Arial" w:hAnsi="Arial" w:cs="Arial"/>
                <w:color w:val="000000"/>
                <w:sz w:val="20"/>
                <w:szCs w:val="20"/>
              </w:rPr>
              <w:br/>
              <w:t>A safe entrance for family violence victim-survivors (the majority of whom are women), was added.</w:t>
            </w:r>
            <w:r w:rsidRPr="00B00311">
              <w:rPr>
                <w:rFonts w:ascii="Arial" w:hAnsi="Arial" w:cs="Arial"/>
                <w:color w:val="000000"/>
                <w:sz w:val="20"/>
                <w:szCs w:val="20"/>
              </w:rPr>
              <w:br/>
              <w:t>A unisex toilet is available and can be used by people of all genders.</w:t>
            </w:r>
          </w:p>
        </w:tc>
        <w:tc>
          <w:tcPr>
            <w:tcW w:w="4505" w:type="dxa"/>
            <w:hideMark/>
          </w:tcPr>
          <w:p w14:paraId="0FB323BF"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To provide a culturally inclusive place for First Peoples, design of the building was conducted in collaboration with the traditional owners, Dja Dja Wurrung and the Taungurung Peoples of the Kulin Nation. Dja Dja Wurrung culture is embedded in the building, including: </w:t>
            </w:r>
            <w:r w:rsidRPr="00B00311">
              <w:rPr>
                <w:rFonts w:ascii="Arial" w:hAnsi="Arial" w:cs="Arial"/>
                <w:color w:val="000000"/>
                <w:sz w:val="20"/>
                <w:szCs w:val="20"/>
              </w:rPr>
              <w:br/>
              <w:t>Language and art elements in over 35 locations within the building and precinct.</w:t>
            </w:r>
            <w:r w:rsidRPr="00B00311">
              <w:rPr>
                <w:rFonts w:ascii="Arial" w:hAnsi="Arial" w:cs="Arial"/>
                <w:color w:val="000000"/>
                <w:sz w:val="20"/>
                <w:szCs w:val="20"/>
              </w:rPr>
              <w:br/>
              <w:t xml:space="preserve">Artworks by Djaara artists throughout the building, including a representation of creation being Bunjil, soaring four levels high in the building's copper fabric, enveloping the corner facade of Hargreaves and Mundy Streets. </w:t>
            </w:r>
            <w:r w:rsidRPr="00B00311">
              <w:rPr>
                <w:rFonts w:ascii="Arial" w:hAnsi="Arial" w:cs="Arial"/>
                <w:color w:val="000000"/>
                <w:sz w:val="20"/>
                <w:szCs w:val="20"/>
              </w:rPr>
              <w:br/>
              <w:t>A welcoming courtyard paved to symbolise a smoking ceremony and landscaped to symbolise the distinctive granite outcrops, water features and native flora of Dja Dja Wurrung Country.-Language of the Dja Dja Wurrung (Djaara) is used within the building and precinct. Waiting rooms, meeting rooms and hearing rooms are named in Djaara language.</w:t>
            </w:r>
            <w:r w:rsidRPr="00B00311">
              <w:rPr>
                <w:rFonts w:ascii="Arial" w:hAnsi="Arial" w:cs="Arial"/>
                <w:color w:val="000000"/>
                <w:sz w:val="20"/>
                <w:szCs w:val="20"/>
              </w:rPr>
              <w:br/>
            </w:r>
            <w:r w:rsidRPr="00B00311">
              <w:rPr>
                <w:rFonts w:ascii="Arial" w:hAnsi="Arial" w:cs="Arial"/>
                <w:color w:val="000000"/>
                <w:sz w:val="20"/>
                <w:szCs w:val="20"/>
              </w:rPr>
              <w:br/>
              <w:t xml:space="preserve">Accessibility has also been central to design. Both entrances are step-free and have automatic doors; all floors are accessible by lifts, each floor has accessible toilets including standard, unisex accessible and toilets for ambulant people. Assistance animals are welcome, and all court, hearing and mediation rooms have dedicated hearing loops; a Digital Wayfinding System is in place, and all signs have braille. The webpage can be translated into several languages, and interpreters can be provided on request. </w:t>
            </w:r>
            <w:r w:rsidRPr="00B00311">
              <w:rPr>
                <w:rFonts w:ascii="Arial" w:hAnsi="Arial" w:cs="Arial"/>
                <w:color w:val="000000"/>
                <w:sz w:val="20"/>
                <w:szCs w:val="20"/>
              </w:rPr>
              <w:br/>
              <w:t>The Court also includes a multifaith room, available to the public.</w:t>
            </w:r>
          </w:p>
        </w:tc>
      </w:tr>
      <w:tr w:rsidR="00210A71" w:rsidRPr="00901A90" w14:paraId="55267D1D" w14:textId="77777777" w:rsidTr="00CD7CEC">
        <w:trPr>
          <w:trHeight w:val="1543"/>
        </w:trPr>
        <w:tc>
          <w:tcPr>
            <w:tcW w:w="2127" w:type="dxa"/>
            <w:hideMark/>
          </w:tcPr>
          <w:p w14:paraId="4B700540" w14:textId="77777777" w:rsidR="00210A71" w:rsidRPr="00701832" w:rsidRDefault="00210A71" w:rsidP="00F907C8">
            <w:pPr>
              <w:spacing w:after="0" w:line="240" w:lineRule="auto"/>
              <w:rPr>
                <w:rFonts w:ascii="Arial" w:hAnsi="Arial" w:cs="Arial"/>
                <w:b/>
                <w:bCs/>
                <w:color w:val="000000"/>
                <w:sz w:val="20"/>
                <w:szCs w:val="20"/>
              </w:rPr>
            </w:pPr>
            <w:r w:rsidRPr="00701832">
              <w:rPr>
                <w:rFonts w:ascii="Arial" w:hAnsi="Arial" w:cs="Arial"/>
                <w:b/>
                <w:bCs/>
                <w:color w:val="000000"/>
                <w:sz w:val="20"/>
                <w:szCs w:val="20"/>
              </w:rPr>
              <w:lastRenderedPageBreak/>
              <w:t>Court Management System Project (CMS)</w:t>
            </w:r>
          </w:p>
          <w:p w14:paraId="2386562C" w14:textId="77777777" w:rsidR="00210A71" w:rsidRPr="00901A90" w:rsidRDefault="00210A71" w:rsidP="00F907C8">
            <w:pPr>
              <w:spacing w:after="0" w:line="240" w:lineRule="auto"/>
              <w:rPr>
                <w:rFonts w:ascii="Arial" w:hAnsi="Arial" w:cs="Arial"/>
                <w:color w:val="000000"/>
                <w:sz w:val="20"/>
                <w:szCs w:val="20"/>
              </w:rPr>
            </w:pPr>
          </w:p>
          <w:p w14:paraId="73A49B5D" w14:textId="77777777" w:rsidR="00210A71" w:rsidRPr="00B00311" w:rsidRDefault="00210A71" w:rsidP="00F907C8">
            <w:pPr>
              <w:spacing w:after="0" w:line="240" w:lineRule="auto"/>
              <w:rPr>
                <w:rFonts w:ascii="Arial" w:hAnsi="Arial" w:cs="Arial"/>
                <w:color w:val="000000"/>
                <w:sz w:val="20"/>
                <w:szCs w:val="20"/>
              </w:rPr>
            </w:pPr>
            <w:r w:rsidRPr="00901A90">
              <w:rPr>
                <w:rFonts w:ascii="Arial" w:hAnsi="Arial" w:cs="Arial"/>
                <w:color w:val="000000"/>
                <w:sz w:val="20"/>
                <w:szCs w:val="20"/>
              </w:rPr>
              <w:t>New Program</w:t>
            </w:r>
          </w:p>
        </w:tc>
        <w:tc>
          <w:tcPr>
            <w:tcW w:w="4252" w:type="dxa"/>
            <w:hideMark/>
          </w:tcPr>
          <w:p w14:paraId="0CE946A2"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The CMS Project aims to design and implement a modern case management system for the Magistrates’ Court and Children’s Court that supports the ongoing growth of caseloads, is a one-point of entry for all cases in these two courts, and streamlines data capture, processes, and information exchange.  A GIA was conducted in the early stages of the project. </w:t>
            </w:r>
          </w:p>
        </w:tc>
        <w:tc>
          <w:tcPr>
            <w:tcW w:w="3686" w:type="dxa"/>
            <w:hideMark/>
          </w:tcPr>
          <w:p w14:paraId="6C477477"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To ensure inclusion for the trans and gender diverse community, the gender identifiers were changed from male, female, other to</w:t>
            </w:r>
            <w:r w:rsidRPr="00B00311">
              <w:rPr>
                <w:rFonts w:ascii="Arial" w:hAnsi="Arial" w:cs="Arial"/>
                <w:color w:val="000000"/>
                <w:sz w:val="20"/>
                <w:szCs w:val="20"/>
              </w:rPr>
              <w:br/>
              <w:t>woman, man, non-binary, prefer to self-describe (free text box).</w:t>
            </w:r>
            <w:r w:rsidRPr="00B00311">
              <w:rPr>
                <w:rFonts w:ascii="Arial" w:hAnsi="Arial" w:cs="Arial"/>
                <w:color w:val="000000"/>
                <w:sz w:val="20"/>
                <w:szCs w:val="20"/>
              </w:rPr>
              <w:br/>
              <w:t xml:space="preserve">-In addition, an optional space was added in the system for the inclusion of pronouns. </w:t>
            </w:r>
          </w:p>
        </w:tc>
        <w:tc>
          <w:tcPr>
            <w:tcW w:w="4505" w:type="dxa"/>
            <w:hideMark/>
          </w:tcPr>
          <w:p w14:paraId="0C4BDB3D"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The CMS project also collects data on First Nations status and there is a free text box which is designated for additional information which may assist in conducting the court case (for instance other diversity markers). This will be reviewed periodically. </w:t>
            </w:r>
          </w:p>
        </w:tc>
      </w:tr>
      <w:tr w:rsidR="00210A71" w:rsidRPr="00901A90" w14:paraId="12A18AB6" w14:textId="77777777" w:rsidTr="002478C2">
        <w:trPr>
          <w:trHeight w:val="964"/>
        </w:trPr>
        <w:tc>
          <w:tcPr>
            <w:tcW w:w="2127" w:type="dxa"/>
            <w:hideMark/>
          </w:tcPr>
          <w:p w14:paraId="409AA617" w14:textId="77777777" w:rsidR="00210A71" w:rsidRPr="00701832" w:rsidRDefault="00210A71" w:rsidP="00F907C8">
            <w:pPr>
              <w:spacing w:after="0" w:line="240" w:lineRule="auto"/>
              <w:rPr>
                <w:rFonts w:ascii="Arial" w:hAnsi="Arial" w:cs="Arial"/>
                <w:b/>
                <w:bCs/>
                <w:color w:val="000000"/>
                <w:sz w:val="20"/>
                <w:szCs w:val="20"/>
              </w:rPr>
            </w:pPr>
            <w:r w:rsidRPr="00701832">
              <w:rPr>
                <w:rFonts w:ascii="Arial" w:hAnsi="Arial" w:cs="Arial"/>
                <w:b/>
                <w:bCs/>
                <w:color w:val="000000"/>
                <w:sz w:val="20"/>
                <w:szCs w:val="20"/>
              </w:rPr>
              <w:t xml:space="preserve">Therapeutic Justice </w:t>
            </w:r>
          </w:p>
          <w:p w14:paraId="07E2910F" w14:textId="77777777" w:rsidR="00210A71" w:rsidRPr="00901A90" w:rsidRDefault="00210A71" w:rsidP="00F907C8">
            <w:pPr>
              <w:spacing w:after="0" w:line="240" w:lineRule="auto"/>
              <w:rPr>
                <w:rFonts w:ascii="Arial" w:hAnsi="Arial" w:cs="Arial"/>
                <w:color w:val="000000"/>
                <w:sz w:val="20"/>
                <w:szCs w:val="20"/>
              </w:rPr>
            </w:pPr>
          </w:p>
          <w:p w14:paraId="19E3919E"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Program</w:t>
            </w:r>
            <w:r w:rsidRPr="00901A90">
              <w:rPr>
                <w:rFonts w:ascii="Arial" w:hAnsi="Arial" w:cs="Arial"/>
                <w:color w:val="000000"/>
                <w:sz w:val="20"/>
                <w:szCs w:val="20"/>
              </w:rPr>
              <w:t xml:space="preserve"> up for review</w:t>
            </w:r>
          </w:p>
        </w:tc>
        <w:tc>
          <w:tcPr>
            <w:tcW w:w="4252" w:type="dxa"/>
            <w:hideMark/>
          </w:tcPr>
          <w:p w14:paraId="4A561178" w14:textId="79F06474"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Therapeutic Justice Program includes Drug Courts and the Court Integrated Service Programs (CISP).</w:t>
            </w:r>
            <w:r w:rsidRPr="00B00311">
              <w:rPr>
                <w:rFonts w:ascii="Arial" w:hAnsi="Arial" w:cs="Arial"/>
                <w:color w:val="000000"/>
                <w:sz w:val="20"/>
                <w:szCs w:val="20"/>
              </w:rPr>
              <w:br/>
              <w:t>Drug Courts promote the recovery of offenders through a judicially supervised, intensive, and integrated supervision and treatment regime, as an alternative to other sentences.</w:t>
            </w:r>
            <w:r w:rsidRPr="00B00311">
              <w:rPr>
                <w:rFonts w:ascii="Arial" w:hAnsi="Arial" w:cs="Arial"/>
                <w:color w:val="000000"/>
                <w:sz w:val="20"/>
                <w:szCs w:val="20"/>
              </w:rPr>
              <w:br/>
              <w:t>CISP is a pre-sentence bail support, or deferral of sentencing program, that addresses the underlying causes of offending by providing linkages to appropriate support services in conjunction with regular judicial monitoring.</w:t>
            </w:r>
            <w:r w:rsidRPr="00B00311">
              <w:rPr>
                <w:rFonts w:ascii="Arial" w:hAnsi="Arial" w:cs="Arial"/>
                <w:color w:val="000000"/>
                <w:sz w:val="20"/>
                <w:szCs w:val="20"/>
              </w:rPr>
              <w:br/>
              <w:t xml:space="preserve">Drug Courts and CISP have been in place since 2002 and 2006 respectively. </w:t>
            </w:r>
            <w:r w:rsidRPr="00B00311">
              <w:rPr>
                <w:rFonts w:ascii="Arial" w:hAnsi="Arial" w:cs="Arial"/>
                <w:color w:val="000000"/>
                <w:sz w:val="20"/>
                <w:szCs w:val="20"/>
              </w:rPr>
              <w:br/>
              <w:t xml:space="preserve">A GIA was completed on the budget bid to extend funding for this program. </w:t>
            </w:r>
            <w:r w:rsidRPr="00B00311">
              <w:rPr>
                <w:rFonts w:ascii="Arial" w:hAnsi="Arial" w:cs="Arial"/>
                <w:color w:val="000000"/>
                <w:sz w:val="20"/>
                <w:szCs w:val="20"/>
              </w:rPr>
              <w:br/>
              <w:t xml:space="preserve">Through conducting a GIA, it was found that Drug Courts and CISP have already been designed with gender and intersectionality in mind. </w:t>
            </w:r>
            <w:r w:rsidRPr="00B00311">
              <w:rPr>
                <w:rFonts w:ascii="Arial" w:hAnsi="Arial" w:cs="Arial"/>
                <w:color w:val="000000"/>
                <w:sz w:val="20"/>
                <w:szCs w:val="20"/>
              </w:rPr>
              <w:br/>
              <w:t>The Program promotes gender equality because a key outcome is to address the underlying causes of crime, reduce recidivism, and provide effective alternatives to incarceration. This will improve outcomes for women who are disproportionately affected by offending behaviour.</w:t>
            </w:r>
            <w:r w:rsidRPr="00B00311">
              <w:rPr>
                <w:rFonts w:ascii="Arial" w:hAnsi="Arial" w:cs="Arial"/>
                <w:color w:val="000000"/>
                <w:sz w:val="20"/>
                <w:szCs w:val="20"/>
              </w:rPr>
              <w:br/>
            </w:r>
            <w:r w:rsidRPr="00B00311">
              <w:rPr>
                <w:rFonts w:ascii="Arial" w:hAnsi="Arial" w:cs="Arial"/>
                <w:color w:val="000000"/>
                <w:sz w:val="20"/>
                <w:szCs w:val="20"/>
              </w:rPr>
              <w:lastRenderedPageBreak/>
              <w:t xml:space="preserve">The Program contemplates the needs of different genders with a consideration of intersectionality; it provides specialist support for people of different sexual orientations, ages, and cultural identities and those impacted by alcohol and other drug use, housing insecurity and homelessness, mental illness, acquired brain injury, cognitive impairment, and family violence. </w:t>
            </w:r>
            <w:r w:rsidRPr="00B00311">
              <w:rPr>
                <w:rFonts w:ascii="Arial" w:hAnsi="Arial" w:cs="Arial"/>
                <w:color w:val="000000"/>
                <w:sz w:val="20"/>
                <w:szCs w:val="20"/>
              </w:rPr>
              <w:br/>
              <w:t xml:space="preserve">A range of Koori support and liaison roles engage with Aboriginal and Torres Strait Islander participants to provide culturally appropriate treatment and support.                                        </w:t>
            </w:r>
          </w:p>
        </w:tc>
        <w:tc>
          <w:tcPr>
            <w:tcW w:w="3686" w:type="dxa"/>
            <w:hideMark/>
          </w:tcPr>
          <w:p w14:paraId="62E915D6"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lastRenderedPageBreak/>
              <w:t xml:space="preserve">By conducting a GIA, it was found that Drug Courts and CISP have already been designed with gender and intersectionality in mind. </w:t>
            </w:r>
          </w:p>
        </w:tc>
        <w:tc>
          <w:tcPr>
            <w:tcW w:w="4505" w:type="dxa"/>
            <w:hideMark/>
          </w:tcPr>
          <w:p w14:paraId="22F7AC81"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By conducting a GIA, it was found that Drug Courts and CISP have already been designed with gender and intersectionality in mind. </w:t>
            </w:r>
          </w:p>
        </w:tc>
      </w:tr>
      <w:tr w:rsidR="00210A71" w:rsidRPr="00901A90" w14:paraId="0F5FB3F5" w14:textId="77777777" w:rsidTr="00CD7CEC">
        <w:trPr>
          <w:trHeight w:val="2603"/>
        </w:trPr>
        <w:tc>
          <w:tcPr>
            <w:tcW w:w="2127" w:type="dxa"/>
            <w:hideMark/>
          </w:tcPr>
          <w:p w14:paraId="5A532449" w14:textId="77777777" w:rsidR="00210A71" w:rsidRPr="00701832" w:rsidRDefault="00210A71" w:rsidP="00F907C8">
            <w:pPr>
              <w:spacing w:after="0" w:line="240" w:lineRule="auto"/>
              <w:rPr>
                <w:rFonts w:ascii="Arial" w:hAnsi="Arial" w:cs="Arial"/>
                <w:b/>
                <w:bCs/>
                <w:color w:val="000000"/>
                <w:sz w:val="20"/>
                <w:szCs w:val="20"/>
              </w:rPr>
            </w:pPr>
            <w:r w:rsidRPr="00701832">
              <w:rPr>
                <w:rFonts w:ascii="Arial" w:hAnsi="Arial" w:cs="Arial"/>
                <w:b/>
                <w:bCs/>
                <w:color w:val="000000"/>
                <w:sz w:val="20"/>
                <w:szCs w:val="20"/>
              </w:rPr>
              <w:t>Remote Support Hearing Services</w:t>
            </w:r>
          </w:p>
          <w:p w14:paraId="42A3D8E4" w14:textId="77777777" w:rsidR="00210A71" w:rsidRPr="00901A90" w:rsidRDefault="00210A71" w:rsidP="00F907C8">
            <w:pPr>
              <w:spacing w:after="0" w:line="240" w:lineRule="auto"/>
              <w:rPr>
                <w:rFonts w:ascii="Arial" w:hAnsi="Arial" w:cs="Arial"/>
                <w:color w:val="000000"/>
                <w:sz w:val="20"/>
                <w:szCs w:val="20"/>
              </w:rPr>
            </w:pPr>
          </w:p>
          <w:p w14:paraId="22C46A89" w14:textId="77777777" w:rsidR="00210A71" w:rsidRPr="00B00311" w:rsidRDefault="00210A71" w:rsidP="00F907C8">
            <w:pPr>
              <w:spacing w:after="0" w:line="240" w:lineRule="auto"/>
              <w:rPr>
                <w:rFonts w:ascii="Arial" w:hAnsi="Arial" w:cs="Arial"/>
                <w:color w:val="000000"/>
                <w:sz w:val="20"/>
                <w:szCs w:val="20"/>
              </w:rPr>
            </w:pPr>
            <w:r w:rsidRPr="00901A90">
              <w:rPr>
                <w:rFonts w:ascii="Arial" w:hAnsi="Arial" w:cs="Arial"/>
                <w:color w:val="000000"/>
                <w:sz w:val="20"/>
                <w:szCs w:val="20"/>
              </w:rPr>
              <w:t>Service up for review</w:t>
            </w:r>
          </w:p>
        </w:tc>
        <w:tc>
          <w:tcPr>
            <w:tcW w:w="4252" w:type="dxa"/>
            <w:hideMark/>
          </w:tcPr>
          <w:p w14:paraId="6437DD17" w14:textId="77777777" w:rsidR="00210A7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 xml:space="preserve">The Remote Hearing Support Service (RHSS) is a way for people affected by family violence to take part in a family violence intervention order hearing without coming to a court building, for instance at an Orange Door location or an Aboriginal Controlled Community Organisations. </w:t>
            </w:r>
            <w:r w:rsidRPr="00B00311">
              <w:rPr>
                <w:rFonts w:ascii="Arial" w:hAnsi="Arial" w:cs="Arial"/>
                <w:color w:val="000000"/>
                <w:sz w:val="20"/>
                <w:szCs w:val="20"/>
              </w:rPr>
              <w:br/>
              <w:t xml:space="preserve">96% of participants in this program have been women, the majority of whom who are seeking protection from family violence through a Family Violence Intervention Order. </w:t>
            </w:r>
            <w:r w:rsidRPr="00B00311">
              <w:rPr>
                <w:rFonts w:ascii="Arial" w:hAnsi="Arial" w:cs="Arial"/>
                <w:color w:val="000000"/>
                <w:sz w:val="20"/>
                <w:szCs w:val="20"/>
              </w:rPr>
              <w:br/>
              <w:t>The service has been in place at 11 Victorian Magistrates’ Court locations since 2022 and was a recommendation of the Royal Commission into Family Violence. A GIA was conducted on the budget bid to extend funding for this program.</w:t>
            </w:r>
            <w:r w:rsidRPr="00B00311">
              <w:rPr>
                <w:rFonts w:ascii="Arial" w:hAnsi="Arial" w:cs="Arial"/>
                <w:color w:val="000000"/>
                <w:sz w:val="20"/>
                <w:szCs w:val="20"/>
              </w:rPr>
              <w:br/>
              <w:t xml:space="preserve">By conducting a GIA, it was found that the service already addresses gender inequality and benefits women, with a consideration of intersectionality as the overarching objectives of the service are to increase Affected Family Member’s choice and agency around how they engage with the court process, increase safety in court appearances, and reduce stress and trauma through facing the </w:t>
            </w:r>
            <w:r w:rsidRPr="00B00311">
              <w:rPr>
                <w:rFonts w:ascii="Arial" w:hAnsi="Arial" w:cs="Arial"/>
                <w:color w:val="000000"/>
                <w:sz w:val="20"/>
                <w:szCs w:val="20"/>
              </w:rPr>
              <w:lastRenderedPageBreak/>
              <w:t>perpetrator at court.</w:t>
            </w:r>
            <w:r w:rsidRPr="00B00311">
              <w:rPr>
                <w:rFonts w:ascii="Arial" w:hAnsi="Arial" w:cs="Arial"/>
                <w:color w:val="000000"/>
                <w:sz w:val="20"/>
                <w:szCs w:val="20"/>
              </w:rPr>
              <w:br/>
              <w:t>The service removes physical barriers to participation in court which can assist women living in rural areas and remotely, women with disabilities, and women with caring responsibilities.</w:t>
            </w:r>
            <w:r w:rsidRPr="00B00311">
              <w:rPr>
                <w:rFonts w:ascii="Arial" w:hAnsi="Arial" w:cs="Arial"/>
                <w:color w:val="000000"/>
                <w:sz w:val="20"/>
                <w:szCs w:val="20"/>
              </w:rPr>
              <w:br/>
              <w:t>RHSS employees receive training in inclusive practice and working with diverse communities, and strong referral pathways are in place with LGBTIQ+ and Umalek Balit practitioners - a culturally safe and relevant program for Aboriginal and Torres Strait Islander families.</w:t>
            </w:r>
            <w:r w:rsidRPr="00B00311">
              <w:rPr>
                <w:rFonts w:ascii="Arial" w:hAnsi="Arial" w:cs="Arial"/>
                <w:color w:val="000000"/>
                <w:sz w:val="20"/>
                <w:szCs w:val="20"/>
              </w:rPr>
              <w:br/>
              <w:t>Dedicated remote hearing locations such as The Orange Door are also specifically designed to optimise access and meet all accessibility standards.</w:t>
            </w:r>
          </w:p>
          <w:p w14:paraId="4E299498" w14:textId="77777777" w:rsidR="00210A71" w:rsidRPr="00B00311" w:rsidRDefault="00210A71" w:rsidP="00F907C8">
            <w:pPr>
              <w:spacing w:after="0" w:line="240" w:lineRule="auto"/>
              <w:rPr>
                <w:rFonts w:ascii="Arial" w:hAnsi="Arial" w:cs="Arial"/>
                <w:color w:val="000000"/>
                <w:sz w:val="20"/>
                <w:szCs w:val="20"/>
              </w:rPr>
            </w:pPr>
          </w:p>
        </w:tc>
        <w:tc>
          <w:tcPr>
            <w:tcW w:w="3686" w:type="dxa"/>
            <w:hideMark/>
          </w:tcPr>
          <w:p w14:paraId="2C3671DF"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lastRenderedPageBreak/>
              <w:t>By conducting a GIA, it was found that RHSS has already been designed with gender and intersectionality in mind.</w:t>
            </w:r>
          </w:p>
        </w:tc>
        <w:tc>
          <w:tcPr>
            <w:tcW w:w="4505" w:type="dxa"/>
            <w:hideMark/>
          </w:tcPr>
          <w:p w14:paraId="3FBB4C02" w14:textId="77777777" w:rsidR="00210A71" w:rsidRPr="00B00311" w:rsidRDefault="00210A71" w:rsidP="00F907C8">
            <w:pPr>
              <w:spacing w:after="0" w:line="240" w:lineRule="auto"/>
              <w:rPr>
                <w:rFonts w:ascii="Arial" w:hAnsi="Arial" w:cs="Arial"/>
                <w:color w:val="000000"/>
                <w:sz w:val="20"/>
                <w:szCs w:val="20"/>
              </w:rPr>
            </w:pPr>
            <w:r w:rsidRPr="00B00311">
              <w:rPr>
                <w:rFonts w:ascii="Arial" w:hAnsi="Arial" w:cs="Arial"/>
                <w:color w:val="000000"/>
                <w:sz w:val="20"/>
                <w:szCs w:val="20"/>
              </w:rPr>
              <w:t>By conducting a GIA, it was found that RHSS has already been designed with gender and intersectionality in mind.</w:t>
            </w:r>
          </w:p>
        </w:tc>
      </w:tr>
    </w:tbl>
    <w:p w14:paraId="3A88AAF0" w14:textId="12E05A6D" w:rsidR="000F1FBE" w:rsidRPr="000F1FBE" w:rsidRDefault="000F1FBE" w:rsidP="000F1FBE">
      <w:pPr>
        <w:tabs>
          <w:tab w:val="left" w:pos="1455"/>
        </w:tabs>
        <w:sectPr w:rsidR="000F1FBE" w:rsidRPr="000F1FBE" w:rsidSect="00E45655">
          <w:type w:val="continuous"/>
          <w:pgSz w:w="16838" w:h="11907" w:orient="landscape" w:code="9"/>
          <w:pgMar w:top="1134" w:right="1134" w:bottom="1134" w:left="1134" w:header="454" w:footer="454" w:gutter="0"/>
          <w:cols w:space="340"/>
          <w:docGrid w:linePitch="360"/>
        </w:sectPr>
      </w:pPr>
    </w:p>
    <w:p w14:paraId="46DF34DE" w14:textId="77777777" w:rsidR="00CF29B3" w:rsidRPr="00901A90" w:rsidRDefault="00CF29B3" w:rsidP="002A3241">
      <w:pPr>
        <w:pStyle w:val="Heading1"/>
      </w:pPr>
      <w:bookmarkStart w:id="5" w:name="_Toc182599248"/>
      <w:r w:rsidRPr="00901A90">
        <w:lastRenderedPageBreak/>
        <w:t>Supporting Documentation</w:t>
      </w:r>
      <w:bookmarkEnd w:id="5"/>
    </w:p>
    <w:p w14:paraId="7BFC112C" w14:textId="77777777" w:rsidR="00CF29B3" w:rsidRPr="00901A90" w:rsidRDefault="00CF29B3" w:rsidP="00CF29B3">
      <w:pPr>
        <w:rPr>
          <w:rFonts w:ascii="Arial" w:hAnsi="Arial" w:cs="Arial"/>
          <w:sz w:val="20"/>
          <w:szCs w:val="20"/>
        </w:rPr>
      </w:pPr>
      <w:r w:rsidRPr="00901A90">
        <w:rPr>
          <w:rFonts w:ascii="Arial" w:hAnsi="Arial" w:cs="Arial"/>
          <w:sz w:val="20"/>
          <w:szCs w:val="20"/>
        </w:rPr>
        <w:t>We recognise our duty to promote gender equality by conducting gender impact assessments on all new policies, programs, and services and those up for review, which directly and significantly impact the public, benefit all Victorians. During the reporting period we began to build workforce capability and set up systems and structures to embed GIAs into business. The requirement to conduct GIAs was embedded into our project management system – which tracks major projects such as court expansions and new court processes - and into our annual budget bid process. In early 2023, we simplified the GIA process by creating our own template and in July 2023 we engaged Action for Gender Equality Partnership to deliver training to 40 key employees. Further training was also delivered to budget bid writers and MCV project managers in July-August 2023. In May 2023, we established a Gender Equality Advisory Group with proportionate representation across all jurisdictions and diverse membership to assist with identification of when a GIA is needed and provide support on the GIA process (a more detailed account of our GIA actions can be found in the Strategies and Measures tab of our progress report.).</w:t>
      </w:r>
    </w:p>
    <w:p w14:paraId="102BADBD" w14:textId="77777777" w:rsidR="00CF29B3" w:rsidRPr="00901A90" w:rsidRDefault="00CF29B3" w:rsidP="00CF29B3">
      <w:pPr>
        <w:rPr>
          <w:rFonts w:ascii="Arial" w:hAnsi="Arial" w:cs="Arial"/>
          <w:sz w:val="20"/>
          <w:szCs w:val="20"/>
        </w:rPr>
      </w:pPr>
      <w:r w:rsidRPr="00901A90">
        <w:rPr>
          <w:rFonts w:ascii="Arial" w:hAnsi="Arial" w:cs="Arial"/>
          <w:sz w:val="20"/>
          <w:szCs w:val="20"/>
        </w:rPr>
        <w:t>Despite these measures, we have identified:</w:t>
      </w:r>
    </w:p>
    <w:p w14:paraId="76B4DCBC" w14:textId="77777777" w:rsidR="00CF29B3" w:rsidRPr="00901A90" w:rsidRDefault="00CF29B3" w:rsidP="00CF29B3">
      <w:pPr>
        <w:pStyle w:val="ListParagraph"/>
        <w:numPr>
          <w:ilvl w:val="0"/>
          <w:numId w:val="16"/>
        </w:numPr>
        <w:rPr>
          <w:rFonts w:ascii="Arial" w:hAnsi="Arial" w:cs="Arial"/>
          <w:sz w:val="20"/>
          <w:szCs w:val="20"/>
        </w:rPr>
      </w:pPr>
      <w:r w:rsidRPr="00901A90">
        <w:rPr>
          <w:rFonts w:ascii="Arial" w:hAnsi="Arial" w:cs="Arial"/>
          <w:sz w:val="20"/>
          <w:szCs w:val="20"/>
        </w:rPr>
        <w:t>One service and one program of work where a retrospective GIA is required.</w:t>
      </w:r>
    </w:p>
    <w:p w14:paraId="13851787" w14:textId="77777777" w:rsidR="00CF29B3" w:rsidRPr="00901A90" w:rsidRDefault="00CF29B3" w:rsidP="00CF29B3">
      <w:pPr>
        <w:pStyle w:val="ListParagraph"/>
        <w:numPr>
          <w:ilvl w:val="0"/>
          <w:numId w:val="16"/>
        </w:numPr>
        <w:rPr>
          <w:rFonts w:ascii="Arial" w:hAnsi="Arial" w:cs="Arial"/>
          <w:sz w:val="20"/>
          <w:szCs w:val="20"/>
        </w:rPr>
      </w:pPr>
      <w:r w:rsidRPr="00901A90">
        <w:rPr>
          <w:rFonts w:ascii="Arial" w:hAnsi="Arial" w:cs="Arial"/>
          <w:sz w:val="20"/>
          <w:szCs w:val="20"/>
        </w:rPr>
        <w:t>Three projects where a GIA was not conducted, however because of the nature of the project a gender lens was considered.</w:t>
      </w:r>
    </w:p>
    <w:p w14:paraId="73E45A00" w14:textId="77777777" w:rsidR="00CF29B3" w:rsidRPr="00901A90" w:rsidRDefault="00CF29B3" w:rsidP="00CF29B3">
      <w:pPr>
        <w:pStyle w:val="ListParagraph"/>
        <w:numPr>
          <w:ilvl w:val="0"/>
          <w:numId w:val="16"/>
        </w:numPr>
        <w:rPr>
          <w:rFonts w:ascii="Arial" w:hAnsi="Arial" w:cs="Arial"/>
          <w:sz w:val="20"/>
          <w:szCs w:val="20"/>
        </w:rPr>
      </w:pPr>
      <w:r w:rsidRPr="00901A90">
        <w:rPr>
          <w:rFonts w:ascii="Arial" w:hAnsi="Arial" w:cs="Arial"/>
          <w:sz w:val="20"/>
          <w:szCs w:val="20"/>
        </w:rPr>
        <w:t xml:space="preserve">Two projects where a GIA was underway.  </w:t>
      </w:r>
    </w:p>
    <w:p w14:paraId="16177766" w14:textId="7AB018D1" w:rsidR="00CF29B3" w:rsidRPr="00495585" w:rsidRDefault="00CF29B3" w:rsidP="00CF29B3">
      <w:pPr>
        <w:pStyle w:val="ListParagraph"/>
        <w:numPr>
          <w:ilvl w:val="0"/>
          <w:numId w:val="16"/>
        </w:numPr>
        <w:rPr>
          <w:rFonts w:ascii="Arial" w:hAnsi="Arial" w:cs="Arial"/>
          <w:sz w:val="20"/>
          <w:szCs w:val="20"/>
        </w:rPr>
      </w:pPr>
      <w:r w:rsidRPr="00901A90">
        <w:rPr>
          <w:rFonts w:ascii="Arial" w:hAnsi="Arial" w:cs="Arial"/>
          <w:sz w:val="20"/>
          <w:szCs w:val="20"/>
        </w:rPr>
        <w:t>All these GIAs will be reported in our next progress report.</w:t>
      </w:r>
    </w:p>
    <w:p w14:paraId="1D4C3F8D" w14:textId="77777777" w:rsidR="00CF29B3" w:rsidRPr="00901A90" w:rsidRDefault="00CF29B3" w:rsidP="00CF29B3">
      <w:pPr>
        <w:rPr>
          <w:rFonts w:ascii="Arial" w:hAnsi="Arial" w:cs="Arial"/>
          <w:b/>
          <w:bCs/>
          <w:sz w:val="20"/>
          <w:szCs w:val="20"/>
        </w:rPr>
      </w:pPr>
      <w:r w:rsidRPr="00901A90">
        <w:rPr>
          <w:rFonts w:ascii="Arial" w:hAnsi="Arial" w:cs="Arial"/>
          <w:b/>
          <w:bCs/>
          <w:sz w:val="20"/>
          <w:szCs w:val="20"/>
        </w:rPr>
        <w:t xml:space="preserve">Retrospective Gender Impact Assessments </w:t>
      </w:r>
    </w:p>
    <w:p w14:paraId="112EC03E" w14:textId="562689C1" w:rsidR="00CF29B3" w:rsidRPr="00901A90" w:rsidRDefault="00CF29B3" w:rsidP="00CF29B3">
      <w:pPr>
        <w:rPr>
          <w:rFonts w:ascii="Arial" w:hAnsi="Arial" w:cs="Arial"/>
          <w:b/>
          <w:bCs/>
          <w:sz w:val="20"/>
          <w:szCs w:val="20"/>
        </w:rPr>
      </w:pPr>
      <w:r w:rsidRPr="00901A90">
        <w:rPr>
          <w:rFonts w:ascii="Arial" w:hAnsi="Arial" w:cs="Arial"/>
          <w:b/>
          <w:bCs/>
          <w:sz w:val="20"/>
          <w:szCs w:val="20"/>
        </w:rPr>
        <w:t>Service - Melbourne Magistrates</w:t>
      </w:r>
      <w:r w:rsidR="00495585">
        <w:rPr>
          <w:rFonts w:ascii="Arial" w:hAnsi="Arial" w:cs="Arial"/>
          <w:b/>
          <w:bCs/>
          <w:sz w:val="20"/>
          <w:szCs w:val="20"/>
        </w:rPr>
        <w:t>’</w:t>
      </w:r>
      <w:r w:rsidRPr="00901A90">
        <w:rPr>
          <w:rFonts w:ascii="Arial" w:hAnsi="Arial" w:cs="Arial"/>
          <w:b/>
          <w:bCs/>
          <w:sz w:val="20"/>
          <w:szCs w:val="20"/>
        </w:rPr>
        <w:t xml:space="preserve"> Court Service Centre</w:t>
      </w:r>
    </w:p>
    <w:p w14:paraId="4991D0F5" w14:textId="77777777" w:rsidR="00CF29B3" w:rsidRPr="00901A90" w:rsidRDefault="00CF29B3" w:rsidP="00CF29B3">
      <w:pPr>
        <w:rPr>
          <w:rFonts w:ascii="Arial" w:hAnsi="Arial" w:cs="Arial"/>
          <w:sz w:val="20"/>
          <w:szCs w:val="20"/>
        </w:rPr>
      </w:pPr>
      <w:r w:rsidRPr="00901A90">
        <w:rPr>
          <w:rFonts w:ascii="Arial" w:hAnsi="Arial" w:cs="Arial"/>
          <w:sz w:val="20"/>
          <w:szCs w:val="20"/>
        </w:rPr>
        <w:t>In 2018, the Magistrates’ Court of Victoria (MCV) operationalised a centralised digital public enquiry service to increase the court’s timeliness responding to family violence enquiries in response to Recommendation 63 of the 2016 Royal Commission into Family Violence. In 2022, MCV established the MCV Service Centre to further develop and improve this service particularly for vulnerable court users and/or those with complex matters. A GIA was conducted on the Service Centre retrospectively (after the reporting period). It identified that the Service Centre has led to improved service delivery for all Victorians and particularly for affected family members (who are more likely to be women). This GIA will be reported in the next progress report.</w:t>
      </w:r>
    </w:p>
    <w:p w14:paraId="7A0A16F3" w14:textId="77777777" w:rsidR="00CF29B3" w:rsidRPr="00901A90" w:rsidRDefault="00CF29B3" w:rsidP="00CF29B3">
      <w:pPr>
        <w:rPr>
          <w:rFonts w:ascii="Arial" w:hAnsi="Arial" w:cs="Arial"/>
          <w:b/>
          <w:bCs/>
          <w:sz w:val="20"/>
          <w:szCs w:val="20"/>
        </w:rPr>
      </w:pPr>
      <w:r w:rsidRPr="00901A90">
        <w:rPr>
          <w:rFonts w:ascii="Arial" w:hAnsi="Arial" w:cs="Arial"/>
          <w:b/>
          <w:bCs/>
          <w:sz w:val="20"/>
          <w:szCs w:val="20"/>
        </w:rPr>
        <w:t xml:space="preserve">Program - Built Environment 2022-23 Program of Work </w:t>
      </w:r>
    </w:p>
    <w:p w14:paraId="701F6136" w14:textId="77777777" w:rsidR="00CF29B3" w:rsidRPr="00901A90" w:rsidRDefault="00CF29B3" w:rsidP="00CF29B3">
      <w:pPr>
        <w:rPr>
          <w:rFonts w:ascii="Arial" w:hAnsi="Arial" w:cs="Arial"/>
          <w:sz w:val="20"/>
          <w:szCs w:val="20"/>
        </w:rPr>
      </w:pPr>
      <w:r w:rsidRPr="00901A90">
        <w:rPr>
          <w:rFonts w:ascii="Arial" w:hAnsi="Arial" w:cs="Arial"/>
          <w:sz w:val="20"/>
          <w:szCs w:val="20"/>
        </w:rPr>
        <w:t>Our Built Environment Team oversees all construction projects, repair/maintenance, and design projects. Many of the projects they oversee have already had a GIA done as part of the budget bid process, however, they have identified a few smaller projects within their program of work where a GIA was either missed or needs to be reviewed. This GIA will be reported in the next progress report.</w:t>
      </w:r>
    </w:p>
    <w:p w14:paraId="59CA34F3" w14:textId="77777777" w:rsidR="00874F96" w:rsidRDefault="00874F96" w:rsidP="00CF29B3">
      <w:pPr>
        <w:rPr>
          <w:rFonts w:ascii="Arial" w:hAnsi="Arial" w:cs="Arial"/>
          <w:b/>
          <w:bCs/>
          <w:sz w:val="20"/>
          <w:szCs w:val="20"/>
        </w:rPr>
      </w:pPr>
    </w:p>
    <w:p w14:paraId="7EE1350C" w14:textId="694D6936" w:rsidR="00CF29B3" w:rsidRPr="00901A90" w:rsidRDefault="00CF29B3" w:rsidP="00CF29B3">
      <w:pPr>
        <w:rPr>
          <w:rFonts w:ascii="Arial" w:hAnsi="Arial" w:cs="Arial"/>
          <w:b/>
          <w:bCs/>
          <w:sz w:val="20"/>
          <w:szCs w:val="20"/>
        </w:rPr>
      </w:pPr>
      <w:r w:rsidRPr="00901A90">
        <w:rPr>
          <w:rFonts w:ascii="Arial" w:hAnsi="Arial" w:cs="Arial"/>
          <w:b/>
          <w:bCs/>
          <w:sz w:val="20"/>
          <w:szCs w:val="20"/>
        </w:rPr>
        <w:t xml:space="preserve">Projects where a GIA was not conducted, however because of the nature of the project, a gender lens was considered. </w:t>
      </w:r>
    </w:p>
    <w:p w14:paraId="20BD04DF" w14:textId="77777777" w:rsidR="00CF29B3" w:rsidRPr="00901A90" w:rsidRDefault="00CF29B3" w:rsidP="00CF29B3">
      <w:pPr>
        <w:rPr>
          <w:rFonts w:ascii="Arial" w:hAnsi="Arial" w:cs="Arial"/>
          <w:sz w:val="20"/>
          <w:szCs w:val="20"/>
        </w:rPr>
      </w:pPr>
      <w:r w:rsidRPr="00901A90">
        <w:rPr>
          <w:rFonts w:ascii="Arial" w:hAnsi="Arial" w:cs="Arial"/>
          <w:sz w:val="20"/>
          <w:szCs w:val="20"/>
        </w:rPr>
        <w:t>Three of the projects we identified where a GIA was not undertaken have already taken gender and intersectionality into consideration because they were initiated in response to the 2016 Victorian Royal Commission into Family Violence.</w:t>
      </w:r>
    </w:p>
    <w:p w14:paraId="0E70AE10" w14:textId="77777777" w:rsidR="00CF29B3" w:rsidRDefault="00CF29B3" w:rsidP="00CF29B3">
      <w:pPr>
        <w:rPr>
          <w:rFonts w:ascii="Arial" w:hAnsi="Arial" w:cs="Arial"/>
          <w:b/>
          <w:bCs/>
          <w:sz w:val="20"/>
          <w:szCs w:val="20"/>
        </w:rPr>
      </w:pPr>
    </w:p>
    <w:p w14:paraId="13D2677E" w14:textId="77777777" w:rsidR="00CF29B3" w:rsidRPr="00901A90" w:rsidRDefault="00CF29B3" w:rsidP="00CF29B3">
      <w:pPr>
        <w:rPr>
          <w:rFonts w:ascii="Arial" w:hAnsi="Arial" w:cs="Arial"/>
          <w:b/>
          <w:bCs/>
          <w:sz w:val="20"/>
          <w:szCs w:val="20"/>
        </w:rPr>
      </w:pPr>
      <w:r w:rsidRPr="00901A90">
        <w:rPr>
          <w:rFonts w:ascii="Arial" w:hAnsi="Arial" w:cs="Arial"/>
          <w:b/>
          <w:bCs/>
          <w:sz w:val="20"/>
          <w:szCs w:val="20"/>
        </w:rPr>
        <w:t>Koori Family Violence State-wide Practitioner Expansion – Umalek Balit.</w:t>
      </w:r>
    </w:p>
    <w:p w14:paraId="09D911C9" w14:textId="77777777" w:rsidR="00CF29B3" w:rsidRPr="00901A90" w:rsidRDefault="00CF29B3" w:rsidP="00CF29B3">
      <w:pPr>
        <w:rPr>
          <w:rFonts w:ascii="Arial" w:hAnsi="Arial" w:cs="Arial"/>
          <w:b/>
          <w:bCs/>
          <w:sz w:val="20"/>
          <w:szCs w:val="20"/>
        </w:rPr>
      </w:pPr>
      <w:r w:rsidRPr="00901A90">
        <w:rPr>
          <w:rFonts w:ascii="Arial" w:hAnsi="Arial" w:cs="Arial"/>
          <w:sz w:val="20"/>
          <w:szCs w:val="20"/>
        </w:rPr>
        <w:t>Umalek Balit is a culturally safe program for Aboriginal and Torres Strait Islander families who come to specific Magistrates’ Court locations for family violence related proceedings. Aboriginal women are 4-5 times more likely to experience family violence than non-Aboriginal women, so access to specialised, culturally safe, and appropriate support, is imperative.  While a GIA was not undertaken on this project, gender and intersectionality were considered</w:t>
      </w:r>
      <w:r w:rsidRPr="00901A90">
        <w:rPr>
          <w:rFonts w:ascii="Arial" w:hAnsi="Arial" w:cs="Arial"/>
          <w:b/>
          <w:bCs/>
          <w:sz w:val="20"/>
          <w:szCs w:val="20"/>
        </w:rPr>
        <w:t>.</w:t>
      </w:r>
    </w:p>
    <w:p w14:paraId="678C0AA8" w14:textId="3D5E438A" w:rsidR="00CF29B3" w:rsidRPr="00901A90" w:rsidRDefault="00CF29B3" w:rsidP="00CF29B3">
      <w:pPr>
        <w:rPr>
          <w:rFonts w:ascii="Arial" w:hAnsi="Arial" w:cs="Arial"/>
          <w:b/>
          <w:bCs/>
          <w:sz w:val="20"/>
          <w:szCs w:val="20"/>
        </w:rPr>
      </w:pPr>
      <w:r w:rsidRPr="00901A90">
        <w:rPr>
          <w:rFonts w:ascii="Arial" w:hAnsi="Arial" w:cs="Arial"/>
          <w:b/>
          <w:bCs/>
          <w:sz w:val="20"/>
          <w:szCs w:val="20"/>
        </w:rPr>
        <w:t>Multi-Agency Risk Assessment and Management and Information Sharing (MARAMIS) Project</w:t>
      </w:r>
    </w:p>
    <w:p w14:paraId="0281C98B" w14:textId="77777777" w:rsidR="00CF29B3" w:rsidRPr="00901A90" w:rsidRDefault="00CF29B3" w:rsidP="00CF29B3">
      <w:pPr>
        <w:rPr>
          <w:rFonts w:ascii="Arial" w:hAnsi="Arial" w:cs="Arial"/>
          <w:sz w:val="20"/>
          <w:szCs w:val="20"/>
        </w:rPr>
      </w:pPr>
      <w:r w:rsidRPr="00901A90">
        <w:rPr>
          <w:rFonts w:ascii="Arial" w:hAnsi="Arial" w:cs="Arial"/>
          <w:sz w:val="20"/>
          <w:szCs w:val="20"/>
        </w:rPr>
        <w:t>As part of the response to the 2016 Victorian Royal Commission into Family Violence, all Victoria Courts have committed to the implementation of the MARAM Framework – which supports a system-wide approach to assessing and managing the risk of family violence. The Framework is underpinned by 10 principles which include acknowledgement of the gendered drivers of family violence and how gender inequality intersects with other forms of structural inequality and discrimination. This purpose of this project is to ensure the implementation of the MARAM Framework is aligned across all Courts. While a GIA was not undertaken on this project, gender and intersectionality were considered.</w:t>
      </w:r>
    </w:p>
    <w:p w14:paraId="3794C889" w14:textId="77777777" w:rsidR="00874F96" w:rsidRDefault="00874F96" w:rsidP="00CF29B3">
      <w:pPr>
        <w:rPr>
          <w:rFonts w:ascii="Arial" w:hAnsi="Arial" w:cs="Arial"/>
          <w:b/>
          <w:bCs/>
          <w:sz w:val="20"/>
          <w:szCs w:val="20"/>
        </w:rPr>
      </w:pPr>
    </w:p>
    <w:p w14:paraId="481D8C4C" w14:textId="790B0A3D" w:rsidR="00CF29B3" w:rsidRPr="00901A90" w:rsidRDefault="00CF29B3" w:rsidP="00CF29B3">
      <w:pPr>
        <w:rPr>
          <w:rFonts w:ascii="Arial" w:hAnsi="Arial" w:cs="Arial"/>
          <w:b/>
          <w:bCs/>
          <w:sz w:val="20"/>
          <w:szCs w:val="20"/>
        </w:rPr>
      </w:pPr>
      <w:r w:rsidRPr="00901A90">
        <w:rPr>
          <w:rFonts w:ascii="Arial" w:hAnsi="Arial" w:cs="Arial"/>
          <w:b/>
          <w:bCs/>
          <w:sz w:val="20"/>
          <w:szCs w:val="20"/>
        </w:rPr>
        <w:lastRenderedPageBreak/>
        <w:t xml:space="preserve">Specialist Family Violence Courts State-wide Expansion Project </w:t>
      </w:r>
    </w:p>
    <w:p w14:paraId="309C1F4C" w14:textId="77777777" w:rsidR="00CF29B3" w:rsidRPr="00901A90" w:rsidRDefault="00CF29B3" w:rsidP="00CF29B3">
      <w:pPr>
        <w:rPr>
          <w:rFonts w:ascii="Arial" w:hAnsi="Arial" w:cs="Arial"/>
          <w:sz w:val="20"/>
          <w:szCs w:val="20"/>
        </w:rPr>
      </w:pPr>
      <w:r w:rsidRPr="00901A90">
        <w:rPr>
          <w:rFonts w:ascii="Arial" w:hAnsi="Arial" w:cs="Arial"/>
          <w:sz w:val="20"/>
          <w:szCs w:val="20"/>
        </w:rPr>
        <w:t xml:space="preserve">Specialist Family Violence Courts were recommended by the 2016 Victorian Royal Commission into Family Violence. They have been designed in consultation with victim-survivors to promote the safety of people affected by violence, increase the accountability of people who have used violence against family members, and increase the protection of children exposed to family violence. Specialist family violence courts are already operating across 12 sites in Victoria. The objective of this project is to roll out seven additional sites (Melbourne, Dandenong, Geelong, Latrobe Valley, Ringwood, Sunshine &amp; Broadmeadows).  While a GIA was not undertaken on this project, gender and intersectionality, were considered. </w:t>
      </w:r>
    </w:p>
    <w:p w14:paraId="6159D94C" w14:textId="77777777" w:rsidR="00874F96" w:rsidRDefault="00874F96" w:rsidP="00CF29B3">
      <w:pPr>
        <w:rPr>
          <w:rFonts w:ascii="Arial" w:hAnsi="Arial" w:cs="Arial"/>
          <w:b/>
          <w:bCs/>
          <w:sz w:val="20"/>
          <w:szCs w:val="20"/>
        </w:rPr>
      </w:pPr>
    </w:p>
    <w:p w14:paraId="378F7964" w14:textId="77777777" w:rsidR="00874F96" w:rsidRDefault="00874F96" w:rsidP="00CF29B3">
      <w:pPr>
        <w:rPr>
          <w:rFonts w:ascii="Arial" w:hAnsi="Arial" w:cs="Arial"/>
          <w:b/>
          <w:bCs/>
          <w:sz w:val="20"/>
          <w:szCs w:val="20"/>
        </w:rPr>
      </w:pPr>
    </w:p>
    <w:p w14:paraId="76623AA0" w14:textId="77777777" w:rsidR="0070145A" w:rsidRDefault="0070145A" w:rsidP="00CF29B3">
      <w:pPr>
        <w:rPr>
          <w:rFonts w:ascii="Arial" w:hAnsi="Arial" w:cs="Arial"/>
          <w:b/>
          <w:bCs/>
          <w:sz w:val="20"/>
          <w:szCs w:val="20"/>
        </w:rPr>
      </w:pPr>
    </w:p>
    <w:p w14:paraId="323F8825" w14:textId="77777777" w:rsidR="0070145A" w:rsidRDefault="0070145A" w:rsidP="00CF29B3">
      <w:pPr>
        <w:rPr>
          <w:rFonts w:ascii="Arial" w:hAnsi="Arial" w:cs="Arial"/>
          <w:b/>
          <w:bCs/>
          <w:sz w:val="20"/>
          <w:szCs w:val="20"/>
        </w:rPr>
      </w:pPr>
    </w:p>
    <w:p w14:paraId="7B901D0C" w14:textId="77777777" w:rsidR="0070145A" w:rsidRDefault="0070145A" w:rsidP="00CF29B3">
      <w:pPr>
        <w:rPr>
          <w:rFonts w:ascii="Arial" w:hAnsi="Arial" w:cs="Arial"/>
          <w:b/>
          <w:bCs/>
          <w:sz w:val="20"/>
          <w:szCs w:val="20"/>
        </w:rPr>
      </w:pPr>
    </w:p>
    <w:p w14:paraId="2AE20F19" w14:textId="77777777" w:rsidR="0070145A" w:rsidRDefault="0070145A" w:rsidP="00CF29B3">
      <w:pPr>
        <w:rPr>
          <w:rFonts w:ascii="Arial" w:hAnsi="Arial" w:cs="Arial"/>
          <w:b/>
          <w:bCs/>
          <w:sz w:val="20"/>
          <w:szCs w:val="20"/>
        </w:rPr>
      </w:pPr>
    </w:p>
    <w:p w14:paraId="70696F5D" w14:textId="62B73E68" w:rsidR="00CF29B3" w:rsidRPr="00901A90" w:rsidRDefault="00CF29B3" w:rsidP="00CF29B3">
      <w:pPr>
        <w:rPr>
          <w:rFonts w:ascii="Arial" w:hAnsi="Arial" w:cs="Arial"/>
          <w:b/>
          <w:bCs/>
          <w:sz w:val="20"/>
          <w:szCs w:val="20"/>
        </w:rPr>
      </w:pPr>
      <w:r w:rsidRPr="00901A90">
        <w:rPr>
          <w:rFonts w:ascii="Arial" w:hAnsi="Arial" w:cs="Arial"/>
          <w:b/>
          <w:bCs/>
          <w:sz w:val="20"/>
          <w:szCs w:val="20"/>
        </w:rPr>
        <w:t>Gender Impact Assessments underway</w:t>
      </w:r>
    </w:p>
    <w:p w14:paraId="17E22AF0" w14:textId="7BE2C4A5" w:rsidR="00CF29B3" w:rsidRPr="00901A90" w:rsidRDefault="00CF29B3" w:rsidP="00CF29B3">
      <w:pPr>
        <w:rPr>
          <w:rFonts w:ascii="Arial" w:hAnsi="Arial" w:cs="Arial"/>
          <w:b/>
          <w:bCs/>
          <w:sz w:val="20"/>
          <w:szCs w:val="20"/>
        </w:rPr>
      </w:pPr>
      <w:r w:rsidRPr="00901A90">
        <w:rPr>
          <w:rFonts w:ascii="Arial" w:hAnsi="Arial" w:cs="Arial"/>
          <w:b/>
          <w:bCs/>
          <w:sz w:val="20"/>
          <w:szCs w:val="20"/>
        </w:rPr>
        <w:t>Service - Melbourne Magistrates</w:t>
      </w:r>
      <w:r w:rsidR="0070145A">
        <w:rPr>
          <w:rFonts w:ascii="Arial" w:hAnsi="Arial" w:cs="Arial"/>
          <w:b/>
          <w:bCs/>
          <w:sz w:val="20"/>
          <w:szCs w:val="20"/>
        </w:rPr>
        <w:t>’</w:t>
      </w:r>
      <w:r w:rsidRPr="00901A90">
        <w:rPr>
          <w:rFonts w:ascii="Arial" w:hAnsi="Arial" w:cs="Arial"/>
          <w:b/>
          <w:bCs/>
          <w:sz w:val="20"/>
          <w:szCs w:val="20"/>
        </w:rPr>
        <w:t xml:space="preserve"> Court Service Commitment</w:t>
      </w:r>
    </w:p>
    <w:p w14:paraId="5A95FF3F" w14:textId="6732013E" w:rsidR="00CF29B3" w:rsidRPr="00901A90" w:rsidRDefault="00CF29B3" w:rsidP="00CF29B3">
      <w:pPr>
        <w:rPr>
          <w:rFonts w:ascii="Arial" w:hAnsi="Arial" w:cs="Arial"/>
          <w:sz w:val="20"/>
          <w:szCs w:val="20"/>
        </w:rPr>
      </w:pPr>
      <w:r w:rsidRPr="00901A90">
        <w:rPr>
          <w:rFonts w:ascii="Arial" w:hAnsi="Arial" w:cs="Arial"/>
          <w:sz w:val="20"/>
          <w:szCs w:val="20"/>
        </w:rPr>
        <w:t>The Magistrates</w:t>
      </w:r>
      <w:r w:rsidR="009E0174">
        <w:rPr>
          <w:rFonts w:ascii="Arial" w:hAnsi="Arial" w:cs="Arial"/>
          <w:sz w:val="20"/>
          <w:szCs w:val="20"/>
        </w:rPr>
        <w:t>’</w:t>
      </w:r>
      <w:r w:rsidRPr="00901A90">
        <w:rPr>
          <w:rFonts w:ascii="Arial" w:hAnsi="Arial" w:cs="Arial"/>
          <w:sz w:val="20"/>
          <w:szCs w:val="20"/>
        </w:rPr>
        <w:t xml:space="preserve"> Court of Victoria (MCV) has developed a Service Commitment that will communicate how service should be delivered, set court user expectations, and promote court user feedback. The One MCV Service Commitment will also enable the MCV to collect and analyse court user feedback, understand the court user experience, and continuously improve services, programs. This GIA was commenced in the reporting period and will be reported in the next progress report.</w:t>
      </w:r>
    </w:p>
    <w:p w14:paraId="476DE75B" w14:textId="21A996FE" w:rsidR="00CF29B3" w:rsidRPr="00901A90" w:rsidRDefault="00CF29B3" w:rsidP="00CF29B3">
      <w:pPr>
        <w:rPr>
          <w:rFonts w:ascii="Arial" w:hAnsi="Arial" w:cs="Arial"/>
          <w:b/>
          <w:bCs/>
          <w:sz w:val="20"/>
          <w:szCs w:val="20"/>
        </w:rPr>
      </w:pPr>
      <w:r w:rsidRPr="00901A90">
        <w:rPr>
          <w:rFonts w:ascii="Arial" w:hAnsi="Arial" w:cs="Arial"/>
          <w:b/>
          <w:bCs/>
          <w:sz w:val="20"/>
          <w:szCs w:val="20"/>
        </w:rPr>
        <w:t>Policy - Melbourne Magistrates</w:t>
      </w:r>
      <w:r w:rsidR="009E0174">
        <w:rPr>
          <w:rFonts w:ascii="Arial" w:hAnsi="Arial" w:cs="Arial"/>
          <w:b/>
          <w:bCs/>
          <w:sz w:val="20"/>
          <w:szCs w:val="20"/>
        </w:rPr>
        <w:t>’</w:t>
      </w:r>
      <w:r w:rsidRPr="00901A90">
        <w:rPr>
          <w:rFonts w:ascii="Arial" w:hAnsi="Arial" w:cs="Arial"/>
          <w:b/>
          <w:bCs/>
          <w:sz w:val="20"/>
          <w:szCs w:val="20"/>
        </w:rPr>
        <w:t xml:space="preserve"> Court Managing Feedback and Complaints Policy</w:t>
      </w:r>
    </w:p>
    <w:p w14:paraId="448BC068" w14:textId="4ECFBF31" w:rsidR="002478C2" w:rsidRPr="000F4407" w:rsidRDefault="00CF29B3" w:rsidP="00CF29B3">
      <w:pPr>
        <w:rPr>
          <w:rFonts w:ascii="Arial" w:hAnsi="Arial" w:cs="Arial"/>
          <w:sz w:val="20"/>
          <w:szCs w:val="20"/>
        </w:rPr>
        <w:sectPr w:rsidR="002478C2" w:rsidRPr="000F4407" w:rsidSect="002478C2">
          <w:headerReference w:type="first" r:id="rId17"/>
          <w:footerReference w:type="first" r:id="rId18"/>
          <w:pgSz w:w="11907" w:h="16838" w:code="9"/>
          <w:pgMar w:top="1134" w:right="1134" w:bottom="1134" w:left="1134" w:header="454" w:footer="454" w:gutter="0"/>
          <w:cols w:num="2" w:space="340"/>
          <w:docGrid w:linePitch="360"/>
        </w:sectPr>
      </w:pPr>
      <w:r w:rsidRPr="00901A90">
        <w:rPr>
          <w:rFonts w:ascii="Arial" w:hAnsi="Arial" w:cs="Arial"/>
          <w:sz w:val="20"/>
          <w:szCs w:val="20"/>
        </w:rPr>
        <w:t>The Managing Feedback and Complaints Policy aims to ensure that Magistrates’ Court users and stakeholders can easily access an effective process whereby complaints about the Court’s services, administrative staff, or facilities are investigated and resolved in a fair, impartial, and prompt manner. This GIA was commenced in the reporting period and will be reported in the next progress report.</w:t>
      </w:r>
    </w:p>
    <w:p w14:paraId="26480BAC" w14:textId="77777777" w:rsidR="00CF29B3" w:rsidRDefault="00CF29B3" w:rsidP="00033980">
      <w:pPr>
        <w:pStyle w:val="AttachmentHeading4"/>
      </w:pPr>
    </w:p>
    <w:p w14:paraId="058E7109" w14:textId="43067933" w:rsidR="0070145A" w:rsidRPr="00901A90" w:rsidRDefault="0070145A" w:rsidP="0070145A">
      <w:pPr>
        <w:pStyle w:val="Heading1"/>
      </w:pPr>
      <w:bookmarkStart w:id="6" w:name="_Toc182599249"/>
      <w:r w:rsidRPr="00901A90">
        <w:t xml:space="preserve">Supporting </w:t>
      </w:r>
      <w:r w:rsidR="000651B2">
        <w:t>Statement – November 2024</w:t>
      </w:r>
      <w:bookmarkEnd w:id="6"/>
    </w:p>
    <w:p w14:paraId="0B7A991E" w14:textId="77777777" w:rsidR="006D1EF4" w:rsidRPr="00F03AAA" w:rsidRDefault="006D1EF4" w:rsidP="006D1EF4">
      <w:pPr>
        <w:spacing w:after="0" w:line="240" w:lineRule="auto"/>
        <w:rPr>
          <w:rFonts w:ascii="Arial" w:hAnsi="Arial" w:cs="Arial"/>
          <w:b/>
          <w:bCs/>
          <w:color w:val="000000" w:themeColor="text1"/>
          <w:sz w:val="20"/>
          <w:szCs w:val="20"/>
        </w:rPr>
      </w:pPr>
      <w:r w:rsidRPr="00F03AAA">
        <w:rPr>
          <w:rFonts w:ascii="Arial" w:hAnsi="Arial" w:cs="Arial"/>
          <w:b/>
          <w:bCs/>
          <w:color w:val="000000" w:themeColor="text1"/>
          <w:sz w:val="20"/>
          <w:szCs w:val="20"/>
        </w:rPr>
        <w:t xml:space="preserve">Update to Progress Audit Data </w:t>
      </w:r>
      <w:r>
        <w:rPr>
          <w:rFonts w:ascii="Arial" w:hAnsi="Arial" w:cs="Arial"/>
          <w:b/>
          <w:bCs/>
          <w:color w:val="000000" w:themeColor="text1"/>
          <w:sz w:val="20"/>
          <w:szCs w:val="20"/>
        </w:rPr>
        <w:t xml:space="preserve">– </w:t>
      </w:r>
      <w:r w:rsidRPr="00F03AAA">
        <w:rPr>
          <w:rFonts w:ascii="Arial" w:hAnsi="Arial" w:cs="Arial"/>
          <w:b/>
          <w:bCs/>
          <w:color w:val="000000" w:themeColor="text1"/>
          <w:sz w:val="20"/>
          <w:szCs w:val="20"/>
        </w:rPr>
        <w:t>October 2024</w:t>
      </w:r>
    </w:p>
    <w:p w14:paraId="2C9E4CCC" w14:textId="2AF58E3C" w:rsidR="006D1EF4" w:rsidRDefault="006D1EF4" w:rsidP="000F4407">
      <w:pPr>
        <w:spacing w:before="120" w:after="0" w:line="240" w:lineRule="auto"/>
        <w:rPr>
          <w:rFonts w:ascii="Arial" w:hAnsi="Arial" w:cs="Arial"/>
          <w:color w:val="000000" w:themeColor="text1"/>
          <w:sz w:val="20"/>
          <w:szCs w:val="20"/>
        </w:rPr>
      </w:pPr>
      <w:r>
        <w:rPr>
          <w:rFonts w:ascii="Arial" w:hAnsi="Arial" w:cs="Arial"/>
          <w:color w:val="000000" w:themeColor="text1"/>
          <w:sz w:val="20"/>
          <w:szCs w:val="20"/>
        </w:rPr>
        <w:t>Court Services Victoria (</w:t>
      </w:r>
      <w:r w:rsidRPr="00DF4CF5">
        <w:rPr>
          <w:rFonts w:ascii="Arial" w:hAnsi="Arial" w:cs="Arial"/>
          <w:color w:val="000000" w:themeColor="text1"/>
          <w:sz w:val="20"/>
          <w:szCs w:val="20"/>
        </w:rPr>
        <w:t>CSV</w:t>
      </w:r>
      <w:r>
        <w:rPr>
          <w:rFonts w:ascii="Arial" w:hAnsi="Arial" w:cs="Arial"/>
          <w:color w:val="000000" w:themeColor="text1"/>
          <w:sz w:val="20"/>
          <w:szCs w:val="20"/>
        </w:rPr>
        <w:t>)</w:t>
      </w:r>
      <w:r w:rsidRPr="00DF4CF5">
        <w:rPr>
          <w:rFonts w:ascii="Arial" w:hAnsi="Arial" w:cs="Arial"/>
          <w:color w:val="000000" w:themeColor="text1"/>
          <w:sz w:val="20"/>
          <w:szCs w:val="20"/>
        </w:rPr>
        <w:t xml:space="preserve"> was found compliant with its obligations under the </w:t>
      </w:r>
      <w:r w:rsidRPr="00DF4CF5">
        <w:rPr>
          <w:rFonts w:ascii="Arial" w:hAnsi="Arial" w:cs="Arial"/>
          <w:i/>
          <w:iCs/>
          <w:color w:val="000000" w:themeColor="text1"/>
          <w:sz w:val="20"/>
          <w:szCs w:val="20"/>
        </w:rPr>
        <w:t xml:space="preserve">Gender Equality Act 2020 </w:t>
      </w:r>
      <w:r w:rsidRPr="00DF4CF5">
        <w:rPr>
          <w:rFonts w:ascii="Arial" w:hAnsi="Arial" w:cs="Arial"/>
          <w:color w:val="000000" w:themeColor="text1"/>
          <w:sz w:val="20"/>
          <w:szCs w:val="20"/>
        </w:rPr>
        <w:t>(Vic) on 1 October 2024.</w:t>
      </w:r>
    </w:p>
    <w:p w14:paraId="02E06DC0" w14:textId="295D7D91" w:rsidR="006D1EF4" w:rsidRDefault="006D1EF4" w:rsidP="006D1EF4">
      <w:pPr>
        <w:spacing w:after="0" w:line="240" w:lineRule="auto"/>
        <w:rPr>
          <w:rFonts w:ascii="Arial" w:hAnsi="Arial" w:cs="Arial"/>
          <w:color w:val="000000" w:themeColor="text1"/>
          <w:sz w:val="20"/>
          <w:szCs w:val="20"/>
        </w:rPr>
      </w:pPr>
      <w:r w:rsidRPr="00DF4CF5">
        <w:rPr>
          <w:rFonts w:ascii="Arial" w:hAnsi="Arial" w:cs="Arial"/>
          <w:color w:val="000000" w:themeColor="text1"/>
          <w:sz w:val="20"/>
          <w:szCs w:val="20"/>
        </w:rPr>
        <w:t xml:space="preserve">Upon receiving feedback from </w:t>
      </w:r>
      <w:r>
        <w:rPr>
          <w:rFonts w:ascii="Arial" w:hAnsi="Arial" w:cs="Arial"/>
          <w:color w:val="000000" w:themeColor="text1"/>
          <w:sz w:val="20"/>
          <w:szCs w:val="20"/>
        </w:rPr>
        <w:t>t</w:t>
      </w:r>
      <w:r w:rsidRPr="00DF4CF5">
        <w:rPr>
          <w:rFonts w:ascii="Arial" w:hAnsi="Arial" w:cs="Arial"/>
          <w:color w:val="000000" w:themeColor="text1"/>
          <w:sz w:val="20"/>
          <w:szCs w:val="20"/>
        </w:rPr>
        <w:t xml:space="preserve">he Commission for Gender Equality in the Public Sector, CSV conducted a review of its submission of parental leave data. This revealed anomalies whereby </w:t>
      </w:r>
      <w:r>
        <w:rPr>
          <w:rFonts w:ascii="Arial" w:hAnsi="Arial" w:cs="Arial"/>
          <w:color w:val="000000" w:themeColor="text1"/>
          <w:sz w:val="20"/>
          <w:szCs w:val="20"/>
        </w:rPr>
        <w:t xml:space="preserve">some periods of </w:t>
      </w:r>
      <w:r w:rsidRPr="00DF4CF5">
        <w:rPr>
          <w:rFonts w:ascii="Arial" w:hAnsi="Arial" w:cs="Arial"/>
          <w:color w:val="000000" w:themeColor="text1"/>
          <w:sz w:val="20"/>
          <w:szCs w:val="20"/>
        </w:rPr>
        <w:t>parental leave ending outside the reporting period w</w:t>
      </w:r>
      <w:r>
        <w:rPr>
          <w:rFonts w:ascii="Arial" w:hAnsi="Arial" w:cs="Arial"/>
          <w:color w:val="000000" w:themeColor="text1"/>
          <w:sz w:val="20"/>
          <w:szCs w:val="20"/>
        </w:rPr>
        <w:t>ere inadvertently</w:t>
      </w:r>
      <w:r w:rsidRPr="00DF4CF5">
        <w:rPr>
          <w:rFonts w:ascii="Arial" w:hAnsi="Arial" w:cs="Arial"/>
          <w:color w:val="000000" w:themeColor="text1"/>
          <w:sz w:val="20"/>
          <w:szCs w:val="20"/>
        </w:rPr>
        <w:t xml:space="preserve"> included. While CSV was </w:t>
      </w:r>
      <w:r>
        <w:rPr>
          <w:rFonts w:ascii="Arial" w:hAnsi="Arial" w:cs="Arial"/>
          <w:color w:val="000000" w:themeColor="text1"/>
          <w:sz w:val="20"/>
          <w:szCs w:val="20"/>
        </w:rPr>
        <w:t xml:space="preserve">not </w:t>
      </w:r>
      <w:r w:rsidRPr="00DF4CF5">
        <w:rPr>
          <w:rFonts w:ascii="Arial" w:hAnsi="Arial" w:cs="Arial"/>
          <w:color w:val="000000" w:themeColor="text1"/>
          <w:sz w:val="20"/>
          <w:szCs w:val="20"/>
        </w:rPr>
        <w:t xml:space="preserve">required to resubmit its audit data, to ensure </w:t>
      </w:r>
      <w:r>
        <w:rPr>
          <w:rFonts w:ascii="Arial" w:hAnsi="Arial" w:cs="Arial"/>
          <w:color w:val="000000" w:themeColor="text1"/>
          <w:sz w:val="20"/>
          <w:szCs w:val="20"/>
        </w:rPr>
        <w:t>its</w:t>
      </w:r>
      <w:r w:rsidRPr="00DF4CF5">
        <w:rPr>
          <w:rFonts w:ascii="Arial" w:hAnsi="Arial" w:cs="Arial"/>
          <w:color w:val="000000" w:themeColor="text1"/>
          <w:sz w:val="20"/>
          <w:szCs w:val="20"/>
        </w:rPr>
        <w:t xml:space="preserve"> reporting was accurate, CSV chose to correct the anomalies and resubmit. </w:t>
      </w:r>
    </w:p>
    <w:p w14:paraId="76DF1A77" w14:textId="77777777" w:rsidR="006D1EF4" w:rsidRPr="00DF4CF5" w:rsidRDefault="006D1EF4" w:rsidP="006D1EF4">
      <w:pPr>
        <w:spacing w:after="0" w:line="240" w:lineRule="auto"/>
        <w:rPr>
          <w:rFonts w:ascii="Arial" w:hAnsi="Arial" w:cs="Arial"/>
          <w:color w:val="000000" w:themeColor="text1"/>
          <w:sz w:val="20"/>
          <w:szCs w:val="20"/>
        </w:rPr>
      </w:pPr>
      <w:r>
        <w:rPr>
          <w:rFonts w:ascii="Arial" w:hAnsi="Arial" w:cs="Arial"/>
          <w:color w:val="000000" w:themeColor="text1"/>
          <w:sz w:val="20"/>
          <w:szCs w:val="20"/>
        </w:rPr>
        <w:t>The resubmission of the parental leave audit data resulted in the following amendment to CSV’s Progress Report on Indicator 6 – Working Arrangements and Leave:</w:t>
      </w:r>
    </w:p>
    <w:p w14:paraId="78F64576" w14:textId="77777777" w:rsidR="006D1EF4" w:rsidRDefault="006D1EF4" w:rsidP="006D1EF4">
      <w:pPr>
        <w:spacing w:after="0" w:line="240" w:lineRule="auto"/>
        <w:rPr>
          <w:rFonts w:ascii="Arial" w:hAnsi="Arial" w:cs="Arial"/>
          <w:b/>
          <w:bCs/>
          <w:color w:val="000000" w:themeColor="text1"/>
          <w:sz w:val="20"/>
          <w:szCs w:val="20"/>
        </w:rPr>
      </w:pPr>
    </w:p>
    <w:p w14:paraId="46DB771D" w14:textId="27093639" w:rsidR="006D1EF4" w:rsidRPr="00DF4CF5" w:rsidRDefault="006D1EF4" w:rsidP="006D1EF4">
      <w:pPr>
        <w:spacing w:after="0" w:line="240" w:lineRule="auto"/>
        <w:rPr>
          <w:rFonts w:ascii="Arial" w:hAnsi="Arial" w:cs="Arial"/>
          <w:b/>
          <w:bCs/>
          <w:color w:val="000000" w:themeColor="text1"/>
          <w:sz w:val="20"/>
          <w:szCs w:val="20"/>
        </w:rPr>
      </w:pPr>
      <w:r w:rsidRPr="00DF4CF5">
        <w:rPr>
          <w:rFonts w:ascii="Arial" w:hAnsi="Arial" w:cs="Arial"/>
          <w:b/>
          <w:bCs/>
          <w:color w:val="000000" w:themeColor="text1"/>
          <w:sz w:val="20"/>
          <w:szCs w:val="20"/>
        </w:rPr>
        <w:t>Originally submitted</w:t>
      </w:r>
      <w:r>
        <w:rPr>
          <w:rFonts w:ascii="Arial" w:hAnsi="Arial" w:cs="Arial"/>
          <w:b/>
          <w:bCs/>
          <w:color w:val="000000" w:themeColor="text1"/>
          <w:sz w:val="20"/>
          <w:szCs w:val="20"/>
        </w:rPr>
        <w:t xml:space="preserve"> February 2024</w:t>
      </w:r>
      <w:r w:rsidRPr="00DF4CF5">
        <w:rPr>
          <w:rFonts w:ascii="Arial" w:hAnsi="Arial" w:cs="Arial"/>
          <w:b/>
          <w:bCs/>
          <w:color w:val="000000" w:themeColor="text1"/>
          <w:sz w:val="20"/>
          <w:szCs w:val="20"/>
        </w:rPr>
        <w:t>:</w:t>
      </w:r>
    </w:p>
    <w:p w14:paraId="6C756A99" w14:textId="77777777" w:rsidR="006D1EF4" w:rsidRPr="00DF4CF5" w:rsidRDefault="006D1EF4" w:rsidP="000F4407">
      <w:pPr>
        <w:spacing w:after="0" w:line="240" w:lineRule="auto"/>
        <w:rPr>
          <w:rFonts w:ascii="Arial" w:hAnsi="Arial" w:cs="Arial"/>
          <w:sz w:val="20"/>
          <w:szCs w:val="20"/>
        </w:rPr>
      </w:pPr>
      <w:r w:rsidRPr="00DF4CF5">
        <w:rPr>
          <w:rFonts w:ascii="Arial" w:hAnsi="Arial" w:cs="Arial"/>
          <w:sz w:val="20"/>
          <w:szCs w:val="20"/>
        </w:rPr>
        <w:t xml:space="preserve">CSV has seen a slight increase in the percentage of men taking parental leave. In 2021, of the people taking parental leave 85% were women and 15% were men. </w:t>
      </w:r>
      <w:r w:rsidRPr="00DF4CF5">
        <w:rPr>
          <w:rFonts w:ascii="Arial" w:hAnsi="Arial" w:cs="Arial"/>
          <w:color w:val="7030A0"/>
          <w:sz w:val="20"/>
          <w:szCs w:val="20"/>
        </w:rPr>
        <w:t>In 2023, 82% were women and 18% were men – an increase of 3%.</w:t>
      </w:r>
      <w:r w:rsidRPr="00DF4CF5">
        <w:rPr>
          <w:rFonts w:ascii="Arial" w:hAnsi="Arial" w:cs="Arial"/>
          <w:sz w:val="20"/>
          <w:szCs w:val="20"/>
        </w:rPr>
        <w:t xml:space="preserve"> Men took significantly less leave than women and significantly less unpaid leave, however, this increase is still a step in the right direction.</w:t>
      </w:r>
    </w:p>
    <w:p w14:paraId="5E06A6EB" w14:textId="62FAF93D" w:rsidR="006D1EF4" w:rsidRPr="006D1EF4" w:rsidRDefault="006D1EF4" w:rsidP="006D1EF4">
      <w:pPr>
        <w:spacing w:after="0" w:line="240" w:lineRule="auto"/>
        <w:rPr>
          <w:rFonts w:ascii="Arial" w:hAnsi="Arial" w:cs="Arial"/>
          <w:b/>
          <w:bCs/>
          <w:color w:val="000000" w:themeColor="text1"/>
          <w:sz w:val="20"/>
          <w:szCs w:val="20"/>
        </w:rPr>
      </w:pPr>
      <w:r w:rsidRPr="00DF4CF5">
        <w:rPr>
          <w:rFonts w:ascii="Arial" w:hAnsi="Arial" w:cs="Arial"/>
          <w:sz w:val="20"/>
          <w:szCs w:val="20"/>
        </w:rPr>
        <w:br/>
      </w:r>
      <w:r w:rsidRPr="00DF4CF5">
        <w:rPr>
          <w:rFonts w:ascii="Arial" w:hAnsi="Arial" w:cs="Arial"/>
          <w:b/>
          <w:bCs/>
          <w:color w:val="000000" w:themeColor="text1"/>
          <w:sz w:val="20"/>
          <w:szCs w:val="20"/>
        </w:rPr>
        <w:t>Update October 2024:</w:t>
      </w:r>
    </w:p>
    <w:p w14:paraId="7DA80E1E" w14:textId="1BEB0BB5" w:rsidR="00CF29B3" w:rsidRDefault="006D1EF4" w:rsidP="006D1EF4">
      <w:pPr>
        <w:spacing w:after="0" w:line="240" w:lineRule="auto"/>
      </w:pPr>
      <w:r w:rsidRPr="00DF4CF5">
        <w:rPr>
          <w:rFonts w:ascii="Arial" w:hAnsi="Arial" w:cs="Arial"/>
          <w:sz w:val="20"/>
          <w:szCs w:val="20"/>
        </w:rPr>
        <w:t>CSV h</w:t>
      </w:r>
      <w:r>
        <w:rPr>
          <w:rFonts w:ascii="Arial" w:hAnsi="Arial" w:cs="Arial"/>
          <w:sz w:val="20"/>
          <w:szCs w:val="20"/>
        </w:rPr>
        <w:t>a</w:t>
      </w:r>
      <w:r w:rsidRPr="00DF4CF5">
        <w:rPr>
          <w:rFonts w:ascii="Arial" w:hAnsi="Arial" w:cs="Arial"/>
          <w:sz w:val="20"/>
          <w:szCs w:val="20"/>
        </w:rPr>
        <w:t xml:space="preserve">s seen an increase in the percentage of men taking parental leave. In 2021, of the people taking parental leave 85% were women and 15% were men. </w:t>
      </w:r>
      <w:r w:rsidRPr="00DF4CF5">
        <w:rPr>
          <w:rFonts w:ascii="Arial" w:hAnsi="Arial" w:cs="Arial"/>
          <w:color w:val="7030A0"/>
          <w:sz w:val="20"/>
          <w:szCs w:val="20"/>
        </w:rPr>
        <w:t>In 2023, 78% were women and 22% were men – an increase of 7%.</w:t>
      </w:r>
      <w:r w:rsidRPr="00DF4CF5">
        <w:rPr>
          <w:rFonts w:ascii="Arial" w:hAnsi="Arial" w:cs="Arial"/>
          <w:sz w:val="20"/>
          <w:szCs w:val="20"/>
        </w:rPr>
        <w:t xml:space="preserve"> Men took significantly less leave than women and significantly less unpaid leave, however, this increase is still a step in the right direction.</w:t>
      </w:r>
    </w:p>
    <w:p w14:paraId="4734AE54" w14:textId="77777777" w:rsidR="0004651A" w:rsidRPr="009E3F63" w:rsidRDefault="00A70FCF" w:rsidP="00A65F1E">
      <w:pPr>
        <w:pStyle w:val="BodyText"/>
      </w:pPr>
      <w:r>
        <w:rPr>
          <w:noProof/>
        </w:rPr>
        <w:lastRenderedPageBreak/>
        <mc:AlternateContent>
          <mc:Choice Requires="wps">
            <w:drawing>
              <wp:anchor distT="0" distB="0" distL="114300" distR="114300" simplePos="0" relativeHeight="251658239" behindDoc="1" locked="0" layoutInCell="1" allowOverlap="1" wp14:anchorId="3D214F0D" wp14:editId="6913C05C">
                <wp:simplePos x="923925" y="1143000"/>
                <wp:positionH relativeFrom="page">
                  <wp:align>left</wp:align>
                </wp:positionH>
                <wp:positionV relativeFrom="page">
                  <wp:align>top</wp:align>
                </wp:positionV>
                <wp:extent cx="7560000" cy="10692000"/>
                <wp:effectExtent l="0" t="0" r="22225" b="14605"/>
                <wp:wrapTopAndBottom/>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1"/>
                        </a:solidFill>
                        <a:ln w="6350">
                          <a:solidFill>
                            <a:prstClr val="black"/>
                          </a:solidFill>
                        </a:ln>
                      </wps:spPr>
                      <wps:txbx>
                        <w:txbxContent>
                          <w:p w14:paraId="664E172F" w14:textId="77777777" w:rsidR="00A70FCF" w:rsidRPr="00A70FCF" w:rsidRDefault="00A70FCF" w:rsidP="00A70FCF">
                            <w:pPr>
                              <w:pStyle w:val="BackPageTextboxHeading"/>
                            </w:pPr>
                            <w:r w:rsidRPr="00A70FCF">
                              <w:t>Court Services Victoria</w:t>
                            </w:r>
                          </w:p>
                          <w:p w14:paraId="5CDC49F4" w14:textId="77777777" w:rsidR="00A70FCF" w:rsidRDefault="00A70FCF" w:rsidP="00A70FCF">
                            <w:pPr>
                              <w:pStyle w:val="BackPageTextboxText"/>
                            </w:pPr>
                            <w:r>
                              <w:t>181 William Street,</w:t>
                            </w:r>
                          </w:p>
                          <w:p w14:paraId="0A0DF45B" w14:textId="77777777" w:rsidR="00A70FCF" w:rsidRDefault="00A70FCF" w:rsidP="00A70FCF">
                            <w:pPr>
                              <w:pStyle w:val="BackPageTextboxText"/>
                            </w:pPr>
                            <w:r>
                              <w:t xml:space="preserve">Melbourne VIC 3000 </w:t>
                            </w:r>
                          </w:p>
                          <w:p w14:paraId="5463EAF3" w14:textId="77777777" w:rsidR="00A70FCF" w:rsidRDefault="00A70FCF" w:rsidP="00A70FCF">
                            <w:pPr>
                              <w:pStyle w:val="BackPageTextboxText"/>
                            </w:pPr>
                            <w:r>
                              <w:t>Email: feedback@courts.vic.gov.au</w:t>
                            </w:r>
                          </w:p>
                        </w:txbxContent>
                      </wps:txbx>
                      <wps:bodyPr rot="0" spcFirstLastPara="0" vertOverflow="overflow" horzOverflow="overflow" vert="horz" wrap="square" lIns="720000" tIns="720000" rIns="720000" bIns="61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14F0D" id="_x0000_t202" coordsize="21600,21600" o:spt="202" path="m,l,21600r21600,l21600,xe">
                <v:stroke joinstyle="miter"/>
                <v:path gradientshapeok="t" o:connecttype="rect"/>
              </v:shapetype>
              <v:shape id="Text Box 4" o:spid="_x0000_s1026" type="#_x0000_t202" alt="&quot;&quot;"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gfOAIAAIYEAAAOAAAAZHJzL2Uyb0RvYy54bWysVE1v2zAMvQ/YfxB0X+x0aLoacYosRYYB&#10;QVsgHXqWZSk2JosapcTufv0o5WvpdhqWg0KK1CP5SHp6N3SG7RT6FmzJx6OcM2Ul1K3dlPzb8/LD&#10;J858ELYWBqwq+avy/G72/t20d4W6ggZMrZARiPVF70rehOCKLPOyUZ3wI3DKklEDdiKQipusRtET&#10;emeyqzyfZD1g7RCk8p5u7/dGPkv4WisZHrX2KjBTcsotpBPTWcUzm01FsUHhmlYe0hD/kEUnWktB&#10;T1D3Igi2xfYPqK6VCB50GEnoMtC6lSrVQNWM8zfVrBvhVKqFyPHuRJP/f7DyYbd2T8jC8BkGamAk&#10;pHe+8HQZ6xk0dvGfMmVkJwpfT7SpITBJlzfXk5x+nEmyjfPJLTUmMZud3zv04YuCjkWh5EiNSXyJ&#10;3coHikmuR5cYzoNp62VrTFLiMKiFQbYT1EYhpbIhZUqvLjyNZX3JJx+v8wR+YYvwJ4zKCPk91nqJ&#10;QJqxdHlmIEphqIYDLRXUr8QWwn6QvJPLlnBXwocngTQ5xAJtQ3ikQxugZOAgcdYA/vzbffSnhpKV&#10;s54mseT+x1ag4sx8tdTqm0hnnN0LDS+0KmmTcWKe2W23AGJqTLvnZBLpPQZzFDVC90KLM4+RySSs&#10;pPglr47iIux3hBZPqvk8OdHAOhFWdu1khI6diZw+Dy8C3aGvgWbiAY5zK4o37d37xpcW5tsAuk29&#10;jyTvmT1wT8OeWnNYzLhNv+vJ6/z5mP0CAAD//wMAUEsDBBQABgAIAAAAIQB0VLfv3wAAAAcBAAAP&#10;AAAAZHJzL2Rvd25yZXYueG1sTI9Ba8JAEIXvhf6HZQq91V0tpGmajYgoiJSi1tLrmp0mwexs2F1j&#10;+u+79qKX4Q1veO+bfDqYlvXofGNJwngkgCGVVjdUSdh/Lp9SYD4o0qq1hBJ+0cO0uL/LVabtmbbY&#10;70LFYgj5TEmoQ+gyzn1Zo1F+ZDuk6P1YZ1SIq6u4duocw03LJ0Ik3KiGYkOtOpzXWB53JyOBb1er&#10;fvniF9/vH5u1+1ofZ2Kyl/LxYZi9AQs4hOsxXPAjOhSR6WBPpD1rJcRHwv+8eONXkQA7RJWkzynw&#10;Iue3/MUfAAAA//8DAFBLAQItABQABgAIAAAAIQC2gziS/gAAAOEBAAATAAAAAAAAAAAAAAAAAAAA&#10;AABbQ29udGVudF9UeXBlc10ueG1sUEsBAi0AFAAGAAgAAAAhADj9If/WAAAAlAEAAAsAAAAAAAAA&#10;AAAAAAAALwEAAF9yZWxzLy5yZWxzUEsBAi0AFAAGAAgAAAAhABs1KB84AgAAhgQAAA4AAAAAAAAA&#10;AAAAAAAALgIAAGRycy9lMm9Eb2MueG1sUEsBAi0AFAAGAAgAAAAhAHRUt+/fAAAABwEAAA8AAAAA&#10;AAAAAAAAAAAAkgQAAGRycy9kb3ducmV2LnhtbFBLBQYAAAAABAAEAPMAAACeBQAAAAA=&#10;" fillcolor="#0b5656 [3204]" strokeweight=".5pt">
                <v:textbox inset="20mm,20mm,20mm,17mm">
                  <w:txbxContent>
                    <w:p w14:paraId="664E172F" w14:textId="77777777" w:rsidR="00A70FCF" w:rsidRPr="00A70FCF" w:rsidRDefault="00A70FCF" w:rsidP="00A70FCF">
                      <w:pPr>
                        <w:pStyle w:val="BackPageTextboxHeading"/>
                      </w:pPr>
                      <w:r w:rsidRPr="00A70FCF">
                        <w:t>Court Services Victoria</w:t>
                      </w:r>
                    </w:p>
                    <w:p w14:paraId="5CDC49F4" w14:textId="77777777" w:rsidR="00A70FCF" w:rsidRDefault="00A70FCF" w:rsidP="00A70FCF">
                      <w:pPr>
                        <w:pStyle w:val="BackPageTextboxText"/>
                      </w:pPr>
                      <w:r>
                        <w:t>181 William Street,</w:t>
                      </w:r>
                    </w:p>
                    <w:p w14:paraId="0A0DF45B" w14:textId="77777777" w:rsidR="00A70FCF" w:rsidRDefault="00A70FCF" w:rsidP="00A70FCF">
                      <w:pPr>
                        <w:pStyle w:val="BackPageTextboxText"/>
                      </w:pPr>
                      <w:r>
                        <w:t xml:space="preserve">Melbourne VIC 3000 </w:t>
                      </w:r>
                    </w:p>
                    <w:p w14:paraId="5463EAF3" w14:textId="77777777" w:rsidR="00A70FCF" w:rsidRDefault="00A70FCF" w:rsidP="00A70FCF">
                      <w:pPr>
                        <w:pStyle w:val="BackPageTextboxText"/>
                      </w:pPr>
                      <w:r>
                        <w:t>Email: feedback@courts.vic.gov.au</w:t>
                      </w:r>
                    </w:p>
                  </w:txbxContent>
                </v:textbox>
                <w10:wrap type="topAndBottom" anchorx="page" anchory="page"/>
              </v:shape>
            </w:pict>
          </mc:Fallback>
        </mc:AlternateContent>
      </w:r>
    </w:p>
    <w:sectPr w:rsidR="0004651A" w:rsidRPr="009E3F63" w:rsidSect="002478C2">
      <w:type w:val="continuous"/>
      <w:pgSz w:w="11907" w:h="16838" w:code="9"/>
      <w:pgMar w:top="1134" w:right="1134" w:bottom="1134" w:left="1134" w:header="454" w:footer="45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B11F" w14:textId="77777777" w:rsidR="00956EC7" w:rsidRDefault="00E325DB" w:rsidP="006D5A90">
      <w:r>
        <w:pict w14:anchorId="02611BD9">
          <v:rect id="_x0000_i1025" style="width:0;height:1.5pt" o:hralign="center" o:hrstd="t" o:hr="t" fillcolor="#a0a0a0" stroked="f"/>
        </w:pict>
      </w:r>
    </w:p>
    <w:p w14:paraId="38FACC40" w14:textId="77777777" w:rsidR="00956EC7" w:rsidRDefault="00956EC7" w:rsidP="006D5A90"/>
  </w:endnote>
  <w:endnote w:type="continuationSeparator" w:id="0">
    <w:p w14:paraId="6160D311" w14:textId="77777777" w:rsidR="00956EC7" w:rsidRDefault="00E325DB" w:rsidP="006D5A90">
      <w:r>
        <w:pict w14:anchorId="627617B7">
          <v:rect id="_x0000_i1026" style="width:0;height:1.5pt" o:hralign="center" o:hrstd="t" o:hr="t" fillcolor="#a0a0a0" stroked="f"/>
        </w:pict>
      </w:r>
    </w:p>
    <w:p w14:paraId="5A8E2883" w14:textId="77777777" w:rsidR="00956EC7" w:rsidRDefault="00956EC7" w:rsidP="006D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5C00" w14:textId="77777777" w:rsidR="009B4305" w:rsidRDefault="009B4305" w:rsidP="00501AB6">
    <w:pPr>
      <w:pStyle w:val="FooterEven"/>
    </w:pP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DA96" w14:textId="77777777" w:rsidR="00501AB6" w:rsidRPr="009B4305" w:rsidRDefault="00501AB6" w:rsidP="00501AB6">
    <w:pPr>
      <w:pStyle w:val="Footer"/>
      <w:rPr>
        <w:lang w:val="en-US"/>
      </w:rPr>
    </w:pPr>
    <w:r>
      <w:rPr>
        <w:lang w:val="en-US"/>
      </w:rPr>
      <w:fldChar w:fldCharType="begin"/>
    </w:r>
    <w:r>
      <w:rPr>
        <w:lang w:val="en-US"/>
      </w:rPr>
      <w:instrText xml:space="preserve"> PAGE  \* Arabic  \* MERGEFORMAT </w:instrText>
    </w:r>
    <w:r>
      <w:rPr>
        <w:lang w:val="en-US"/>
      </w:rPr>
      <w:fldChar w:fldCharType="separate"/>
    </w:r>
    <w:r>
      <w:rPr>
        <w:noProof/>
        <w:lang w:val="en-US"/>
      </w:rPr>
      <w:t>4</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C420" w14:textId="77777777" w:rsidR="00501AB6" w:rsidRPr="009B4305" w:rsidRDefault="00501AB6" w:rsidP="00501AB6">
    <w:pPr>
      <w:pStyle w:val="FooterEven"/>
      <w:rPr>
        <w:lang w:val="en-US"/>
      </w:rPr>
    </w:pPr>
    <w:r>
      <w:rPr>
        <w:lang w:val="en-US"/>
      </w:rPr>
      <w:fldChar w:fldCharType="begin"/>
    </w:r>
    <w:r>
      <w:rPr>
        <w:lang w:val="en-US"/>
      </w:rPr>
      <w:instrText xml:space="preserve"> PAGE  \* Arabic  \* MERGEFORMAT </w:instrText>
    </w:r>
    <w:r>
      <w:rPr>
        <w:lang w:val="en-US"/>
      </w:rPr>
      <w:fldChar w:fldCharType="separate"/>
    </w:r>
    <w:r>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B61DC" w14:textId="77777777" w:rsidR="00956EC7" w:rsidRPr="00CA30B7" w:rsidRDefault="00956EC7" w:rsidP="006D5A90">
      <w:pPr>
        <w:rPr>
          <w:lang w:val="en-US"/>
        </w:rPr>
      </w:pPr>
      <w:r w:rsidRPr="00CA30B7">
        <w:rPr>
          <w:lang w:val="en-US"/>
        </w:rPr>
        <w:t>_______</w:t>
      </w:r>
    </w:p>
  </w:footnote>
  <w:footnote w:type="continuationSeparator" w:id="0">
    <w:p w14:paraId="37D4B8D3" w14:textId="77777777" w:rsidR="00956EC7" w:rsidRPr="00CA30B7" w:rsidRDefault="00956EC7" w:rsidP="006D5A90">
      <w:pPr>
        <w:rPr>
          <w:lang w:val="en-US"/>
        </w:rPr>
      </w:pPr>
      <w:r w:rsidRPr="00CA30B7">
        <w:rPr>
          <w:lang w:val="en-US"/>
        </w:rPr>
        <w:t>_______</w:t>
      </w:r>
    </w:p>
  </w:footnote>
  <w:footnote w:type="continuationNotice" w:id="1">
    <w:p w14:paraId="3F01F74A" w14:textId="77777777" w:rsidR="00956EC7" w:rsidRDefault="00956EC7" w:rsidP="006D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9868" w14:textId="77777777" w:rsidR="00730EEF" w:rsidRPr="009712C8" w:rsidRDefault="009712C8" w:rsidP="009712C8">
    <w:pPr>
      <w:pStyle w:val="HeaderRight"/>
    </w:pPr>
    <w:r>
      <mc:AlternateContent>
        <mc:Choice Requires="wps">
          <w:drawing>
            <wp:anchor distT="0" distB="0" distL="114300" distR="114300" simplePos="0" relativeHeight="251658752" behindDoc="0" locked="0" layoutInCell="1" allowOverlap="1" wp14:anchorId="1CB027E7" wp14:editId="35ADC918">
              <wp:simplePos x="0" y="0"/>
              <wp:positionH relativeFrom="page">
                <wp:align>left</wp:align>
              </wp:positionH>
              <wp:positionV relativeFrom="page">
                <wp:align>top</wp:align>
              </wp:positionV>
              <wp:extent cx="108000" cy="10692000"/>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 cy="10692000"/>
                      </a:xfrm>
                      <a:prstGeom prst="rect">
                        <a:avLst/>
                      </a:prstGeom>
                      <a:gradFill flip="none" rotWithShape="1">
                        <a:gsLst>
                          <a:gs pos="0">
                            <a:srgbClr val="FFEB1D"/>
                          </a:gs>
                          <a:gs pos="100000">
                            <a:schemeClr val="accent2"/>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100000</wp14:pctHeight>
              </wp14:sizeRelV>
            </wp:anchor>
          </w:drawing>
        </mc:Choice>
        <mc:Fallback>
          <w:pict>
            <v:rect w14:anchorId="36787580" id="Rectangle 2" o:spid="_x0000_s1026" alt="&quot;&quot;" style="position:absolute;margin-left:0;margin-top:0;width:8.5pt;height:841.9pt;z-index:251658752;visibility:visible;mso-wrap-style:square;mso-width-percent:0;mso-height-percent:1000;mso-wrap-distance-left:9pt;mso-wrap-distance-top:0;mso-wrap-distance-right:9pt;mso-wrap-distance-bottom:0;mso-position-horizontal:left;mso-position-horizontal-relative:page;mso-position-vertical:top;mso-position-vertical-relative:page;mso-width-percent:0;mso-height-percent:100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v2xAIAAAcGAAAOAAAAZHJzL2Uyb0RvYy54bWysVEtPGzEQvlfqf7B8L7sbBQoRG5RCU1VC&#10;gICKs+O1s5a8tms72aS/vuPZRyKgPVS9+DXP7/PMXF7tGk22wgdlTUmLk5wSYbitlFmX9Mfz8tM5&#10;JSEyUzFtjSjpXgR6Nf/44bJ1MzGxtdWV8AScmDBrXUnrGN0sywKvRcPCiXXCgFBa37AIV7/OKs9a&#10;8N7obJLnZ1lrfeW85SIEeL3phHSO/qUUPN5LGUQkuqSQW8TV47pKaza/ZLO1Z65WvE+D/UMWDVMG&#10;go6ublhkZOPVG1eN4t4GK+MJt01mpVRcIAZAU+Sv0DzVzAnEAuQEN9IU/p9bfrd9cg8eaGhdmAU4&#10;JhQ76Zu0Q35kh2TtR7LELhIOj0V+nudAKQdRkZ9dwG8gndnB3PkQvwnbkHQoqYffQJLY9jZECAmq&#10;g0rPXbVUWhOpFZSCgYKhxNv4omKNVECgjuQA9mgRiLPARo7Pwa9X19qTLYPPXi6/filu0v9ClHU4&#10;1i4gU8g1PWGdidGIcS5MnBxZoXEfTStDWKrr02nngQTOtKhSWlhHUWnxCCD7oJ4hnBRHm7Qam+B1&#10;0vSSHTjHU9xr0Wk/CklUBSxP/pxmx0WoWSU6yKcIq3M/AkP82oDD5FlC/NF37yC12msKEBBg7/WT&#10;qcBuGo3/wt9gPFpgZGviaNwoY/17yHQcjGWnP5DUUZNYWtlq/+BTXWBhBseXCsrrloX4wDw0L9Qk&#10;DKR4D4vUti2p7U+U1Nb/eu896UNPgZSSFoZBScPPDfNQfvq7gfq6KKbTND3wMj39PIGLP5asjiVm&#10;01xbKMECRp/jeEz6UQ9H6W3zAnNrkaKCiBkOsUvKox8u17EbUjD5uFgsUA0mhmPx1jw5PnRCap/n&#10;3Qvzru+xCO15Z4fBwWavWq3TTf9h7GITrVRYrAdee75h2mDh9JMxjbPjO2od5vf8NwAAAP//AwBQ&#10;SwMEFAAGAAgAAAAhABK+SlLaAAAABQEAAA8AAABkcnMvZG93bnJldi54bWxMj0FPwzAMhe9I/IfI&#10;SNxYypBK6ZpOCITEYSBt9MIta7ymLHGqJtvKv8fjAhdbT896/l61nLwTRxxjH0jB7SwDgdQG01On&#10;oPl4uSlAxKTJaBcIFXxjhGV9eVHp0oQTrfG4SZ3gEIqlVmBTGkopY2vR6zgLAxJ7uzB6nViOnTSj&#10;PnG4d3KeZbn0uif+YPWATxbb/ebgFXylz97OV91rs3rH57fcNeYB90pdX02PCxAJp/R3DGd8Roea&#10;mbbhQCYKp4CLpN959u5ZbXnnxV0Bsq7kf/r6BwAA//8DAFBLAQItABQABgAIAAAAIQC2gziS/gAA&#10;AOEBAAATAAAAAAAAAAAAAAAAAAAAAABbQ29udGVudF9UeXBlc10ueG1sUEsBAi0AFAAGAAgAAAAh&#10;ADj9If/WAAAAlAEAAAsAAAAAAAAAAAAAAAAALwEAAF9yZWxzLy5yZWxzUEsBAi0AFAAGAAgAAAAh&#10;AKroC/bEAgAABwYAAA4AAAAAAAAAAAAAAAAALgIAAGRycy9lMm9Eb2MueG1sUEsBAi0AFAAGAAgA&#10;AAAhABK+SlLaAAAABQEAAA8AAAAAAAAAAAAAAAAAHgUAAGRycy9kb3ducmV2LnhtbFBLBQYAAAAA&#10;BAAEAPMAAAAlBgAAAAA=&#10;" fillcolor="#ffeb1d" stroked="f" strokeweight="2pt">
              <v:fill color2="#00a673 [3205]" rotate="t" focus="100%" type="gradient"/>
              <w10:wrap anchorx="page" anchory="page"/>
            </v:rect>
          </w:pict>
        </mc:Fallback>
      </mc:AlternateContent>
    </w:r>
    <w:r>
      <w:t>Court Services Victoria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55EB" w14:textId="77777777" w:rsidR="00730EEF" w:rsidRDefault="00730EEF">
    <w:pPr>
      <w:pStyle w:val="Header"/>
    </w:pPr>
    <w:r>
      <w:rPr>
        <w:noProof/>
      </w:rPr>
      <w:drawing>
        <wp:anchor distT="0" distB="0" distL="114300" distR="114300" simplePos="0" relativeHeight="251654656" behindDoc="1" locked="0" layoutInCell="1" allowOverlap="1" wp14:anchorId="316B5253" wp14:editId="48B1D3B6">
          <wp:simplePos x="1076325" y="-7505700"/>
          <wp:positionH relativeFrom="page">
            <wp:align>left</wp:align>
          </wp:positionH>
          <wp:positionV relativeFrom="page">
            <wp:align>top</wp:align>
          </wp:positionV>
          <wp:extent cx="7555510" cy="10692000"/>
          <wp:effectExtent l="0" t="0" r="7620" b="0"/>
          <wp:wrapNone/>
          <wp:docPr id="289680283" name="Picture 289680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0283" name="Picture 2896802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r>
      <w:t>Court Services Victoria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FD62" w14:textId="77777777" w:rsidR="00730EEF" w:rsidRDefault="00730EEF" w:rsidP="00501AB6">
    <w:pPr>
      <w:pStyle w:val="HeaderRight"/>
    </w:pPr>
    <w:r>
      <w:drawing>
        <wp:anchor distT="0" distB="0" distL="114300" distR="114300" simplePos="0" relativeHeight="251669504" behindDoc="1" locked="0" layoutInCell="1" allowOverlap="1" wp14:anchorId="699019C1" wp14:editId="42EC361A">
          <wp:simplePos x="1076325" y="-7505700"/>
          <wp:positionH relativeFrom="page">
            <wp:align>left</wp:align>
          </wp:positionH>
          <wp:positionV relativeFrom="page">
            <wp:align>top</wp:align>
          </wp:positionV>
          <wp:extent cx="7555510" cy="10692000"/>
          <wp:effectExtent l="0" t="0" r="762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r w:rsidR="00501AB6">
      <w:t>Right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11B32746"/>
    <w:multiLevelType w:val="hybridMultilevel"/>
    <w:tmpl w:val="A7F4A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693E69"/>
    <w:multiLevelType w:val="hybridMultilevel"/>
    <w:tmpl w:val="FC249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001C3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01C3A" w:themeColor="text2"/>
        <w:position w:val="2"/>
        <w:sz w:val="20"/>
      </w:rPr>
    </w:lvl>
    <w:lvl w:ilvl="2">
      <w:start w:val="1"/>
      <w:numFmt w:val="bullet"/>
      <w:lvlText w:val="–"/>
      <w:lvlJc w:val="left"/>
      <w:pPr>
        <w:tabs>
          <w:tab w:val="num" w:pos="1361"/>
        </w:tabs>
        <w:ind w:left="1361" w:hanging="340"/>
      </w:pPr>
      <w:rPr>
        <w:rFonts w:ascii="Arial" w:hAnsi="Arial" w:hint="default"/>
        <w:color w:val="001C3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5987DBC"/>
    <w:multiLevelType w:val="multilevel"/>
    <w:tmpl w:val="D65AF1C4"/>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27E0367C"/>
    <w:lvl w:ilvl="0">
      <w:start w:val="1"/>
      <w:numFmt w:val="lowerLetter"/>
      <w:pStyle w:val="ListAlpha"/>
      <w:lvlText w:val="%1."/>
      <w:lvlJc w:val="left"/>
      <w:pPr>
        <w:ind w:left="794" w:hanging="397"/>
      </w:pPr>
      <w:rPr>
        <w:rFonts w:asciiTheme="minorHAnsi" w:hAnsiTheme="minorHAnsi" w:hint="default"/>
        <w:color w:val="001C3A" w:themeColor="text2"/>
        <w:position w:val="0"/>
        <w:sz w:val="22"/>
      </w:rPr>
    </w:lvl>
    <w:lvl w:ilvl="1">
      <w:start w:val="5"/>
      <w:numFmt w:val="bullet"/>
      <w:lvlText w:val="–"/>
      <w:lvlJc w:val="left"/>
      <w:pPr>
        <w:ind w:left="1191" w:hanging="397"/>
      </w:pPr>
      <w:rPr>
        <w:rFonts w:ascii="Arial" w:hAnsi="Arial" w:hint="default"/>
        <w:b w:val="0"/>
        <w:i w:val="0"/>
        <w:color w:val="001C3A" w:themeColor="text2"/>
        <w:position w:val="2"/>
        <w:sz w:val="20"/>
      </w:rPr>
    </w:lvl>
    <w:lvl w:ilvl="2">
      <w:start w:val="1"/>
      <w:numFmt w:val="bullet"/>
      <w:lvlText w:val="–"/>
      <w:lvlJc w:val="left"/>
      <w:pPr>
        <w:ind w:left="1588" w:hanging="397"/>
      </w:pPr>
      <w:rPr>
        <w:rFonts w:ascii="Arial" w:hAnsi="Arial" w:hint="default"/>
        <w:color w:val="001C3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6855328"/>
    <w:multiLevelType w:val="multilevel"/>
    <w:tmpl w:val="B83EAAD4"/>
    <w:name w:val="Numbered Headings"/>
    <w:lvl w:ilvl="0">
      <w:start w:val="1"/>
      <w:numFmt w:val="decimal"/>
      <w:lvlText w:val="%1."/>
      <w:lvlJc w:val="left"/>
      <w:pPr>
        <w:ind w:left="255" w:hanging="255"/>
      </w:pPr>
      <w:rPr>
        <w:rFonts w:hint="default"/>
        <w:b w:val="0"/>
        <w:i w:val="0"/>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CC371F"/>
    <w:multiLevelType w:val="multilevel"/>
    <w:tmpl w:val="58042D76"/>
    <w:lvl w:ilvl="0">
      <w:start w:val="1"/>
      <w:numFmt w:val="decimal"/>
      <w:pStyle w:val="AttachmentHeading1"/>
      <w:suff w:val="space"/>
      <w:lvlText w:val="Attachment %1:"/>
      <w:lvlJc w:val="left"/>
      <w:pPr>
        <w:ind w:left="0" w:firstLine="0"/>
      </w:pPr>
      <w:rPr>
        <w:rFonts w:hint="default"/>
      </w:rPr>
    </w:lvl>
    <w:lvl w:ilvl="1">
      <w:start w:val="1"/>
      <w:numFmt w:val="decimal"/>
      <w:pStyle w:val="AttachmentHeading2"/>
      <w:lvlText w:val="%2"/>
      <w:lvlJc w:val="left"/>
      <w:pPr>
        <w:ind w:left="454" w:hanging="454"/>
      </w:pPr>
      <w:rPr>
        <w:rFonts w:asciiTheme="minorHAnsi" w:hAnsiTheme="minorHAnsi" w:hint="default"/>
        <w:b/>
        <w:i w:val="0"/>
      </w:rPr>
    </w:lvl>
    <w:lvl w:ilvl="2">
      <w:start w:val="1"/>
      <w:numFmt w:val="decimal"/>
      <w:pStyle w:val="AttachmentHeading3"/>
      <w:lvlText w:val="%2.%3"/>
      <w:lvlJc w:val="left"/>
      <w:pPr>
        <w:ind w:left="397" w:hanging="397"/>
      </w:pPr>
      <w:rPr>
        <w:rFonts w:asciiTheme="majorHAnsi" w:hAnsiTheme="majorHAnsi" w:hint="default"/>
        <w:b/>
        <w:i w:val="0"/>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6" w15:restartNumberingAfterBreak="0">
    <w:nsid w:val="395D52A8"/>
    <w:multiLevelType w:val="multilevel"/>
    <w:tmpl w:val="8CE81736"/>
    <w:name w:val="ListNumbering22"/>
    <w:numStyleLink w:val="Appendices"/>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01C3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01C3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065184A"/>
    <w:multiLevelType w:val="hybridMultilevel"/>
    <w:tmpl w:val="29F4F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01C3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AA27F2E"/>
    <w:multiLevelType w:val="multilevel"/>
    <w:tmpl w:val="C6206E4C"/>
    <w:name w:val="Bullets"/>
    <w:lvl w:ilvl="0">
      <w:start w:val="1"/>
      <w:numFmt w:val="bullet"/>
      <w:pStyle w:val="ListBullet"/>
      <w:lvlText w:val="•"/>
      <w:lvlJc w:val="left"/>
      <w:pPr>
        <w:tabs>
          <w:tab w:val="num" w:pos="170"/>
        </w:tabs>
        <w:ind w:left="170" w:hanging="170"/>
      </w:pPr>
      <w:rPr>
        <w:rFonts w:ascii="Times New Roman" w:hAnsi="Times New Roman" w:cs="Times New Roman" w:hint="default"/>
      </w:rPr>
    </w:lvl>
    <w:lvl w:ilvl="1">
      <w:start w:val="1"/>
      <w:numFmt w:val="bullet"/>
      <w:pStyle w:val="ListBullet2"/>
      <w:lvlText w:val="—"/>
      <w:lvlJc w:val="left"/>
      <w:pPr>
        <w:tabs>
          <w:tab w:val="num" w:pos="340"/>
        </w:tabs>
        <w:ind w:left="340" w:hanging="170"/>
      </w:pPr>
      <w:rPr>
        <w:rFonts w:ascii="Trebuchet MS" w:hAnsi="Trebuchet MS" w:hint="default"/>
      </w:rPr>
    </w:lvl>
    <w:lvl w:ilvl="2">
      <w:start w:val="1"/>
      <w:numFmt w:val="bullet"/>
      <w:pStyle w:val="ListBullet3"/>
      <w:lvlText w:val="–"/>
      <w:lvlJc w:val="left"/>
      <w:pPr>
        <w:tabs>
          <w:tab w:val="num" w:pos="510"/>
        </w:tabs>
        <w:ind w:left="510" w:hanging="170"/>
      </w:pPr>
      <w:rPr>
        <w:rFonts w:ascii="Arial" w:hAnsi="Arial" w:hint="default"/>
      </w:rPr>
    </w:lvl>
    <w:lvl w:ilvl="3">
      <w:start w:val="1"/>
      <w:numFmt w:val="bullet"/>
      <w:lvlText w:val=""/>
      <w:lvlJc w:val="left"/>
      <w:pPr>
        <w:ind w:left="1587" w:hanging="340"/>
      </w:pPr>
      <w:rPr>
        <w:rFonts w:ascii="Symbol" w:hAnsi="Symbol" w:hint="default"/>
      </w:rPr>
    </w:lvl>
    <w:lvl w:ilvl="4">
      <w:start w:val="1"/>
      <w:numFmt w:val="bullet"/>
      <w:lvlText w:val="o"/>
      <w:lvlJc w:val="left"/>
      <w:pPr>
        <w:ind w:left="1927" w:hanging="340"/>
      </w:pPr>
      <w:rPr>
        <w:rFonts w:ascii="Courier New" w:hAnsi="Courier New" w:cs="Courier New" w:hint="default"/>
      </w:rPr>
    </w:lvl>
    <w:lvl w:ilvl="5">
      <w:start w:val="1"/>
      <w:numFmt w:val="bullet"/>
      <w:lvlText w:val=""/>
      <w:lvlJc w:val="left"/>
      <w:pPr>
        <w:ind w:left="2267" w:hanging="340"/>
      </w:pPr>
      <w:rPr>
        <w:rFonts w:ascii="Wingdings" w:hAnsi="Wingdings" w:hint="default"/>
      </w:rPr>
    </w:lvl>
    <w:lvl w:ilvl="6">
      <w:start w:val="1"/>
      <w:numFmt w:val="bullet"/>
      <w:lvlText w:val=""/>
      <w:lvlJc w:val="left"/>
      <w:pPr>
        <w:ind w:left="2607" w:hanging="340"/>
      </w:pPr>
      <w:rPr>
        <w:rFonts w:ascii="Symbol" w:hAnsi="Symbol" w:hint="default"/>
      </w:rPr>
    </w:lvl>
    <w:lvl w:ilvl="7">
      <w:start w:val="1"/>
      <w:numFmt w:val="bullet"/>
      <w:lvlText w:val="o"/>
      <w:lvlJc w:val="left"/>
      <w:pPr>
        <w:ind w:left="2947" w:hanging="340"/>
      </w:pPr>
      <w:rPr>
        <w:rFonts w:ascii="Courier New" w:hAnsi="Courier New" w:cs="Courier New" w:hint="default"/>
      </w:rPr>
    </w:lvl>
    <w:lvl w:ilvl="8">
      <w:start w:val="1"/>
      <w:numFmt w:val="bullet"/>
      <w:lvlText w:val=""/>
      <w:lvlJc w:val="left"/>
      <w:pPr>
        <w:ind w:left="3287" w:hanging="340"/>
      </w:pPr>
      <w:rPr>
        <w:rFonts w:ascii="Wingdings" w:hAnsi="Wingdings" w:hint="default"/>
      </w:rPr>
    </w:lvl>
  </w:abstractNum>
  <w:abstractNum w:abstractNumId="23" w15:restartNumberingAfterBreak="0">
    <w:nsid w:val="4EF01645"/>
    <w:multiLevelType w:val="multilevel"/>
    <w:tmpl w:val="A55C3BEE"/>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tabs>
          <w:tab w:val="num" w:pos="1021"/>
        </w:tabs>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98A5190"/>
    <w:multiLevelType w:val="hybridMultilevel"/>
    <w:tmpl w:val="88B2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2DE279B"/>
    <w:multiLevelType w:val="hybridMultilevel"/>
    <w:tmpl w:val="3E5EF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01C3A" w:themeColor="text2"/>
      </w:rPr>
    </w:lvl>
    <w:lvl w:ilvl="1">
      <w:start w:val="1"/>
      <w:numFmt w:val="bullet"/>
      <w:lvlText w:val="–"/>
      <w:lvlJc w:val="left"/>
      <w:pPr>
        <w:ind w:left="539" w:hanging="227"/>
      </w:pPr>
      <w:rPr>
        <w:rFonts w:ascii="Arial" w:hAnsi="Arial" w:hint="default"/>
        <w:color w:val="001C3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01C3A" w:themeColor="text2"/>
        <w:sz w:val="32"/>
      </w:rPr>
    </w:lvl>
    <w:lvl w:ilvl="1">
      <w:start w:val="1"/>
      <w:numFmt w:val="decimal"/>
      <w:lvlText w:val="%2."/>
      <w:lvlJc w:val="left"/>
      <w:pPr>
        <w:tabs>
          <w:tab w:val="num" w:pos="992"/>
        </w:tabs>
        <w:ind w:left="992" w:hanging="992"/>
      </w:pPr>
      <w:rPr>
        <w:rFonts w:hint="default"/>
        <w:b w:val="0"/>
        <w:i w:val="0"/>
        <w:color w:val="001C3A"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727C5551"/>
    <w:multiLevelType w:val="hybridMultilevel"/>
    <w:tmpl w:val="7376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001C3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01C3A" w:themeColor="text2"/>
        <w:position w:val="2"/>
        <w:sz w:val="20"/>
      </w:rPr>
    </w:lvl>
    <w:lvl w:ilvl="2">
      <w:start w:val="1"/>
      <w:numFmt w:val="bullet"/>
      <w:lvlText w:val="–"/>
      <w:lvlJc w:val="left"/>
      <w:pPr>
        <w:tabs>
          <w:tab w:val="num" w:pos="1361"/>
        </w:tabs>
        <w:ind w:left="1361" w:hanging="340"/>
      </w:pPr>
      <w:rPr>
        <w:rFonts w:ascii="Arial" w:hAnsi="Arial" w:hint="default"/>
        <w:color w:val="001C3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87C7E02"/>
    <w:multiLevelType w:val="multilevel"/>
    <w:tmpl w:val="8D407BF4"/>
    <w:name w:val="TableBullets2"/>
    <w:lvl w:ilvl="0">
      <w:start w:val="1"/>
      <w:numFmt w:val="bullet"/>
      <w:lvlText w:val="•"/>
      <w:lvlJc w:val="left"/>
      <w:pPr>
        <w:ind w:left="170" w:hanging="170"/>
      </w:pPr>
      <w:rPr>
        <w:rFonts w:ascii="Times New Roman" w:hAnsi="Times New Roman" w:cs="Times New Roman" w:hint="default"/>
        <w:b w:val="0"/>
        <w:i w:val="0"/>
      </w:rPr>
    </w:lvl>
    <w:lvl w:ilvl="1">
      <w:start w:val="1"/>
      <w:numFmt w:val="bullet"/>
      <w:lvlText w:val="•"/>
      <w:lvlJc w:val="left"/>
      <w:pPr>
        <w:ind w:left="340" w:hanging="170"/>
      </w:pPr>
      <w:rPr>
        <w:rFonts w:ascii="Times New Roman" w:hAnsi="Times New Roman" w:cs="Times New Roman"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01C3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2061202679">
    <w:abstractNumId w:val="2"/>
  </w:num>
  <w:num w:numId="2" w16cid:durableId="980620373">
    <w:abstractNumId w:val="9"/>
  </w:num>
  <w:num w:numId="3" w16cid:durableId="1296570421">
    <w:abstractNumId w:val="30"/>
  </w:num>
  <w:num w:numId="4" w16cid:durableId="402215107">
    <w:abstractNumId w:val="7"/>
  </w:num>
  <w:num w:numId="5" w16cid:durableId="1878539608">
    <w:abstractNumId w:val="10"/>
  </w:num>
  <w:num w:numId="6" w16cid:durableId="527378942">
    <w:abstractNumId w:val="21"/>
  </w:num>
  <w:num w:numId="7" w16cid:durableId="1984507467">
    <w:abstractNumId w:val="0"/>
  </w:num>
  <w:num w:numId="8" w16cid:durableId="1437090595">
    <w:abstractNumId w:val="22"/>
  </w:num>
  <w:num w:numId="9" w16cid:durableId="2134978100">
    <w:abstractNumId w:val="23"/>
  </w:num>
  <w:num w:numId="10" w16cid:durableId="1282348400">
    <w:abstractNumId w:val="15"/>
  </w:num>
  <w:num w:numId="11" w16cid:durableId="978877591">
    <w:abstractNumId w:val="8"/>
  </w:num>
  <w:num w:numId="12" w16cid:durableId="1351221589">
    <w:abstractNumId w:val="19"/>
  </w:num>
  <w:num w:numId="13" w16cid:durableId="1925986861">
    <w:abstractNumId w:val="4"/>
  </w:num>
  <w:num w:numId="14" w16cid:durableId="63572597">
    <w:abstractNumId w:val="31"/>
  </w:num>
  <w:num w:numId="15" w16cid:durableId="193738532">
    <w:abstractNumId w:val="5"/>
  </w:num>
  <w:num w:numId="16" w16cid:durableId="781730875">
    <w:abstractNumId w:val="27"/>
  </w:num>
  <w:num w:numId="17" w16cid:durableId="37639854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mirrorMargin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1" w:cryptProviderType="rsaAES" w:cryptAlgorithmClass="hash" w:cryptAlgorithmType="typeAny" w:cryptAlgorithmSid="14" w:cryptSpinCount="100000" w:hash="PrloXlvtKVDQNucJrr0W5yfT4A/heyeYxxCoQQSZU6nFpk7uW/ZeFQBI2ryx5r7hOomj9wcjYIHr13sMVVGtOQ==" w:salt="yMsHX7TtxzNWJjp5nPv3UA=="/>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5519CB"/>
    <w:rsid w:val="00000194"/>
    <w:rsid w:val="00001D81"/>
    <w:rsid w:val="00002691"/>
    <w:rsid w:val="00003260"/>
    <w:rsid w:val="000035F6"/>
    <w:rsid w:val="00004327"/>
    <w:rsid w:val="00004810"/>
    <w:rsid w:val="00004A68"/>
    <w:rsid w:val="00004EEE"/>
    <w:rsid w:val="000068CA"/>
    <w:rsid w:val="0000736B"/>
    <w:rsid w:val="000105A9"/>
    <w:rsid w:val="000112BF"/>
    <w:rsid w:val="00011C29"/>
    <w:rsid w:val="00011F46"/>
    <w:rsid w:val="0001216C"/>
    <w:rsid w:val="000125A5"/>
    <w:rsid w:val="0001294B"/>
    <w:rsid w:val="00012D6E"/>
    <w:rsid w:val="000139F9"/>
    <w:rsid w:val="00013C91"/>
    <w:rsid w:val="00014AD2"/>
    <w:rsid w:val="000152AC"/>
    <w:rsid w:val="000160DB"/>
    <w:rsid w:val="0001645A"/>
    <w:rsid w:val="00016927"/>
    <w:rsid w:val="00016F11"/>
    <w:rsid w:val="00017A37"/>
    <w:rsid w:val="00017E78"/>
    <w:rsid w:val="00020166"/>
    <w:rsid w:val="00020425"/>
    <w:rsid w:val="0002048A"/>
    <w:rsid w:val="00022FC9"/>
    <w:rsid w:val="0002313E"/>
    <w:rsid w:val="00023619"/>
    <w:rsid w:val="000239C6"/>
    <w:rsid w:val="00024DE5"/>
    <w:rsid w:val="00024F9A"/>
    <w:rsid w:val="000265EA"/>
    <w:rsid w:val="00026DA1"/>
    <w:rsid w:val="00026DC2"/>
    <w:rsid w:val="00026F6C"/>
    <w:rsid w:val="000273C5"/>
    <w:rsid w:val="00030A38"/>
    <w:rsid w:val="0003160B"/>
    <w:rsid w:val="000332EC"/>
    <w:rsid w:val="000337A3"/>
    <w:rsid w:val="00033827"/>
    <w:rsid w:val="00033980"/>
    <w:rsid w:val="000343D3"/>
    <w:rsid w:val="000346D1"/>
    <w:rsid w:val="00034E7A"/>
    <w:rsid w:val="0003565D"/>
    <w:rsid w:val="00036D45"/>
    <w:rsid w:val="000374E9"/>
    <w:rsid w:val="000408B7"/>
    <w:rsid w:val="00040EB4"/>
    <w:rsid w:val="000411A2"/>
    <w:rsid w:val="00041613"/>
    <w:rsid w:val="00042903"/>
    <w:rsid w:val="00043FEB"/>
    <w:rsid w:val="0004423F"/>
    <w:rsid w:val="00044607"/>
    <w:rsid w:val="0004603D"/>
    <w:rsid w:val="0004651A"/>
    <w:rsid w:val="0004675A"/>
    <w:rsid w:val="0004689E"/>
    <w:rsid w:val="00050713"/>
    <w:rsid w:val="00051BFC"/>
    <w:rsid w:val="00051D5C"/>
    <w:rsid w:val="00052454"/>
    <w:rsid w:val="0005252A"/>
    <w:rsid w:val="00053C58"/>
    <w:rsid w:val="0005472F"/>
    <w:rsid w:val="0005578D"/>
    <w:rsid w:val="00056024"/>
    <w:rsid w:val="000574CC"/>
    <w:rsid w:val="00060B9F"/>
    <w:rsid w:val="000634B5"/>
    <w:rsid w:val="000651B2"/>
    <w:rsid w:val="00065587"/>
    <w:rsid w:val="00066A4B"/>
    <w:rsid w:val="00067A55"/>
    <w:rsid w:val="0007095A"/>
    <w:rsid w:val="0007166A"/>
    <w:rsid w:val="0007247D"/>
    <w:rsid w:val="000724F2"/>
    <w:rsid w:val="00074EF6"/>
    <w:rsid w:val="00075B1E"/>
    <w:rsid w:val="000764DD"/>
    <w:rsid w:val="00076CEC"/>
    <w:rsid w:val="000770EF"/>
    <w:rsid w:val="00080082"/>
    <w:rsid w:val="000809F5"/>
    <w:rsid w:val="00080B70"/>
    <w:rsid w:val="00080D94"/>
    <w:rsid w:val="00082701"/>
    <w:rsid w:val="00082CAC"/>
    <w:rsid w:val="00082D40"/>
    <w:rsid w:val="00082EEC"/>
    <w:rsid w:val="00084998"/>
    <w:rsid w:val="00085562"/>
    <w:rsid w:val="00086400"/>
    <w:rsid w:val="0008678B"/>
    <w:rsid w:val="00086C5B"/>
    <w:rsid w:val="0008786F"/>
    <w:rsid w:val="00087CE5"/>
    <w:rsid w:val="00090C31"/>
    <w:rsid w:val="00090CB5"/>
    <w:rsid w:val="00090D68"/>
    <w:rsid w:val="0009129D"/>
    <w:rsid w:val="000913B9"/>
    <w:rsid w:val="00091C6D"/>
    <w:rsid w:val="00091E67"/>
    <w:rsid w:val="00093AB0"/>
    <w:rsid w:val="00093DB2"/>
    <w:rsid w:val="00094C04"/>
    <w:rsid w:val="0009636C"/>
    <w:rsid w:val="00097178"/>
    <w:rsid w:val="000971A5"/>
    <w:rsid w:val="000972C9"/>
    <w:rsid w:val="000A0157"/>
    <w:rsid w:val="000A043A"/>
    <w:rsid w:val="000A0772"/>
    <w:rsid w:val="000A07D4"/>
    <w:rsid w:val="000A0D39"/>
    <w:rsid w:val="000A0ECF"/>
    <w:rsid w:val="000A1A10"/>
    <w:rsid w:val="000A25A3"/>
    <w:rsid w:val="000A2A5F"/>
    <w:rsid w:val="000A3203"/>
    <w:rsid w:val="000A3E5B"/>
    <w:rsid w:val="000A43C4"/>
    <w:rsid w:val="000A4CDF"/>
    <w:rsid w:val="000A4DD8"/>
    <w:rsid w:val="000A513C"/>
    <w:rsid w:val="000A5285"/>
    <w:rsid w:val="000A55E9"/>
    <w:rsid w:val="000A6056"/>
    <w:rsid w:val="000A64D2"/>
    <w:rsid w:val="000A65C4"/>
    <w:rsid w:val="000B02C8"/>
    <w:rsid w:val="000B07C0"/>
    <w:rsid w:val="000B1783"/>
    <w:rsid w:val="000B51BB"/>
    <w:rsid w:val="000B59CB"/>
    <w:rsid w:val="000B5AC1"/>
    <w:rsid w:val="000B5B6D"/>
    <w:rsid w:val="000B6301"/>
    <w:rsid w:val="000B65EE"/>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0FA2"/>
    <w:rsid w:val="000D1DA0"/>
    <w:rsid w:val="000D2B3D"/>
    <w:rsid w:val="000D319F"/>
    <w:rsid w:val="000D36F9"/>
    <w:rsid w:val="000D3881"/>
    <w:rsid w:val="000D3CAE"/>
    <w:rsid w:val="000D538A"/>
    <w:rsid w:val="000D5967"/>
    <w:rsid w:val="000D5CE1"/>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6D73"/>
    <w:rsid w:val="000E7420"/>
    <w:rsid w:val="000E79F7"/>
    <w:rsid w:val="000E7E4A"/>
    <w:rsid w:val="000E7F29"/>
    <w:rsid w:val="000F0977"/>
    <w:rsid w:val="000F0AB0"/>
    <w:rsid w:val="000F1017"/>
    <w:rsid w:val="000F1E52"/>
    <w:rsid w:val="000F1FBE"/>
    <w:rsid w:val="000F26D5"/>
    <w:rsid w:val="000F2BEC"/>
    <w:rsid w:val="000F2F6D"/>
    <w:rsid w:val="000F3362"/>
    <w:rsid w:val="000F39C2"/>
    <w:rsid w:val="000F436A"/>
    <w:rsid w:val="000F4407"/>
    <w:rsid w:val="000F47F5"/>
    <w:rsid w:val="000F4D26"/>
    <w:rsid w:val="000F59FB"/>
    <w:rsid w:val="000F5CC5"/>
    <w:rsid w:val="000F5E55"/>
    <w:rsid w:val="000F5FFD"/>
    <w:rsid w:val="000F6093"/>
    <w:rsid w:val="000F661E"/>
    <w:rsid w:val="000F72AB"/>
    <w:rsid w:val="000F7466"/>
    <w:rsid w:val="000F7BB5"/>
    <w:rsid w:val="000F7C2D"/>
    <w:rsid w:val="0010018C"/>
    <w:rsid w:val="00101215"/>
    <w:rsid w:val="00101A91"/>
    <w:rsid w:val="001023F4"/>
    <w:rsid w:val="00102D94"/>
    <w:rsid w:val="001042E1"/>
    <w:rsid w:val="0010455D"/>
    <w:rsid w:val="00104C22"/>
    <w:rsid w:val="00105FBE"/>
    <w:rsid w:val="00106250"/>
    <w:rsid w:val="00107C8F"/>
    <w:rsid w:val="0011038E"/>
    <w:rsid w:val="00110760"/>
    <w:rsid w:val="0011087C"/>
    <w:rsid w:val="0011132C"/>
    <w:rsid w:val="001129F9"/>
    <w:rsid w:val="00112EDB"/>
    <w:rsid w:val="0011371C"/>
    <w:rsid w:val="00113A48"/>
    <w:rsid w:val="00113EE7"/>
    <w:rsid w:val="0011429D"/>
    <w:rsid w:val="00114377"/>
    <w:rsid w:val="0011501B"/>
    <w:rsid w:val="001153CE"/>
    <w:rsid w:val="001156B1"/>
    <w:rsid w:val="00116264"/>
    <w:rsid w:val="00116413"/>
    <w:rsid w:val="001169AD"/>
    <w:rsid w:val="001176AC"/>
    <w:rsid w:val="00120092"/>
    <w:rsid w:val="0012041B"/>
    <w:rsid w:val="00120D59"/>
    <w:rsid w:val="001228AC"/>
    <w:rsid w:val="001230A0"/>
    <w:rsid w:val="001242E9"/>
    <w:rsid w:val="001244D8"/>
    <w:rsid w:val="001252B3"/>
    <w:rsid w:val="0012652C"/>
    <w:rsid w:val="001267C9"/>
    <w:rsid w:val="001268C6"/>
    <w:rsid w:val="00126943"/>
    <w:rsid w:val="001302AB"/>
    <w:rsid w:val="0013044E"/>
    <w:rsid w:val="00130735"/>
    <w:rsid w:val="00130B14"/>
    <w:rsid w:val="001320DB"/>
    <w:rsid w:val="00132534"/>
    <w:rsid w:val="00132ECF"/>
    <w:rsid w:val="00133CEB"/>
    <w:rsid w:val="00134447"/>
    <w:rsid w:val="00135A21"/>
    <w:rsid w:val="0013609B"/>
    <w:rsid w:val="001369F7"/>
    <w:rsid w:val="001378AA"/>
    <w:rsid w:val="00137A24"/>
    <w:rsid w:val="001406CA"/>
    <w:rsid w:val="001417FF"/>
    <w:rsid w:val="00141FDF"/>
    <w:rsid w:val="00142974"/>
    <w:rsid w:val="00144060"/>
    <w:rsid w:val="00144787"/>
    <w:rsid w:val="00145F74"/>
    <w:rsid w:val="00146947"/>
    <w:rsid w:val="00147141"/>
    <w:rsid w:val="0014722D"/>
    <w:rsid w:val="00150746"/>
    <w:rsid w:val="00151331"/>
    <w:rsid w:val="001536B2"/>
    <w:rsid w:val="0015405B"/>
    <w:rsid w:val="00155192"/>
    <w:rsid w:val="00155B41"/>
    <w:rsid w:val="00155B79"/>
    <w:rsid w:val="00156406"/>
    <w:rsid w:val="0015669A"/>
    <w:rsid w:val="00156BC1"/>
    <w:rsid w:val="001571C1"/>
    <w:rsid w:val="00157BEE"/>
    <w:rsid w:val="00157F04"/>
    <w:rsid w:val="00160C09"/>
    <w:rsid w:val="00160EA5"/>
    <w:rsid w:val="00160F1D"/>
    <w:rsid w:val="00161183"/>
    <w:rsid w:val="00161DFE"/>
    <w:rsid w:val="00162508"/>
    <w:rsid w:val="0016271B"/>
    <w:rsid w:val="00162EBC"/>
    <w:rsid w:val="0016336A"/>
    <w:rsid w:val="00163A5B"/>
    <w:rsid w:val="00163A88"/>
    <w:rsid w:val="00164012"/>
    <w:rsid w:val="00164716"/>
    <w:rsid w:val="00166097"/>
    <w:rsid w:val="00166E6D"/>
    <w:rsid w:val="00167022"/>
    <w:rsid w:val="0016718E"/>
    <w:rsid w:val="001705F7"/>
    <w:rsid w:val="00170701"/>
    <w:rsid w:val="001726D4"/>
    <w:rsid w:val="001728B5"/>
    <w:rsid w:val="00173918"/>
    <w:rsid w:val="00174052"/>
    <w:rsid w:val="001745CE"/>
    <w:rsid w:val="001750A0"/>
    <w:rsid w:val="00175510"/>
    <w:rsid w:val="00175DCC"/>
    <w:rsid w:val="001766D2"/>
    <w:rsid w:val="001768FA"/>
    <w:rsid w:val="0017749D"/>
    <w:rsid w:val="001778A7"/>
    <w:rsid w:val="001806B5"/>
    <w:rsid w:val="00180E8D"/>
    <w:rsid w:val="001813B0"/>
    <w:rsid w:val="001818D8"/>
    <w:rsid w:val="0018239D"/>
    <w:rsid w:val="001827CC"/>
    <w:rsid w:val="00183096"/>
    <w:rsid w:val="0018426D"/>
    <w:rsid w:val="00184490"/>
    <w:rsid w:val="001844C6"/>
    <w:rsid w:val="001845EF"/>
    <w:rsid w:val="00184B03"/>
    <w:rsid w:val="00185BF1"/>
    <w:rsid w:val="00186186"/>
    <w:rsid w:val="0018625D"/>
    <w:rsid w:val="00186A77"/>
    <w:rsid w:val="001874D7"/>
    <w:rsid w:val="00187B9E"/>
    <w:rsid w:val="001910A2"/>
    <w:rsid w:val="00191188"/>
    <w:rsid w:val="001911BB"/>
    <w:rsid w:val="00191308"/>
    <w:rsid w:val="00192F5C"/>
    <w:rsid w:val="00194013"/>
    <w:rsid w:val="001942E7"/>
    <w:rsid w:val="001945C8"/>
    <w:rsid w:val="00194AAE"/>
    <w:rsid w:val="00194B60"/>
    <w:rsid w:val="00195D19"/>
    <w:rsid w:val="00196E13"/>
    <w:rsid w:val="0019756C"/>
    <w:rsid w:val="00197D54"/>
    <w:rsid w:val="001A0FC3"/>
    <w:rsid w:val="001A26B9"/>
    <w:rsid w:val="001A3352"/>
    <w:rsid w:val="001A3695"/>
    <w:rsid w:val="001A56EB"/>
    <w:rsid w:val="001A59BB"/>
    <w:rsid w:val="001A63B0"/>
    <w:rsid w:val="001A6B09"/>
    <w:rsid w:val="001B017B"/>
    <w:rsid w:val="001B08FF"/>
    <w:rsid w:val="001B1992"/>
    <w:rsid w:val="001B1B2B"/>
    <w:rsid w:val="001B1CD9"/>
    <w:rsid w:val="001B204A"/>
    <w:rsid w:val="001B2AD7"/>
    <w:rsid w:val="001B2D49"/>
    <w:rsid w:val="001B32D1"/>
    <w:rsid w:val="001B330C"/>
    <w:rsid w:val="001B387D"/>
    <w:rsid w:val="001B6D41"/>
    <w:rsid w:val="001B6E7E"/>
    <w:rsid w:val="001B7E65"/>
    <w:rsid w:val="001C145F"/>
    <w:rsid w:val="001C158E"/>
    <w:rsid w:val="001C2103"/>
    <w:rsid w:val="001C2489"/>
    <w:rsid w:val="001C2510"/>
    <w:rsid w:val="001C259A"/>
    <w:rsid w:val="001C2788"/>
    <w:rsid w:val="001C2A34"/>
    <w:rsid w:val="001C31C0"/>
    <w:rsid w:val="001C40E3"/>
    <w:rsid w:val="001C4657"/>
    <w:rsid w:val="001C5E6E"/>
    <w:rsid w:val="001C71FB"/>
    <w:rsid w:val="001C72A9"/>
    <w:rsid w:val="001D11E7"/>
    <w:rsid w:val="001D2137"/>
    <w:rsid w:val="001D223D"/>
    <w:rsid w:val="001D2D53"/>
    <w:rsid w:val="001D39F8"/>
    <w:rsid w:val="001D3B02"/>
    <w:rsid w:val="001D5D1A"/>
    <w:rsid w:val="001D5FC7"/>
    <w:rsid w:val="001D6139"/>
    <w:rsid w:val="001D63D0"/>
    <w:rsid w:val="001D6714"/>
    <w:rsid w:val="001D78C3"/>
    <w:rsid w:val="001E04BC"/>
    <w:rsid w:val="001E1DB7"/>
    <w:rsid w:val="001E1E00"/>
    <w:rsid w:val="001E2412"/>
    <w:rsid w:val="001E28B4"/>
    <w:rsid w:val="001E31AE"/>
    <w:rsid w:val="001E3629"/>
    <w:rsid w:val="001E3E6C"/>
    <w:rsid w:val="001E43CC"/>
    <w:rsid w:val="001E48EA"/>
    <w:rsid w:val="001E51A2"/>
    <w:rsid w:val="001E57CA"/>
    <w:rsid w:val="001E6421"/>
    <w:rsid w:val="001E6674"/>
    <w:rsid w:val="001E70EA"/>
    <w:rsid w:val="001E7982"/>
    <w:rsid w:val="001F0A72"/>
    <w:rsid w:val="001F1530"/>
    <w:rsid w:val="001F302E"/>
    <w:rsid w:val="001F44D3"/>
    <w:rsid w:val="001F4765"/>
    <w:rsid w:val="001F495E"/>
    <w:rsid w:val="001F5040"/>
    <w:rsid w:val="001F5BF9"/>
    <w:rsid w:val="001F618A"/>
    <w:rsid w:val="001F6460"/>
    <w:rsid w:val="001F6826"/>
    <w:rsid w:val="001F797E"/>
    <w:rsid w:val="001F79DC"/>
    <w:rsid w:val="0020269C"/>
    <w:rsid w:val="0020272B"/>
    <w:rsid w:val="00202D57"/>
    <w:rsid w:val="00202F7A"/>
    <w:rsid w:val="0020352B"/>
    <w:rsid w:val="002048EC"/>
    <w:rsid w:val="00204B9C"/>
    <w:rsid w:val="00204C72"/>
    <w:rsid w:val="00205B11"/>
    <w:rsid w:val="002071C2"/>
    <w:rsid w:val="00207596"/>
    <w:rsid w:val="00207E74"/>
    <w:rsid w:val="00210137"/>
    <w:rsid w:val="00210A71"/>
    <w:rsid w:val="00210B5C"/>
    <w:rsid w:val="00210C96"/>
    <w:rsid w:val="00211075"/>
    <w:rsid w:val="00211BA7"/>
    <w:rsid w:val="00212101"/>
    <w:rsid w:val="00213177"/>
    <w:rsid w:val="00213B2D"/>
    <w:rsid w:val="00214138"/>
    <w:rsid w:val="002146AD"/>
    <w:rsid w:val="002146FB"/>
    <w:rsid w:val="00215E28"/>
    <w:rsid w:val="00215E95"/>
    <w:rsid w:val="002167E2"/>
    <w:rsid w:val="002174E7"/>
    <w:rsid w:val="00221E74"/>
    <w:rsid w:val="002225E0"/>
    <w:rsid w:val="002239F4"/>
    <w:rsid w:val="002247B9"/>
    <w:rsid w:val="00226225"/>
    <w:rsid w:val="0022661F"/>
    <w:rsid w:val="00226A73"/>
    <w:rsid w:val="00226BF6"/>
    <w:rsid w:val="00230259"/>
    <w:rsid w:val="0023025F"/>
    <w:rsid w:val="0023294F"/>
    <w:rsid w:val="00232D3E"/>
    <w:rsid w:val="00233B50"/>
    <w:rsid w:val="0023491A"/>
    <w:rsid w:val="00234F87"/>
    <w:rsid w:val="002353F9"/>
    <w:rsid w:val="00235C2B"/>
    <w:rsid w:val="0023624D"/>
    <w:rsid w:val="00236F82"/>
    <w:rsid w:val="002373DE"/>
    <w:rsid w:val="00240884"/>
    <w:rsid w:val="0024178C"/>
    <w:rsid w:val="00242651"/>
    <w:rsid w:val="00242DCD"/>
    <w:rsid w:val="00243399"/>
    <w:rsid w:val="00243A45"/>
    <w:rsid w:val="002443A2"/>
    <w:rsid w:val="002445E5"/>
    <w:rsid w:val="002448CB"/>
    <w:rsid w:val="0024522B"/>
    <w:rsid w:val="00246B20"/>
    <w:rsid w:val="00246FF0"/>
    <w:rsid w:val="002478C2"/>
    <w:rsid w:val="00247DAF"/>
    <w:rsid w:val="002508AB"/>
    <w:rsid w:val="00251326"/>
    <w:rsid w:val="00251AD4"/>
    <w:rsid w:val="00252DEC"/>
    <w:rsid w:val="002533C2"/>
    <w:rsid w:val="002536AC"/>
    <w:rsid w:val="00253C6D"/>
    <w:rsid w:val="0025402C"/>
    <w:rsid w:val="0025562D"/>
    <w:rsid w:val="00255632"/>
    <w:rsid w:val="0025626D"/>
    <w:rsid w:val="00256560"/>
    <w:rsid w:val="00256624"/>
    <w:rsid w:val="00257F30"/>
    <w:rsid w:val="002600A1"/>
    <w:rsid w:val="00260CB3"/>
    <w:rsid w:val="0026181D"/>
    <w:rsid w:val="00261BE8"/>
    <w:rsid w:val="00261C7F"/>
    <w:rsid w:val="0026258F"/>
    <w:rsid w:val="00262ACE"/>
    <w:rsid w:val="00262B31"/>
    <w:rsid w:val="002633AF"/>
    <w:rsid w:val="002635FC"/>
    <w:rsid w:val="00263A79"/>
    <w:rsid w:val="00265C0D"/>
    <w:rsid w:val="00265DE2"/>
    <w:rsid w:val="0026655E"/>
    <w:rsid w:val="002671CE"/>
    <w:rsid w:val="0026756C"/>
    <w:rsid w:val="002676DE"/>
    <w:rsid w:val="0027011C"/>
    <w:rsid w:val="00270243"/>
    <w:rsid w:val="00270817"/>
    <w:rsid w:val="00271401"/>
    <w:rsid w:val="002715E9"/>
    <w:rsid w:val="0027194F"/>
    <w:rsid w:val="0027240B"/>
    <w:rsid w:val="002725C1"/>
    <w:rsid w:val="00272A50"/>
    <w:rsid w:val="002737F3"/>
    <w:rsid w:val="0027394E"/>
    <w:rsid w:val="002743CC"/>
    <w:rsid w:val="00274C38"/>
    <w:rsid w:val="00274DED"/>
    <w:rsid w:val="002753CD"/>
    <w:rsid w:val="00275582"/>
    <w:rsid w:val="002755F3"/>
    <w:rsid w:val="0027759D"/>
    <w:rsid w:val="00277CC4"/>
    <w:rsid w:val="002810E7"/>
    <w:rsid w:val="00281C53"/>
    <w:rsid w:val="002826B7"/>
    <w:rsid w:val="002833A2"/>
    <w:rsid w:val="00283EA9"/>
    <w:rsid w:val="00283F74"/>
    <w:rsid w:val="00284456"/>
    <w:rsid w:val="00284B9E"/>
    <w:rsid w:val="002857D1"/>
    <w:rsid w:val="00287757"/>
    <w:rsid w:val="002901CD"/>
    <w:rsid w:val="00292442"/>
    <w:rsid w:val="00294B76"/>
    <w:rsid w:val="002953E2"/>
    <w:rsid w:val="0029579B"/>
    <w:rsid w:val="00296ABF"/>
    <w:rsid w:val="00296C8A"/>
    <w:rsid w:val="002975D7"/>
    <w:rsid w:val="002977C9"/>
    <w:rsid w:val="00297C2D"/>
    <w:rsid w:val="002A0A44"/>
    <w:rsid w:val="002A0F81"/>
    <w:rsid w:val="002A11B8"/>
    <w:rsid w:val="002A120A"/>
    <w:rsid w:val="002A175E"/>
    <w:rsid w:val="002A1929"/>
    <w:rsid w:val="002A1ACC"/>
    <w:rsid w:val="002A26A8"/>
    <w:rsid w:val="002A2B98"/>
    <w:rsid w:val="002A3241"/>
    <w:rsid w:val="002A3D3F"/>
    <w:rsid w:val="002A4E2C"/>
    <w:rsid w:val="002A523C"/>
    <w:rsid w:val="002A73A1"/>
    <w:rsid w:val="002A7ACA"/>
    <w:rsid w:val="002A7D81"/>
    <w:rsid w:val="002B0874"/>
    <w:rsid w:val="002B0D60"/>
    <w:rsid w:val="002B118F"/>
    <w:rsid w:val="002B23F8"/>
    <w:rsid w:val="002B4A7C"/>
    <w:rsid w:val="002B6B22"/>
    <w:rsid w:val="002B7185"/>
    <w:rsid w:val="002B742D"/>
    <w:rsid w:val="002B78E8"/>
    <w:rsid w:val="002B790E"/>
    <w:rsid w:val="002B79D7"/>
    <w:rsid w:val="002B7B5A"/>
    <w:rsid w:val="002B7D64"/>
    <w:rsid w:val="002C02B3"/>
    <w:rsid w:val="002C0357"/>
    <w:rsid w:val="002C19FC"/>
    <w:rsid w:val="002C2A75"/>
    <w:rsid w:val="002C37A5"/>
    <w:rsid w:val="002C55A7"/>
    <w:rsid w:val="002C5D9A"/>
    <w:rsid w:val="002C67BA"/>
    <w:rsid w:val="002C6858"/>
    <w:rsid w:val="002C687F"/>
    <w:rsid w:val="002C6B67"/>
    <w:rsid w:val="002C7140"/>
    <w:rsid w:val="002C76FE"/>
    <w:rsid w:val="002D10C1"/>
    <w:rsid w:val="002D11F9"/>
    <w:rsid w:val="002D1BB5"/>
    <w:rsid w:val="002D21C9"/>
    <w:rsid w:val="002D2577"/>
    <w:rsid w:val="002D2A80"/>
    <w:rsid w:val="002D2AB4"/>
    <w:rsid w:val="002D2D1D"/>
    <w:rsid w:val="002D4B23"/>
    <w:rsid w:val="002D7AA5"/>
    <w:rsid w:val="002E03B0"/>
    <w:rsid w:val="002E0ED2"/>
    <w:rsid w:val="002E1116"/>
    <w:rsid w:val="002E22BE"/>
    <w:rsid w:val="002E2436"/>
    <w:rsid w:val="002E3000"/>
    <w:rsid w:val="002E34C5"/>
    <w:rsid w:val="002E3829"/>
    <w:rsid w:val="002E3B71"/>
    <w:rsid w:val="002E4E4D"/>
    <w:rsid w:val="002E5553"/>
    <w:rsid w:val="002E5D33"/>
    <w:rsid w:val="002E5E0C"/>
    <w:rsid w:val="002E6414"/>
    <w:rsid w:val="002E6528"/>
    <w:rsid w:val="002E7557"/>
    <w:rsid w:val="002F07A6"/>
    <w:rsid w:val="002F0FDE"/>
    <w:rsid w:val="002F10EE"/>
    <w:rsid w:val="002F15F9"/>
    <w:rsid w:val="002F1E3D"/>
    <w:rsid w:val="002F2DC3"/>
    <w:rsid w:val="002F3731"/>
    <w:rsid w:val="002F3C38"/>
    <w:rsid w:val="002F41ED"/>
    <w:rsid w:val="002F5105"/>
    <w:rsid w:val="002F647B"/>
    <w:rsid w:val="00300A07"/>
    <w:rsid w:val="00300DB5"/>
    <w:rsid w:val="0030113D"/>
    <w:rsid w:val="00301647"/>
    <w:rsid w:val="0030192B"/>
    <w:rsid w:val="0030259D"/>
    <w:rsid w:val="00302A0C"/>
    <w:rsid w:val="0030427C"/>
    <w:rsid w:val="00304AC1"/>
    <w:rsid w:val="003053E2"/>
    <w:rsid w:val="003060A8"/>
    <w:rsid w:val="00306252"/>
    <w:rsid w:val="00307F15"/>
    <w:rsid w:val="0031041C"/>
    <w:rsid w:val="0031053E"/>
    <w:rsid w:val="0031211F"/>
    <w:rsid w:val="0031266F"/>
    <w:rsid w:val="00312A7C"/>
    <w:rsid w:val="003134AD"/>
    <w:rsid w:val="00315198"/>
    <w:rsid w:val="00315DC5"/>
    <w:rsid w:val="00316DFD"/>
    <w:rsid w:val="00316EE4"/>
    <w:rsid w:val="003172A7"/>
    <w:rsid w:val="00317D2D"/>
    <w:rsid w:val="00317F17"/>
    <w:rsid w:val="00320BBE"/>
    <w:rsid w:val="00321517"/>
    <w:rsid w:val="00321A79"/>
    <w:rsid w:val="00324524"/>
    <w:rsid w:val="00325018"/>
    <w:rsid w:val="00325069"/>
    <w:rsid w:val="00325A9E"/>
    <w:rsid w:val="00325E0A"/>
    <w:rsid w:val="00326A25"/>
    <w:rsid w:val="00326E64"/>
    <w:rsid w:val="003278BA"/>
    <w:rsid w:val="00327AC2"/>
    <w:rsid w:val="003306A2"/>
    <w:rsid w:val="00330D46"/>
    <w:rsid w:val="00331625"/>
    <w:rsid w:val="00331931"/>
    <w:rsid w:val="00331C3A"/>
    <w:rsid w:val="003337C6"/>
    <w:rsid w:val="00333D25"/>
    <w:rsid w:val="0033440F"/>
    <w:rsid w:val="003347F7"/>
    <w:rsid w:val="0033610D"/>
    <w:rsid w:val="0033628F"/>
    <w:rsid w:val="0033686F"/>
    <w:rsid w:val="00336ED1"/>
    <w:rsid w:val="00337111"/>
    <w:rsid w:val="00337408"/>
    <w:rsid w:val="00337868"/>
    <w:rsid w:val="003408F0"/>
    <w:rsid w:val="00340F88"/>
    <w:rsid w:val="00341D4C"/>
    <w:rsid w:val="00341F59"/>
    <w:rsid w:val="0034207F"/>
    <w:rsid w:val="00342297"/>
    <w:rsid w:val="003425C3"/>
    <w:rsid w:val="00343100"/>
    <w:rsid w:val="00343F93"/>
    <w:rsid w:val="0034494D"/>
    <w:rsid w:val="00344D6E"/>
    <w:rsid w:val="0034519D"/>
    <w:rsid w:val="003456FF"/>
    <w:rsid w:val="00345EEB"/>
    <w:rsid w:val="00346ADF"/>
    <w:rsid w:val="00347812"/>
    <w:rsid w:val="00347C3F"/>
    <w:rsid w:val="0035068B"/>
    <w:rsid w:val="00351996"/>
    <w:rsid w:val="00351B0C"/>
    <w:rsid w:val="0035206E"/>
    <w:rsid w:val="00352E5F"/>
    <w:rsid w:val="00354A7F"/>
    <w:rsid w:val="00355826"/>
    <w:rsid w:val="003558F6"/>
    <w:rsid w:val="00356026"/>
    <w:rsid w:val="003563B4"/>
    <w:rsid w:val="00356890"/>
    <w:rsid w:val="00356A79"/>
    <w:rsid w:val="003609C1"/>
    <w:rsid w:val="003611D5"/>
    <w:rsid w:val="0036126C"/>
    <w:rsid w:val="00361ECA"/>
    <w:rsid w:val="0036200D"/>
    <w:rsid w:val="0036258B"/>
    <w:rsid w:val="00362729"/>
    <w:rsid w:val="00362A66"/>
    <w:rsid w:val="003636D0"/>
    <w:rsid w:val="003636D4"/>
    <w:rsid w:val="00363F02"/>
    <w:rsid w:val="003643A9"/>
    <w:rsid w:val="00364559"/>
    <w:rsid w:val="003661AA"/>
    <w:rsid w:val="00366E1B"/>
    <w:rsid w:val="0036747C"/>
    <w:rsid w:val="00370000"/>
    <w:rsid w:val="00370C5B"/>
    <w:rsid w:val="003718C3"/>
    <w:rsid w:val="00371A0A"/>
    <w:rsid w:val="003727CD"/>
    <w:rsid w:val="003731E8"/>
    <w:rsid w:val="003753F7"/>
    <w:rsid w:val="003756A1"/>
    <w:rsid w:val="00375A74"/>
    <w:rsid w:val="00375DE3"/>
    <w:rsid w:val="003763C4"/>
    <w:rsid w:val="00376FAE"/>
    <w:rsid w:val="00376FEE"/>
    <w:rsid w:val="0037727C"/>
    <w:rsid w:val="003803CA"/>
    <w:rsid w:val="00380438"/>
    <w:rsid w:val="0038051D"/>
    <w:rsid w:val="003824AA"/>
    <w:rsid w:val="00383FF6"/>
    <w:rsid w:val="0038400F"/>
    <w:rsid w:val="00384ADF"/>
    <w:rsid w:val="00384FF4"/>
    <w:rsid w:val="0038559E"/>
    <w:rsid w:val="00387193"/>
    <w:rsid w:val="003912A1"/>
    <w:rsid w:val="00392F65"/>
    <w:rsid w:val="00393FAA"/>
    <w:rsid w:val="0039415F"/>
    <w:rsid w:val="0039477E"/>
    <w:rsid w:val="003954A4"/>
    <w:rsid w:val="00396D03"/>
    <w:rsid w:val="003970D2"/>
    <w:rsid w:val="003972DF"/>
    <w:rsid w:val="003975FB"/>
    <w:rsid w:val="003978F8"/>
    <w:rsid w:val="003A2BFF"/>
    <w:rsid w:val="003A2FE3"/>
    <w:rsid w:val="003A3301"/>
    <w:rsid w:val="003A3A09"/>
    <w:rsid w:val="003A3ACA"/>
    <w:rsid w:val="003A3D8A"/>
    <w:rsid w:val="003A3E80"/>
    <w:rsid w:val="003A3F2F"/>
    <w:rsid w:val="003A414F"/>
    <w:rsid w:val="003A4666"/>
    <w:rsid w:val="003A4E80"/>
    <w:rsid w:val="003A538F"/>
    <w:rsid w:val="003A607D"/>
    <w:rsid w:val="003A7302"/>
    <w:rsid w:val="003A7AFC"/>
    <w:rsid w:val="003A7D99"/>
    <w:rsid w:val="003A7E54"/>
    <w:rsid w:val="003A7E6D"/>
    <w:rsid w:val="003B0FCB"/>
    <w:rsid w:val="003B1D62"/>
    <w:rsid w:val="003B2810"/>
    <w:rsid w:val="003B2C2B"/>
    <w:rsid w:val="003B2E0D"/>
    <w:rsid w:val="003B2F4B"/>
    <w:rsid w:val="003B3A12"/>
    <w:rsid w:val="003B443D"/>
    <w:rsid w:val="003B4750"/>
    <w:rsid w:val="003B53BD"/>
    <w:rsid w:val="003B6C97"/>
    <w:rsid w:val="003B71A1"/>
    <w:rsid w:val="003B74BE"/>
    <w:rsid w:val="003B75ED"/>
    <w:rsid w:val="003B7771"/>
    <w:rsid w:val="003B781C"/>
    <w:rsid w:val="003C0A6C"/>
    <w:rsid w:val="003C1470"/>
    <w:rsid w:val="003C1F69"/>
    <w:rsid w:val="003C25F9"/>
    <w:rsid w:val="003C2BDA"/>
    <w:rsid w:val="003C2C0D"/>
    <w:rsid w:val="003C2C66"/>
    <w:rsid w:val="003C300B"/>
    <w:rsid w:val="003C3B57"/>
    <w:rsid w:val="003C75D1"/>
    <w:rsid w:val="003C7903"/>
    <w:rsid w:val="003C7D07"/>
    <w:rsid w:val="003D1B95"/>
    <w:rsid w:val="003D2616"/>
    <w:rsid w:val="003D2FC3"/>
    <w:rsid w:val="003D3FBD"/>
    <w:rsid w:val="003D4029"/>
    <w:rsid w:val="003D44EC"/>
    <w:rsid w:val="003D4F8B"/>
    <w:rsid w:val="003D5307"/>
    <w:rsid w:val="003D6672"/>
    <w:rsid w:val="003D66C9"/>
    <w:rsid w:val="003D70B4"/>
    <w:rsid w:val="003D70C8"/>
    <w:rsid w:val="003E07D5"/>
    <w:rsid w:val="003E0F81"/>
    <w:rsid w:val="003E1BAD"/>
    <w:rsid w:val="003E240E"/>
    <w:rsid w:val="003E26E7"/>
    <w:rsid w:val="003E2FEB"/>
    <w:rsid w:val="003E329B"/>
    <w:rsid w:val="003E4645"/>
    <w:rsid w:val="003E4809"/>
    <w:rsid w:val="003E48F1"/>
    <w:rsid w:val="003E5011"/>
    <w:rsid w:val="003E55A4"/>
    <w:rsid w:val="003E6B9A"/>
    <w:rsid w:val="003E7163"/>
    <w:rsid w:val="003E7911"/>
    <w:rsid w:val="003F009A"/>
    <w:rsid w:val="003F0C2C"/>
    <w:rsid w:val="003F0C6C"/>
    <w:rsid w:val="003F0D8B"/>
    <w:rsid w:val="003F16EE"/>
    <w:rsid w:val="003F1A32"/>
    <w:rsid w:val="003F1A90"/>
    <w:rsid w:val="003F1DFD"/>
    <w:rsid w:val="003F1ED4"/>
    <w:rsid w:val="003F3345"/>
    <w:rsid w:val="003F3506"/>
    <w:rsid w:val="003F38A2"/>
    <w:rsid w:val="003F3A15"/>
    <w:rsid w:val="003F3E28"/>
    <w:rsid w:val="003F3FCF"/>
    <w:rsid w:val="003F449D"/>
    <w:rsid w:val="003F5080"/>
    <w:rsid w:val="003F5238"/>
    <w:rsid w:val="003F5A35"/>
    <w:rsid w:val="003F6637"/>
    <w:rsid w:val="003F6BDD"/>
    <w:rsid w:val="003F774D"/>
    <w:rsid w:val="003F782D"/>
    <w:rsid w:val="003F7C1A"/>
    <w:rsid w:val="003F7EFB"/>
    <w:rsid w:val="004012A4"/>
    <w:rsid w:val="00401BF0"/>
    <w:rsid w:val="004024A9"/>
    <w:rsid w:val="004028D1"/>
    <w:rsid w:val="0040292D"/>
    <w:rsid w:val="00402A47"/>
    <w:rsid w:val="00402CE5"/>
    <w:rsid w:val="004030D9"/>
    <w:rsid w:val="0040337A"/>
    <w:rsid w:val="00403413"/>
    <w:rsid w:val="004034E3"/>
    <w:rsid w:val="00403C26"/>
    <w:rsid w:val="00403D9C"/>
    <w:rsid w:val="00404DEE"/>
    <w:rsid w:val="0040558E"/>
    <w:rsid w:val="00405A58"/>
    <w:rsid w:val="0040743E"/>
    <w:rsid w:val="0040777B"/>
    <w:rsid w:val="00407885"/>
    <w:rsid w:val="004100F3"/>
    <w:rsid w:val="004130F3"/>
    <w:rsid w:val="00413DE3"/>
    <w:rsid w:val="00414C7D"/>
    <w:rsid w:val="00414F4F"/>
    <w:rsid w:val="00415D09"/>
    <w:rsid w:val="00416180"/>
    <w:rsid w:val="00416661"/>
    <w:rsid w:val="00416FC0"/>
    <w:rsid w:val="00417039"/>
    <w:rsid w:val="00417333"/>
    <w:rsid w:val="004178B0"/>
    <w:rsid w:val="00417EBE"/>
    <w:rsid w:val="00420898"/>
    <w:rsid w:val="00422735"/>
    <w:rsid w:val="00423BC4"/>
    <w:rsid w:val="00423F1F"/>
    <w:rsid w:val="0042404A"/>
    <w:rsid w:val="004247A7"/>
    <w:rsid w:val="004250D8"/>
    <w:rsid w:val="004253CE"/>
    <w:rsid w:val="0042583F"/>
    <w:rsid w:val="0042596B"/>
    <w:rsid w:val="00425FE5"/>
    <w:rsid w:val="00426153"/>
    <w:rsid w:val="004302B1"/>
    <w:rsid w:val="00430302"/>
    <w:rsid w:val="00431825"/>
    <w:rsid w:val="00431B86"/>
    <w:rsid w:val="0043293F"/>
    <w:rsid w:val="004335DB"/>
    <w:rsid w:val="00433BC1"/>
    <w:rsid w:val="00433F43"/>
    <w:rsid w:val="004342DF"/>
    <w:rsid w:val="004343B1"/>
    <w:rsid w:val="004347A0"/>
    <w:rsid w:val="00436175"/>
    <w:rsid w:val="00437284"/>
    <w:rsid w:val="00437842"/>
    <w:rsid w:val="00437C9B"/>
    <w:rsid w:val="0044145F"/>
    <w:rsid w:val="0044148B"/>
    <w:rsid w:val="0044218D"/>
    <w:rsid w:val="004435BE"/>
    <w:rsid w:val="00444D80"/>
    <w:rsid w:val="0044611A"/>
    <w:rsid w:val="00446B9A"/>
    <w:rsid w:val="004502DD"/>
    <w:rsid w:val="00450439"/>
    <w:rsid w:val="0045185B"/>
    <w:rsid w:val="00451D86"/>
    <w:rsid w:val="004521BF"/>
    <w:rsid w:val="00452294"/>
    <w:rsid w:val="00452568"/>
    <w:rsid w:val="00453399"/>
    <w:rsid w:val="0045376B"/>
    <w:rsid w:val="0045465E"/>
    <w:rsid w:val="004546C8"/>
    <w:rsid w:val="004547DD"/>
    <w:rsid w:val="004551B7"/>
    <w:rsid w:val="00455994"/>
    <w:rsid w:val="00455FB7"/>
    <w:rsid w:val="00456F3C"/>
    <w:rsid w:val="00457963"/>
    <w:rsid w:val="0045796F"/>
    <w:rsid w:val="00460B70"/>
    <w:rsid w:val="00460EB8"/>
    <w:rsid w:val="00461309"/>
    <w:rsid w:val="00461991"/>
    <w:rsid w:val="004620C7"/>
    <w:rsid w:val="004621A2"/>
    <w:rsid w:val="00463436"/>
    <w:rsid w:val="00463E1E"/>
    <w:rsid w:val="0046413C"/>
    <w:rsid w:val="004646F8"/>
    <w:rsid w:val="00464A44"/>
    <w:rsid w:val="0046505F"/>
    <w:rsid w:val="00465844"/>
    <w:rsid w:val="004658A0"/>
    <w:rsid w:val="00466199"/>
    <w:rsid w:val="004664F8"/>
    <w:rsid w:val="00467742"/>
    <w:rsid w:val="00467B89"/>
    <w:rsid w:val="00467BF7"/>
    <w:rsid w:val="00471446"/>
    <w:rsid w:val="00472451"/>
    <w:rsid w:val="00472EC8"/>
    <w:rsid w:val="00472F53"/>
    <w:rsid w:val="00473E66"/>
    <w:rsid w:val="004744DC"/>
    <w:rsid w:val="00475145"/>
    <w:rsid w:val="00475624"/>
    <w:rsid w:val="00475C60"/>
    <w:rsid w:val="00475F2F"/>
    <w:rsid w:val="00476141"/>
    <w:rsid w:val="004777FB"/>
    <w:rsid w:val="00480DC6"/>
    <w:rsid w:val="00481674"/>
    <w:rsid w:val="00481819"/>
    <w:rsid w:val="00481A08"/>
    <w:rsid w:val="00482114"/>
    <w:rsid w:val="004822B8"/>
    <w:rsid w:val="0048263F"/>
    <w:rsid w:val="00482D14"/>
    <w:rsid w:val="0048370C"/>
    <w:rsid w:val="00483D8C"/>
    <w:rsid w:val="00484F7A"/>
    <w:rsid w:val="00485885"/>
    <w:rsid w:val="0048667B"/>
    <w:rsid w:val="004874B9"/>
    <w:rsid w:val="00487817"/>
    <w:rsid w:val="00487A04"/>
    <w:rsid w:val="00487B4F"/>
    <w:rsid w:val="00487C2C"/>
    <w:rsid w:val="004902CA"/>
    <w:rsid w:val="00490510"/>
    <w:rsid w:val="00490907"/>
    <w:rsid w:val="004916AB"/>
    <w:rsid w:val="004918EE"/>
    <w:rsid w:val="0049284F"/>
    <w:rsid w:val="00492DE1"/>
    <w:rsid w:val="00493F24"/>
    <w:rsid w:val="00494252"/>
    <w:rsid w:val="00494963"/>
    <w:rsid w:val="00494D37"/>
    <w:rsid w:val="00494F94"/>
    <w:rsid w:val="00495585"/>
    <w:rsid w:val="00495C62"/>
    <w:rsid w:val="004968A0"/>
    <w:rsid w:val="0049762C"/>
    <w:rsid w:val="00497A91"/>
    <w:rsid w:val="004A0EB5"/>
    <w:rsid w:val="004A1389"/>
    <w:rsid w:val="004A17CA"/>
    <w:rsid w:val="004A1B35"/>
    <w:rsid w:val="004A1C1F"/>
    <w:rsid w:val="004A2AD0"/>
    <w:rsid w:val="004A4D43"/>
    <w:rsid w:val="004A731E"/>
    <w:rsid w:val="004A7370"/>
    <w:rsid w:val="004B0A39"/>
    <w:rsid w:val="004B1E98"/>
    <w:rsid w:val="004B244E"/>
    <w:rsid w:val="004B2555"/>
    <w:rsid w:val="004B26FF"/>
    <w:rsid w:val="004B2721"/>
    <w:rsid w:val="004B2751"/>
    <w:rsid w:val="004B314F"/>
    <w:rsid w:val="004B3737"/>
    <w:rsid w:val="004B40AB"/>
    <w:rsid w:val="004B4CE1"/>
    <w:rsid w:val="004B5875"/>
    <w:rsid w:val="004B66AE"/>
    <w:rsid w:val="004C04E3"/>
    <w:rsid w:val="004C0BDF"/>
    <w:rsid w:val="004C118A"/>
    <w:rsid w:val="004C2263"/>
    <w:rsid w:val="004C2DF8"/>
    <w:rsid w:val="004C2EC4"/>
    <w:rsid w:val="004C300E"/>
    <w:rsid w:val="004C4381"/>
    <w:rsid w:val="004C47E5"/>
    <w:rsid w:val="004C5059"/>
    <w:rsid w:val="004C630B"/>
    <w:rsid w:val="004C6494"/>
    <w:rsid w:val="004C66EB"/>
    <w:rsid w:val="004C6BD5"/>
    <w:rsid w:val="004C6E0D"/>
    <w:rsid w:val="004C72DA"/>
    <w:rsid w:val="004C7FEA"/>
    <w:rsid w:val="004D085E"/>
    <w:rsid w:val="004D09C4"/>
    <w:rsid w:val="004D0D2A"/>
    <w:rsid w:val="004D0E09"/>
    <w:rsid w:val="004D17F8"/>
    <w:rsid w:val="004D3ACE"/>
    <w:rsid w:val="004D3D1B"/>
    <w:rsid w:val="004D4288"/>
    <w:rsid w:val="004D4E1A"/>
    <w:rsid w:val="004D4E40"/>
    <w:rsid w:val="004D4FBD"/>
    <w:rsid w:val="004D5882"/>
    <w:rsid w:val="004D6821"/>
    <w:rsid w:val="004E0399"/>
    <w:rsid w:val="004E08E2"/>
    <w:rsid w:val="004E0E3E"/>
    <w:rsid w:val="004E22A8"/>
    <w:rsid w:val="004E283A"/>
    <w:rsid w:val="004E2E7E"/>
    <w:rsid w:val="004E60F4"/>
    <w:rsid w:val="004E6C3A"/>
    <w:rsid w:val="004E6EDB"/>
    <w:rsid w:val="004E78B5"/>
    <w:rsid w:val="004F03F3"/>
    <w:rsid w:val="004F0FB3"/>
    <w:rsid w:val="004F1C43"/>
    <w:rsid w:val="004F22E4"/>
    <w:rsid w:val="004F586D"/>
    <w:rsid w:val="004F6B8D"/>
    <w:rsid w:val="004F7BAE"/>
    <w:rsid w:val="00500401"/>
    <w:rsid w:val="0050070A"/>
    <w:rsid w:val="00500C6B"/>
    <w:rsid w:val="00501AB6"/>
    <w:rsid w:val="0050214D"/>
    <w:rsid w:val="005021BD"/>
    <w:rsid w:val="005038D0"/>
    <w:rsid w:val="00503F05"/>
    <w:rsid w:val="00504037"/>
    <w:rsid w:val="005040D3"/>
    <w:rsid w:val="005047D7"/>
    <w:rsid w:val="00505E4F"/>
    <w:rsid w:val="00506A1F"/>
    <w:rsid w:val="00506B38"/>
    <w:rsid w:val="00507541"/>
    <w:rsid w:val="00507966"/>
    <w:rsid w:val="00507B7B"/>
    <w:rsid w:val="00507F8E"/>
    <w:rsid w:val="00510E09"/>
    <w:rsid w:val="0051166C"/>
    <w:rsid w:val="00511DD3"/>
    <w:rsid w:val="00513D22"/>
    <w:rsid w:val="00515E1C"/>
    <w:rsid w:val="00517156"/>
    <w:rsid w:val="005172CF"/>
    <w:rsid w:val="00520DD8"/>
    <w:rsid w:val="00522D70"/>
    <w:rsid w:val="00523560"/>
    <w:rsid w:val="0052383B"/>
    <w:rsid w:val="00524EFB"/>
    <w:rsid w:val="00525264"/>
    <w:rsid w:val="005254C7"/>
    <w:rsid w:val="00525739"/>
    <w:rsid w:val="00526635"/>
    <w:rsid w:val="005269A1"/>
    <w:rsid w:val="00526FAC"/>
    <w:rsid w:val="00526FB4"/>
    <w:rsid w:val="005310D1"/>
    <w:rsid w:val="00531BE4"/>
    <w:rsid w:val="00531C6F"/>
    <w:rsid w:val="00532360"/>
    <w:rsid w:val="0053274D"/>
    <w:rsid w:val="005327B9"/>
    <w:rsid w:val="00533F48"/>
    <w:rsid w:val="00534DA9"/>
    <w:rsid w:val="0053703D"/>
    <w:rsid w:val="005370D3"/>
    <w:rsid w:val="00537C89"/>
    <w:rsid w:val="00541204"/>
    <w:rsid w:val="00542301"/>
    <w:rsid w:val="005423F5"/>
    <w:rsid w:val="00543087"/>
    <w:rsid w:val="00543DF9"/>
    <w:rsid w:val="00544D97"/>
    <w:rsid w:val="00546234"/>
    <w:rsid w:val="005464A9"/>
    <w:rsid w:val="00546BB4"/>
    <w:rsid w:val="005471ED"/>
    <w:rsid w:val="00550377"/>
    <w:rsid w:val="00550C5D"/>
    <w:rsid w:val="00551248"/>
    <w:rsid w:val="005516A4"/>
    <w:rsid w:val="005519CB"/>
    <w:rsid w:val="00552E3E"/>
    <w:rsid w:val="005542F9"/>
    <w:rsid w:val="00554A12"/>
    <w:rsid w:val="00554EA2"/>
    <w:rsid w:val="00555230"/>
    <w:rsid w:val="00555BDA"/>
    <w:rsid w:val="005560C0"/>
    <w:rsid w:val="00556110"/>
    <w:rsid w:val="005567D1"/>
    <w:rsid w:val="00556EBA"/>
    <w:rsid w:val="00557CF6"/>
    <w:rsid w:val="005601B8"/>
    <w:rsid w:val="005602D3"/>
    <w:rsid w:val="00560B95"/>
    <w:rsid w:val="00561B79"/>
    <w:rsid w:val="00561C26"/>
    <w:rsid w:val="00562927"/>
    <w:rsid w:val="00562C57"/>
    <w:rsid w:val="00563121"/>
    <w:rsid w:val="00564630"/>
    <w:rsid w:val="0056463E"/>
    <w:rsid w:val="00564D74"/>
    <w:rsid w:val="00565168"/>
    <w:rsid w:val="005654D3"/>
    <w:rsid w:val="005656E0"/>
    <w:rsid w:val="005664B7"/>
    <w:rsid w:val="00566D07"/>
    <w:rsid w:val="00566D20"/>
    <w:rsid w:val="00566E04"/>
    <w:rsid w:val="00567685"/>
    <w:rsid w:val="005703CD"/>
    <w:rsid w:val="005711BC"/>
    <w:rsid w:val="00573E71"/>
    <w:rsid w:val="00574B82"/>
    <w:rsid w:val="0057571F"/>
    <w:rsid w:val="005758B4"/>
    <w:rsid w:val="00575DAA"/>
    <w:rsid w:val="00577A46"/>
    <w:rsid w:val="005802D9"/>
    <w:rsid w:val="005808C1"/>
    <w:rsid w:val="00580D1B"/>
    <w:rsid w:val="005822D3"/>
    <w:rsid w:val="00582406"/>
    <w:rsid w:val="005824BF"/>
    <w:rsid w:val="00582B69"/>
    <w:rsid w:val="00582F97"/>
    <w:rsid w:val="00583F98"/>
    <w:rsid w:val="005843D3"/>
    <w:rsid w:val="005849AB"/>
    <w:rsid w:val="00584C06"/>
    <w:rsid w:val="0058629F"/>
    <w:rsid w:val="0058665D"/>
    <w:rsid w:val="00590AEE"/>
    <w:rsid w:val="00591195"/>
    <w:rsid w:val="005916FB"/>
    <w:rsid w:val="00591BB6"/>
    <w:rsid w:val="00592C65"/>
    <w:rsid w:val="00593334"/>
    <w:rsid w:val="0059378B"/>
    <w:rsid w:val="00593EF8"/>
    <w:rsid w:val="00594B88"/>
    <w:rsid w:val="0059548C"/>
    <w:rsid w:val="005956F6"/>
    <w:rsid w:val="00595A22"/>
    <w:rsid w:val="00595D1D"/>
    <w:rsid w:val="00596CF7"/>
    <w:rsid w:val="00596F6F"/>
    <w:rsid w:val="0059706F"/>
    <w:rsid w:val="005976C1"/>
    <w:rsid w:val="00597959"/>
    <w:rsid w:val="00597C60"/>
    <w:rsid w:val="005A018A"/>
    <w:rsid w:val="005A09FD"/>
    <w:rsid w:val="005A135A"/>
    <w:rsid w:val="005A187B"/>
    <w:rsid w:val="005A2B11"/>
    <w:rsid w:val="005A2FCF"/>
    <w:rsid w:val="005A3440"/>
    <w:rsid w:val="005A46E2"/>
    <w:rsid w:val="005A67D7"/>
    <w:rsid w:val="005A6CE9"/>
    <w:rsid w:val="005A73B1"/>
    <w:rsid w:val="005B286D"/>
    <w:rsid w:val="005B3936"/>
    <w:rsid w:val="005B4247"/>
    <w:rsid w:val="005B587B"/>
    <w:rsid w:val="005B5DA0"/>
    <w:rsid w:val="005B6842"/>
    <w:rsid w:val="005B6B22"/>
    <w:rsid w:val="005B6DB4"/>
    <w:rsid w:val="005C04AB"/>
    <w:rsid w:val="005C0DAF"/>
    <w:rsid w:val="005C0ED0"/>
    <w:rsid w:val="005C0FE4"/>
    <w:rsid w:val="005C1711"/>
    <w:rsid w:val="005C1E38"/>
    <w:rsid w:val="005C2245"/>
    <w:rsid w:val="005C3809"/>
    <w:rsid w:val="005C3AFE"/>
    <w:rsid w:val="005C3EF5"/>
    <w:rsid w:val="005C414A"/>
    <w:rsid w:val="005C48BC"/>
    <w:rsid w:val="005C4A6F"/>
    <w:rsid w:val="005C4B58"/>
    <w:rsid w:val="005C5E4E"/>
    <w:rsid w:val="005C62F6"/>
    <w:rsid w:val="005D0130"/>
    <w:rsid w:val="005D1AC1"/>
    <w:rsid w:val="005D21B8"/>
    <w:rsid w:val="005D2752"/>
    <w:rsid w:val="005D304E"/>
    <w:rsid w:val="005D3479"/>
    <w:rsid w:val="005D3BC3"/>
    <w:rsid w:val="005D5F96"/>
    <w:rsid w:val="005D65AD"/>
    <w:rsid w:val="005D6763"/>
    <w:rsid w:val="005D72DA"/>
    <w:rsid w:val="005D7F05"/>
    <w:rsid w:val="005E0582"/>
    <w:rsid w:val="005E0EAB"/>
    <w:rsid w:val="005E2165"/>
    <w:rsid w:val="005E22F3"/>
    <w:rsid w:val="005E380B"/>
    <w:rsid w:val="005E3C28"/>
    <w:rsid w:val="005E3F3A"/>
    <w:rsid w:val="005E69D4"/>
    <w:rsid w:val="005E73EF"/>
    <w:rsid w:val="005E7E31"/>
    <w:rsid w:val="005F15E0"/>
    <w:rsid w:val="005F1870"/>
    <w:rsid w:val="005F277D"/>
    <w:rsid w:val="005F2FD2"/>
    <w:rsid w:val="005F3ACF"/>
    <w:rsid w:val="005F3BFD"/>
    <w:rsid w:val="005F3D60"/>
    <w:rsid w:val="005F422E"/>
    <w:rsid w:val="005F4F76"/>
    <w:rsid w:val="005F586B"/>
    <w:rsid w:val="005F5B06"/>
    <w:rsid w:val="005F6238"/>
    <w:rsid w:val="005F6B49"/>
    <w:rsid w:val="005F6D30"/>
    <w:rsid w:val="005F70A7"/>
    <w:rsid w:val="00601341"/>
    <w:rsid w:val="006035AB"/>
    <w:rsid w:val="0060377B"/>
    <w:rsid w:val="006039DD"/>
    <w:rsid w:val="00603AFA"/>
    <w:rsid w:val="00603CE8"/>
    <w:rsid w:val="0060442D"/>
    <w:rsid w:val="0060470A"/>
    <w:rsid w:val="00604B4C"/>
    <w:rsid w:val="00605ECF"/>
    <w:rsid w:val="0060612B"/>
    <w:rsid w:val="0060668A"/>
    <w:rsid w:val="00607178"/>
    <w:rsid w:val="00610636"/>
    <w:rsid w:val="00611090"/>
    <w:rsid w:val="0061158B"/>
    <w:rsid w:val="006116F7"/>
    <w:rsid w:val="00611CFB"/>
    <w:rsid w:val="00612169"/>
    <w:rsid w:val="006131BC"/>
    <w:rsid w:val="0061394B"/>
    <w:rsid w:val="006145B9"/>
    <w:rsid w:val="0061535D"/>
    <w:rsid w:val="00615673"/>
    <w:rsid w:val="006161E5"/>
    <w:rsid w:val="00616561"/>
    <w:rsid w:val="006167EF"/>
    <w:rsid w:val="00616D97"/>
    <w:rsid w:val="00617898"/>
    <w:rsid w:val="00620776"/>
    <w:rsid w:val="006207FD"/>
    <w:rsid w:val="00620CEE"/>
    <w:rsid w:val="00621898"/>
    <w:rsid w:val="00622910"/>
    <w:rsid w:val="00622CE8"/>
    <w:rsid w:val="00622D8F"/>
    <w:rsid w:val="00623492"/>
    <w:rsid w:val="00624360"/>
    <w:rsid w:val="0062488E"/>
    <w:rsid w:val="00625EF4"/>
    <w:rsid w:val="00626215"/>
    <w:rsid w:val="00630A20"/>
    <w:rsid w:val="006310C1"/>
    <w:rsid w:val="00631E3B"/>
    <w:rsid w:val="00632211"/>
    <w:rsid w:val="00632C79"/>
    <w:rsid w:val="00632F36"/>
    <w:rsid w:val="006335A3"/>
    <w:rsid w:val="00633FDC"/>
    <w:rsid w:val="00634DC0"/>
    <w:rsid w:val="006364F7"/>
    <w:rsid w:val="00636E15"/>
    <w:rsid w:val="0063747A"/>
    <w:rsid w:val="0063799B"/>
    <w:rsid w:val="00637C68"/>
    <w:rsid w:val="00637E93"/>
    <w:rsid w:val="006404EF"/>
    <w:rsid w:val="00641ED0"/>
    <w:rsid w:val="0064251E"/>
    <w:rsid w:val="00643184"/>
    <w:rsid w:val="00644A84"/>
    <w:rsid w:val="00644C01"/>
    <w:rsid w:val="00644F09"/>
    <w:rsid w:val="006451D0"/>
    <w:rsid w:val="006452A9"/>
    <w:rsid w:val="00647093"/>
    <w:rsid w:val="006471EC"/>
    <w:rsid w:val="006473C2"/>
    <w:rsid w:val="00647F32"/>
    <w:rsid w:val="006502C2"/>
    <w:rsid w:val="00650535"/>
    <w:rsid w:val="00650AEC"/>
    <w:rsid w:val="00650F8A"/>
    <w:rsid w:val="006510E4"/>
    <w:rsid w:val="00651B19"/>
    <w:rsid w:val="0065203B"/>
    <w:rsid w:val="00652B82"/>
    <w:rsid w:val="00654BFF"/>
    <w:rsid w:val="00654C22"/>
    <w:rsid w:val="00656662"/>
    <w:rsid w:val="006572F0"/>
    <w:rsid w:val="0065751D"/>
    <w:rsid w:val="006579BD"/>
    <w:rsid w:val="0066034F"/>
    <w:rsid w:val="0066072A"/>
    <w:rsid w:val="00663073"/>
    <w:rsid w:val="00663CDF"/>
    <w:rsid w:val="00663F50"/>
    <w:rsid w:val="00663FD9"/>
    <w:rsid w:val="00664075"/>
    <w:rsid w:val="00664711"/>
    <w:rsid w:val="00664787"/>
    <w:rsid w:val="00664B8C"/>
    <w:rsid w:val="00665B44"/>
    <w:rsid w:val="00666A21"/>
    <w:rsid w:val="00667922"/>
    <w:rsid w:val="00672D5E"/>
    <w:rsid w:val="00672F1B"/>
    <w:rsid w:val="006730D3"/>
    <w:rsid w:val="00673743"/>
    <w:rsid w:val="0067478C"/>
    <w:rsid w:val="006754A7"/>
    <w:rsid w:val="006757AD"/>
    <w:rsid w:val="00676908"/>
    <w:rsid w:val="00677476"/>
    <w:rsid w:val="00677CF9"/>
    <w:rsid w:val="006828B9"/>
    <w:rsid w:val="006838F2"/>
    <w:rsid w:val="00685CEE"/>
    <w:rsid w:val="006905D1"/>
    <w:rsid w:val="006907DD"/>
    <w:rsid w:val="00691348"/>
    <w:rsid w:val="00691E31"/>
    <w:rsid w:val="00691F19"/>
    <w:rsid w:val="00691F77"/>
    <w:rsid w:val="006920A9"/>
    <w:rsid w:val="0069247E"/>
    <w:rsid w:val="006933DC"/>
    <w:rsid w:val="00694D4B"/>
    <w:rsid w:val="00694F35"/>
    <w:rsid w:val="00696C58"/>
    <w:rsid w:val="006A09EE"/>
    <w:rsid w:val="006A0EE1"/>
    <w:rsid w:val="006A2255"/>
    <w:rsid w:val="006A30ED"/>
    <w:rsid w:val="006A381E"/>
    <w:rsid w:val="006A384C"/>
    <w:rsid w:val="006A3D28"/>
    <w:rsid w:val="006A5BE5"/>
    <w:rsid w:val="006A60EE"/>
    <w:rsid w:val="006A60F2"/>
    <w:rsid w:val="006A69CB"/>
    <w:rsid w:val="006A71FE"/>
    <w:rsid w:val="006A741E"/>
    <w:rsid w:val="006B0408"/>
    <w:rsid w:val="006B17C7"/>
    <w:rsid w:val="006B1823"/>
    <w:rsid w:val="006B190F"/>
    <w:rsid w:val="006B286A"/>
    <w:rsid w:val="006B36BE"/>
    <w:rsid w:val="006B45FC"/>
    <w:rsid w:val="006B45FE"/>
    <w:rsid w:val="006B4761"/>
    <w:rsid w:val="006B4CED"/>
    <w:rsid w:val="006B511E"/>
    <w:rsid w:val="006B5643"/>
    <w:rsid w:val="006B5E90"/>
    <w:rsid w:val="006B6A6F"/>
    <w:rsid w:val="006B76E9"/>
    <w:rsid w:val="006B772C"/>
    <w:rsid w:val="006B7B23"/>
    <w:rsid w:val="006C1639"/>
    <w:rsid w:val="006C1693"/>
    <w:rsid w:val="006C16F4"/>
    <w:rsid w:val="006C1C0A"/>
    <w:rsid w:val="006C287F"/>
    <w:rsid w:val="006C3139"/>
    <w:rsid w:val="006C384B"/>
    <w:rsid w:val="006C44D4"/>
    <w:rsid w:val="006C520D"/>
    <w:rsid w:val="006C5FC0"/>
    <w:rsid w:val="006C6F24"/>
    <w:rsid w:val="006C7559"/>
    <w:rsid w:val="006C778A"/>
    <w:rsid w:val="006D08FE"/>
    <w:rsid w:val="006D1319"/>
    <w:rsid w:val="006D147C"/>
    <w:rsid w:val="006D1D76"/>
    <w:rsid w:val="006D1EF4"/>
    <w:rsid w:val="006D2532"/>
    <w:rsid w:val="006D2896"/>
    <w:rsid w:val="006D2DED"/>
    <w:rsid w:val="006D35DB"/>
    <w:rsid w:val="006D36D8"/>
    <w:rsid w:val="006D440B"/>
    <w:rsid w:val="006D4826"/>
    <w:rsid w:val="006D51BE"/>
    <w:rsid w:val="006D5A90"/>
    <w:rsid w:val="006D67F3"/>
    <w:rsid w:val="006D6EA3"/>
    <w:rsid w:val="006D7ABD"/>
    <w:rsid w:val="006E0FAB"/>
    <w:rsid w:val="006E10F1"/>
    <w:rsid w:val="006E2399"/>
    <w:rsid w:val="006E3E8F"/>
    <w:rsid w:val="006E6D63"/>
    <w:rsid w:val="006F04BD"/>
    <w:rsid w:val="006F1DED"/>
    <w:rsid w:val="006F2759"/>
    <w:rsid w:val="006F2D33"/>
    <w:rsid w:val="006F2D7A"/>
    <w:rsid w:val="006F4220"/>
    <w:rsid w:val="006F4417"/>
    <w:rsid w:val="006F7104"/>
    <w:rsid w:val="006F73FC"/>
    <w:rsid w:val="006F74E8"/>
    <w:rsid w:val="00701020"/>
    <w:rsid w:val="007011CA"/>
    <w:rsid w:val="00701265"/>
    <w:rsid w:val="0070145A"/>
    <w:rsid w:val="00701832"/>
    <w:rsid w:val="00701AFC"/>
    <w:rsid w:val="00703563"/>
    <w:rsid w:val="007039E6"/>
    <w:rsid w:val="00703CB5"/>
    <w:rsid w:val="00703CE8"/>
    <w:rsid w:val="00704737"/>
    <w:rsid w:val="00704C1B"/>
    <w:rsid w:val="007059EA"/>
    <w:rsid w:val="00705D34"/>
    <w:rsid w:val="00706311"/>
    <w:rsid w:val="0070638A"/>
    <w:rsid w:val="007063EA"/>
    <w:rsid w:val="007066EA"/>
    <w:rsid w:val="0071015D"/>
    <w:rsid w:val="00710345"/>
    <w:rsid w:val="00710906"/>
    <w:rsid w:val="007113ED"/>
    <w:rsid w:val="00712157"/>
    <w:rsid w:val="00712433"/>
    <w:rsid w:val="00712E01"/>
    <w:rsid w:val="0071398B"/>
    <w:rsid w:val="00713AB4"/>
    <w:rsid w:val="00715639"/>
    <w:rsid w:val="0071564C"/>
    <w:rsid w:val="00717478"/>
    <w:rsid w:val="0071774E"/>
    <w:rsid w:val="007200F0"/>
    <w:rsid w:val="00720717"/>
    <w:rsid w:val="007209A3"/>
    <w:rsid w:val="007215EB"/>
    <w:rsid w:val="00722328"/>
    <w:rsid w:val="0072483E"/>
    <w:rsid w:val="00724E16"/>
    <w:rsid w:val="00724E6E"/>
    <w:rsid w:val="007257E3"/>
    <w:rsid w:val="00726003"/>
    <w:rsid w:val="007272EE"/>
    <w:rsid w:val="007272F6"/>
    <w:rsid w:val="00727575"/>
    <w:rsid w:val="00727F09"/>
    <w:rsid w:val="00730EEF"/>
    <w:rsid w:val="0073108A"/>
    <w:rsid w:val="00731937"/>
    <w:rsid w:val="00732288"/>
    <w:rsid w:val="00732488"/>
    <w:rsid w:val="00732AD8"/>
    <w:rsid w:val="007331C2"/>
    <w:rsid w:val="007336F5"/>
    <w:rsid w:val="00734E3B"/>
    <w:rsid w:val="0073663C"/>
    <w:rsid w:val="0073689E"/>
    <w:rsid w:val="007372C1"/>
    <w:rsid w:val="00737F14"/>
    <w:rsid w:val="00742EC9"/>
    <w:rsid w:val="00744138"/>
    <w:rsid w:val="0074435F"/>
    <w:rsid w:val="00744814"/>
    <w:rsid w:val="00744AB9"/>
    <w:rsid w:val="00745468"/>
    <w:rsid w:val="00745894"/>
    <w:rsid w:val="007475B7"/>
    <w:rsid w:val="00747643"/>
    <w:rsid w:val="007477CD"/>
    <w:rsid w:val="007503C3"/>
    <w:rsid w:val="0075101B"/>
    <w:rsid w:val="007510EB"/>
    <w:rsid w:val="007511DC"/>
    <w:rsid w:val="00751412"/>
    <w:rsid w:val="00751956"/>
    <w:rsid w:val="007519A9"/>
    <w:rsid w:val="0075327D"/>
    <w:rsid w:val="00753CBF"/>
    <w:rsid w:val="00753E3C"/>
    <w:rsid w:val="0075649A"/>
    <w:rsid w:val="00756826"/>
    <w:rsid w:val="00756864"/>
    <w:rsid w:val="00760C03"/>
    <w:rsid w:val="00760D0A"/>
    <w:rsid w:val="00760DB2"/>
    <w:rsid w:val="00760FC3"/>
    <w:rsid w:val="0076106D"/>
    <w:rsid w:val="00762184"/>
    <w:rsid w:val="00762550"/>
    <w:rsid w:val="0076340E"/>
    <w:rsid w:val="007635D1"/>
    <w:rsid w:val="00763B25"/>
    <w:rsid w:val="00764D97"/>
    <w:rsid w:val="00765219"/>
    <w:rsid w:val="007661B9"/>
    <w:rsid w:val="007663EC"/>
    <w:rsid w:val="00766D74"/>
    <w:rsid w:val="007706BC"/>
    <w:rsid w:val="00770C42"/>
    <w:rsid w:val="00770D3F"/>
    <w:rsid w:val="0077107F"/>
    <w:rsid w:val="00772DF7"/>
    <w:rsid w:val="00772F18"/>
    <w:rsid w:val="00775B73"/>
    <w:rsid w:val="00775F65"/>
    <w:rsid w:val="0077612A"/>
    <w:rsid w:val="00776142"/>
    <w:rsid w:val="00777355"/>
    <w:rsid w:val="007805E9"/>
    <w:rsid w:val="00781783"/>
    <w:rsid w:val="0078194F"/>
    <w:rsid w:val="00781974"/>
    <w:rsid w:val="00781B63"/>
    <w:rsid w:val="0078260C"/>
    <w:rsid w:val="00782A2E"/>
    <w:rsid w:val="00782E31"/>
    <w:rsid w:val="007837DE"/>
    <w:rsid w:val="007837E1"/>
    <w:rsid w:val="00783FF2"/>
    <w:rsid w:val="00784C03"/>
    <w:rsid w:val="0078560F"/>
    <w:rsid w:val="00786A3A"/>
    <w:rsid w:val="007870E2"/>
    <w:rsid w:val="00787561"/>
    <w:rsid w:val="00787BEB"/>
    <w:rsid w:val="00787D27"/>
    <w:rsid w:val="007909A5"/>
    <w:rsid w:val="00790AC4"/>
    <w:rsid w:val="00791833"/>
    <w:rsid w:val="0079208F"/>
    <w:rsid w:val="007923ED"/>
    <w:rsid w:val="007928DD"/>
    <w:rsid w:val="00792D28"/>
    <w:rsid w:val="00793391"/>
    <w:rsid w:val="007934ED"/>
    <w:rsid w:val="0079673D"/>
    <w:rsid w:val="007967C5"/>
    <w:rsid w:val="00797573"/>
    <w:rsid w:val="00797622"/>
    <w:rsid w:val="007A0875"/>
    <w:rsid w:val="007A1C6A"/>
    <w:rsid w:val="007A2523"/>
    <w:rsid w:val="007A42F5"/>
    <w:rsid w:val="007A5338"/>
    <w:rsid w:val="007A55C4"/>
    <w:rsid w:val="007A56AC"/>
    <w:rsid w:val="007A69E1"/>
    <w:rsid w:val="007A74BE"/>
    <w:rsid w:val="007B1032"/>
    <w:rsid w:val="007B2048"/>
    <w:rsid w:val="007B47D3"/>
    <w:rsid w:val="007B5697"/>
    <w:rsid w:val="007B682B"/>
    <w:rsid w:val="007B6990"/>
    <w:rsid w:val="007B71B3"/>
    <w:rsid w:val="007B724E"/>
    <w:rsid w:val="007B727E"/>
    <w:rsid w:val="007B73A1"/>
    <w:rsid w:val="007B7B01"/>
    <w:rsid w:val="007C22E7"/>
    <w:rsid w:val="007C31A1"/>
    <w:rsid w:val="007C42C1"/>
    <w:rsid w:val="007C5053"/>
    <w:rsid w:val="007C6D10"/>
    <w:rsid w:val="007C71CA"/>
    <w:rsid w:val="007C7D6F"/>
    <w:rsid w:val="007D051A"/>
    <w:rsid w:val="007D329A"/>
    <w:rsid w:val="007D3E13"/>
    <w:rsid w:val="007D521E"/>
    <w:rsid w:val="007D57D9"/>
    <w:rsid w:val="007D5954"/>
    <w:rsid w:val="007D59C0"/>
    <w:rsid w:val="007D59C9"/>
    <w:rsid w:val="007D59F2"/>
    <w:rsid w:val="007D6B92"/>
    <w:rsid w:val="007D7BA9"/>
    <w:rsid w:val="007E051F"/>
    <w:rsid w:val="007E06EA"/>
    <w:rsid w:val="007E07DB"/>
    <w:rsid w:val="007E0CF1"/>
    <w:rsid w:val="007E16E5"/>
    <w:rsid w:val="007E19A6"/>
    <w:rsid w:val="007E19E9"/>
    <w:rsid w:val="007E2AD0"/>
    <w:rsid w:val="007E375A"/>
    <w:rsid w:val="007E3D4B"/>
    <w:rsid w:val="007E3F57"/>
    <w:rsid w:val="007E40EE"/>
    <w:rsid w:val="007E4AF8"/>
    <w:rsid w:val="007E5872"/>
    <w:rsid w:val="007E5889"/>
    <w:rsid w:val="007E5B4E"/>
    <w:rsid w:val="007E694C"/>
    <w:rsid w:val="007E7171"/>
    <w:rsid w:val="007F12FF"/>
    <w:rsid w:val="007F1526"/>
    <w:rsid w:val="007F17D1"/>
    <w:rsid w:val="007F1A74"/>
    <w:rsid w:val="007F2773"/>
    <w:rsid w:val="007F2AD9"/>
    <w:rsid w:val="007F30EA"/>
    <w:rsid w:val="007F360E"/>
    <w:rsid w:val="007F4C8C"/>
    <w:rsid w:val="007F62CF"/>
    <w:rsid w:val="007F6922"/>
    <w:rsid w:val="007F6E06"/>
    <w:rsid w:val="007F7562"/>
    <w:rsid w:val="0080016F"/>
    <w:rsid w:val="00801064"/>
    <w:rsid w:val="00801DBE"/>
    <w:rsid w:val="0080306D"/>
    <w:rsid w:val="00803778"/>
    <w:rsid w:val="00803CD7"/>
    <w:rsid w:val="00804E32"/>
    <w:rsid w:val="00805BCE"/>
    <w:rsid w:val="008060A1"/>
    <w:rsid w:val="00807484"/>
    <w:rsid w:val="008078A9"/>
    <w:rsid w:val="00810747"/>
    <w:rsid w:val="0081135E"/>
    <w:rsid w:val="00812114"/>
    <w:rsid w:val="008122A0"/>
    <w:rsid w:val="0081324A"/>
    <w:rsid w:val="008134B5"/>
    <w:rsid w:val="0081351C"/>
    <w:rsid w:val="00814045"/>
    <w:rsid w:val="00814349"/>
    <w:rsid w:val="008145A3"/>
    <w:rsid w:val="008145DD"/>
    <w:rsid w:val="0081508A"/>
    <w:rsid w:val="008177C6"/>
    <w:rsid w:val="00817B01"/>
    <w:rsid w:val="0082015C"/>
    <w:rsid w:val="0082050D"/>
    <w:rsid w:val="00821C4C"/>
    <w:rsid w:val="0082411F"/>
    <w:rsid w:val="00824B95"/>
    <w:rsid w:val="00824C66"/>
    <w:rsid w:val="00824E09"/>
    <w:rsid w:val="008263F2"/>
    <w:rsid w:val="00826B73"/>
    <w:rsid w:val="008303F6"/>
    <w:rsid w:val="00830A76"/>
    <w:rsid w:val="008310EA"/>
    <w:rsid w:val="00831C65"/>
    <w:rsid w:val="00833118"/>
    <w:rsid w:val="008338F1"/>
    <w:rsid w:val="00833F28"/>
    <w:rsid w:val="008343EF"/>
    <w:rsid w:val="008346EA"/>
    <w:rsid w:val="00834C64"/>
    <w:rsid w:val="00834EE1"/>
    <w:rsid w:val="00835590"/>
    <w:rsid w:val="00835C6A"/>
    <w:rsid w:val="00836163"/>
    <w:rsid w:val="00837E9A"/>
    <w:rsid w:val="00837F11"/>
    <w:rsid w:val="00840F2D"/>
    <w:rsid w:val="00842607"/>
    <w:rsid w:val="00844962"/>
    <w:rsid w:val="0084586E"/>
    <w:rsid w:val="0084597A"/>
    <w:rsid w:val="00845D68"/>
    <w:rsid w:val="008468B6"/>
    <w:rsid w:val="008473E4"/>
    <w:rsid w:val="008506D8"/>
    <w:rsid w:val="0085219D"/>
    <w:rsid w:val="00852497"/>
    <w:rsid w:val="00852D2C"/>
    <w:rsid w:val="00853F2C"/>
    <w:rsid w:val="00860DDF"/>
    <w:rsid w:val="0086172F"/>
    <w:rsid w:val="00861EA4"/>
    <w:rsid w:val="00861FC1"/>
    <w:rsid w:val="008625C9"/>
    <w:rsid w:val="00864874"/>
    <w:rsid w:val="0086499C"/>
    <w:rsid w:val="00864D16"/>
    <w:rsid w:val="00864EF0"/>
    <w:rsid w:val="0086570D"/>
    <w:rsid w:val="00865D0F"/>
    <w:rsid w:val="0086785A"/>
    <w:rsid w:val="00867BC6"/>
    <w:rsid w:val="00867CE4"/>
    <w:rsid w:val="00867D73"/>
    <w:rsid w:val="0087004D"/>
    <w:rsid w:val="00870214"/>
    <w:rsid w:val="008703CC"/>
    <w:rsid w:val="00870A00"/>
    <w:rsid w:val="008717E0"/>
    <w:rsid w:val="008719A5"/>
    <w:rsid w:val="008723C6"/>
    <w:rsid w:val="008725EE"/>
    <w:rsid w:val="00873815"/>
    <w:rsid w:val="00873AFD"/>
    <w:rsid w:val="00873FA6"/>
    <w:rsid w:val="008740BF"/>
    <w:rsid w:val="00874F96"/>
    <w:rsid w:val="00876557"/>
    <w:rsid w:val="00880151"/>
    <w:rsid w:val="008802B7"/>
    <w:rsid w:val="00880E76"/>
    <w:rsid w:val="00881290"/>
    <w:rsid w:val="00881B71"/>
    <w:rsid w:val="0088292D"/>
    <w:rsid w:val="00882E2A"/>
    <w:rsid w:val="00884822"/>
    <w:rsid w:val="008857B7"/>
    <w:rsid w:val="008862EE"/>
    <w:rsid w:val="0088791E"/>
    <w:rsid w:val="00890263"/>
    <w:rsid w:val="008908C9"/>
    <w:rsid w:val="008920BD"/>
    <w:rsid w:val="00892153"/>
    <w:rsid w:val="00893404"/>
    <w:rsid w:val="00894DB9"/>
    <w:rsid w:val="00895538"/>
    <w:rsid w:val="0089594C"/>
    <w:rsid w:val="0089732D"/>
    <w:rsid w:val="0089760C"/>
    <w:rsid w:val="008A0667"/>
    <w:rsid w:val="008A0727"/>
    <w:rsid w:val="008A08B9"/>
    <w:rsid w:val="008A0940"/>
    <w:rsid w:val="008A17BE"/>
    <w:rsid w:val="008A17C5"/>
    <w:rsid w:val="008A19B9"/>
    <w:rsid w:val="008A27F2"/>
    <w:rsid w:val="008A2A6C"/>
    <w:rsid w:val="008A2A93"/>
    <w:rsid w:val="008A45F2"/>
    <w:rsid w:val="008A4B37"/>
    <w:rsid w:val="008A6607"/>
    <w:rsid w:val="008A67A7"/>
    <w:rsid w:val="008A6B90"/>
    <w:rsid w:val="008A7EC1"/>
    <w:rsid w:val="008B0A37"/>
    <w:rsid w:val="008B0A99"/>
    <w:rsid w:val="008B0B77"/>
    <w:rsid w:val="008B0F45"/>
    <w:rsid w:val="008B10A3"/>
    <w:rsid w:val="008B26A7"/>
    <w:rsid w:val="008B3E1B"/>
    <w:rsid w:val="008B6856"/>
    <w:rsid w:val="008B74D5"/>
    <w:rsid w:val="008B769A"/>
    <w:rsid w:val="008C19DB"/>
    <w:rsid w:val="008C1F19"/>
    <w:rsid w:val="008C1F4B"/>
    <w:rsid w:val="008C1F5F"/>
    <w:rsid w:val="008C2509"/>
    <w:rsid w:val="008C2659"/>
    <w:rsid w:val="008C28A9"/>
    <w:rsid w:val="008C2929"/>
    <w:rsid w:val="008C29E4"/>
    <w:rsid w:val="008C2D57"/>
    <w:rsid w:val="008C49E2"/>
    <w:rsid w:val="008C4EDA"/>
    <w:rsid w:val="008C5CAF"/>
    <w:rsid w:val="008C677A"/>
    <w:rsid w:val="008C6D20"/>
    <w:rsid w:val="008D047A"/>
    <w:rsid w:val="008D080C"/>
    <w:rsid w:val="008D0B5B"/>
    <w:rsid w:val="008D118E"/>
    <w:rsid w:val="008D2A7D"/>
    <w:rsid w:val="008D2B7D"/>
    <w:rsid w:val="008D2D24"/>
    <w:rsid w:val="008D3806"/>
    <w:rsid w:val="008D3F70"/>
    <w:rsid w:val="008D4B4E"/>
    <w:rsid w:val="008D53CB"/>
    <w:rsid w:val="008D5739"/>
    <w:rsid w:val="008D5D50"/>
    <w:rsid w:val="008D6CEE"/>
    <w:rsid w:val="008E051A"/>
    <w:rsid w:val="008E0899"/>
    <w:rsid w:val="008E0AAD"/>
    <w:rsid w:val="008E14C9"/>
    <w:rsid w:val="008E1714"/>
    <w:rsid w:val="008E1A05"/>
    <w:rsid w:val="008E3B77"/>
    <w:rsid w:val="008E3C92"/>
    <w:rsid w:val="008E3CC9"/>
    <w:rsid w:val="008E4978"/>
    <w:rsid w:val="008E4B5F"/>
    <w:rsid w:val="008E4BCA"/>
    <w:rsid w:val="008E4F7E"/>
    <w:rsid w:val="008E6956"/>
    <w:rsid w:val="008E7E66"/>
    <w:rsid w:val="008F26B4"/>
    <w:rsid w:val="008F2B26"/>
    <w:rsid w:val="008F2EF1"/>
    <w:rsid w:val="008F3169"/>
    <w:rsid w:val="008F37F3"/>
    <w:rsid w:val="008F41B3"/>
    <w:rsid w:val="008F50C1"/>
    <w:rsid w:val="008F744E"/>
    <w:rsid w:val="008F7FD8"/>
    <w:rsid w:val="009000FD"/>
    <w:rsid w:val="009006D6"/>
    <w:rsid w:val="00900C0C"/>
    <w:rsid w:val="009024DD"/>
    <w:rsid w:val="00904E91"/>
    <w:rsid w:val="00905A10"/>
    <w:rsid w:val="00906D24"/>
    <w:rsid w:val="00906DA2"/>
    <w:rsid w:val="00907A00"/>
    <w:rsid w:val="0091029D"/>
    <w:rsid w:val="0091073A"/>
    <w:rsid w:val="00910879"/>
    <w:rsid w:val="00911B91"/>
    <w:rsid w:val="00912521"/>
    <w:rsid w:val="009128A3"/>
    <w:rsid w:val="0091646A"/>
    <w:rsid w:val="00920056"/>
    <w:rsid w:val="009207FE"/>
    <w:rsid w:val="00921438"/>
    <w:rsid w:val="00922885"/>
    <w:rsid w:val="009232A6"/>
    <w:rsid w:val="0092346E"/>
    <w:rsid w:val="00923566"/>
    <w:rsid w:val="00923FF1"/>
    <w:rsid w:val="00924181"/>
    <w:rsid w:val="009249A3"/>
    <w:rsid w:val="00925104"/>
    <w:rsid w:val="0092523C"/>
    <w:rsid w:val="0092562A"/>
    <w:rsid w:val="00926B51"/>
    <w:rsid w:val="00930BE0"/>
    <w:rsid w:val="00931B7E"/>
    <w:rsid w:val="0093292E"/>
    <w:rsid w:val="009337AC"/>
    <w:rsid w:val="0093393D"/>
    <w:rsid w:val="00934249"/>
    <w:rsid w:val="009356DE"/>
    <w:rsid w:val="00935A3E"/>
    <w:rsid w:val="00936243"/>
    <w:rsid w:val="009368FD"/>
    <w:rsid w:val="00936AC0"/>
    <w:rsid w:val="00940A90"/>
    <w:rsid w:val="00941561"/>
    <w:rsid w:val="00942134"/>
    <w:rsid w:val="00942168"/>
    <w:rsid w:val="0094289B"/>
    <w:rsid w:val="009435EC"/>
    <w:rsid w:val="00943D1A"/>
    <w:rsid w:val="00943D76"/>
    <w:rsid w:val="009445B6"/>
    <w:rsid w:val="009446B4"/>
    <w:rsid w:val="00945CD2"/>
    <w:rsid w:val="00945E67"/>
    <w:rsid w:val="00945EB7"/>
    <w:rsid w:val="0094658C"/>
    <w:rsid w:val="0094698A"/>
    <w:rsid w:val="00947363"/>
    <w:rsid w:val="00947CA6"/>
    <w:rsid w:val="009507FC"/>
    <w:rsid w:val="00952061"/>
    <w:rsid w:val="0095276B"/>
    <w:rsid w:val="00952E11"/>
    <w:rsid w:val="00953333"/>
    <w:rsid w:val="00953555"/>
    <w:rsid w:val="00953A35"/>
    <w:rsid w:val="00954A17"/>
    <w:rsid w:val="00955003"/>
    <w:rsid w:val="00955D69"/>
    <w:rsid w:val="00956500"/>
    <w:rsid w:val="00956EC7"/>
    <w:rsid w:val="00957E54"/>
    <w:rsid w:val="00957E5D"/>
    <w:rsid w:val="00960535"/>
    <w:rsid w:val="00961EB2"/>
    <w:rsid w:val="009620C5"/>
    <w:rsid w:val="0096446E"/>
    <w:rsid w:val="00964840"/>
    <w:rsid w:val="00964BBF"/>
    <w:rsid w:val="0096530D"/>
    <w:rsid w:val="00965DE7"/>
    <w:rsid w:val="00965F68"/>
    <w:rsid w:val="00965FED"/>
    <w:rsid w:val="0096705F"/>
    <w:rsid w:val="00967367"/>
    <w:rsid w:val="00967408"/>
    <w:rsid w:val="00967F08"/>
    <w:rsid w:val="00970009"/>
    <w:rsid w:val="00970331"/>
    <w:rsid w:val="0097097C"/>
    <w:rsid w:val="009712C8"/>
    <w:rsid w:val="00971624"/>
    <w:rsid w:val="00971763"/>
    <w:rsid w:val="009719C6"/>
    <w:rsid w:val="0097248E"/>
    <w:rsid w:val="00973919"/>
    <w:rsid w:val="00973EB7"/>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1BF6"/>
    <w:rsid w:val="00993D33"/>
    <w:rsid w:val="00993E4A"/>
    <w:rsid w:val="00993EF6"/>
    <w:rsid w:val="0099409A"/>
    <w:rsid w:val="00994E74"/>
    <w:rsid w:val="009966AB"/>
    <w:rsid w:val="009A083C"/>
    <w:rsid w:val="009A144F"/>
    <w:rsid w:val="009A1C4A"/>
    <w:rsid w:val="009A1F4F"/>
    <w:rsid w:val="009A2C7E"/>
    <w:rsid w:val="009A370B"/>
    <w:rsid w:val="009A3D84"/>
    <w:rsid w:val="009A4954"/>
    <w:rsid w:val="009A5206"/>
    <w:rsid w:val="009A5287"/>
    <w:rsid w:val="009A5A0E"/>
    <w:rsid w:val="009A5B03"/>
    <w:rsid w:val="009A670D"/>
    <w:rsid w:val="009A757C"/>
    <w:rsid w:val="009A7701"/>
    <w:rsid w:val="009A78D4"/>
    <w:rsid w:val="009B0BE4"/>
    <w:rsid w:val="009B0FBD"/>
    <w:rsid w:val="009B1397"/>
    <w:rsid w:val="009B1430"/>
    <w:rsid w:val="009B225A"/>
    <w:rsid w:val="009B235C"/>
    <w:rsid w:val="009B25D0"/>
    <w:rsid w:val="009B3540"/>
    <w:rsid w:val="009B3B6E"/>
    <w:rsid w:val="009B4305"/>
    <w:rsid w:val="009B43B2"/>
    <w:rsid w:val="009B44AB"/>
    <w:rsid w:val="009B7127"/>
    <w:rsid w:val="009C00D2"/>
    <w:rsid w:val="009C016A"/>
    <w:rsid w:val="009C01E9"/>
    <w:rsid w:val="009C0365"/>
    <w:rsid w:val="009C058E"/>
    <w:rsid w:val="009C0B48"/>
    <w:rsid w:val="009C1135"/>
    <w:rsid w:val="009C27D3"/>
    <w:rsid w:val="009C3064"/>
    <w:rsid w:val="009C33A3"/>
    <w:rsid w:val="009C46F8"/>
    <w:rsid w:val="009C4885"/>
    <w:rsid w:val="009C6682"/>
    <w:rsid w:val="009C6B5A"/>
    <w:rsid w:val="009C76BC"/>
    <w:rsid w:val="009C79FA"/>
    <w:rsid w:val="009C7BFA"/>
    <w:rsid w:val="009C7E16"/>
    <w:rsid w:val="009D01DD"/>
    <w:rsid w:val="009D11B3"/>
    <w:rsid w:val="009D1828"/>
    <w:rsid w:val="009D1D76"/>
    <w:rsid w:val="009D21FE"/>
    <w:rsid w:val="009D246B"/>
    <w:rsid w:val="009D2787"/>
    <w:rsid w:val="009D2B29"/>
    <w:rsid w:val="009D369E"/>
    <w:rsid w:val="009D3777"/>
    <w:rsid w:val="009D4706"/>
    <w:rsid w:val="009D5092"/>
    <w:rsid w:val="009D65EF"/>
    <w:rsid w:val="009D7116"/>
    <w:rsid w:val="009D7596"/>
    <w:rsid w:val="009E0174"/>
    <w:rsid w:val="009E0460"/>
    <w:rsid w:val="009E0D21"/>
    <w:rsid w:val="009E1A8E"/>
    <w:rsid w:val="009E248A"/>
    <w:rsid w:val="009E2BC0"/>
    <w:rsid w:val="009E2D0B"/>
    <w:rsid w:val="009E2EA2"/>
    <w:rsid w:val="009E3419"/>
    <w:rsid w:val="009E3F63"/>
    <w:rsid w:val="009E4719"/>
    <w:rsid w:val="009E51E9"/>
    <w:rsid w:val="009E52B3"/>
    <w:rsid w:val="009E560A"/>
    <w:rsid w:val="009E5920"/>
    <w:rsid w:val="009E6553"/>
    <w:rsid w:val="009E6F06"/>
    <w:rsid w:val="009E7348"/>
    <w:rsid w:val="009F0C6B"/>
    <w:rsid w:val="009F139F"/>
    <w:rsid w:val="009F190F"/>
    <w:rsid w:val="009F2537"/>
    <w:rsid w:val="009F28C7"/>
    <w:rsid w:val="009F5E66"/>
    <w:rsid w:val="009F6066"/>
    <w:rsid w:val="009F6867"/>
    <w:rsid w:val="009F7F58"/>
    <w:rsid w:val="00A010A7"/>
    <w:rsid w:val="00A037E2"/>
    <w:rsid w:val="00A05B0B"/>
    <w:rsid w:val="00A0688C"/>
    <w:rsid w:val="00A07CED"/>
    <w:rsid w:val="00A10499"/>
    <w:rsid w:val="00A1198A"/>
    <w:rsid w:val="00A12E40"/>
    <w:rsid w:val="00A13BA1"/>
    <w:rsid w:val="00A1473C"/>
    <w:rsid w:val="00A14905"/>
    <w:rsid w:val="00A1573D"/>
    <w:rsid w:val="00A158EC"/>
    <w:rsid w:val="00A163FA"/>
    <w:rsid w:val="00A20D7A"/>
    <w:rsid w:val="00A215CB"/>
    <w:rsid w:val="00A226D6"/>
    <w:rsid w:val="00A228C8"/>
    <w:rsid w:val="00A22B60"/>
    <w:rsid w:val="00A237D9"/>
    <w:rsid w:val="00A23A5B"/>
    <w:rsid w:val="00A246B1"/>
    <w:rsid w:val="00A2568B"/>
    <w:rsid w:val="00A26585"/>
    <w:rsid w:val="00A27277"/>
    <w:rsid w:val="00A272A7"/>
    <w:rsid w:val="00A279CE"/>
    <w:rsid w:val="00A30443"/>
    <w:rsid w:val="00A30C5B"/>
    <w:rsid w:val="00A30EE8"/>
    <w:rsid w:val="00A32329"/>
    <w:rsid w:val="00A32440"/>
    <w:rsid w:val="00A32C09"/>
    <w:rsid w:val="00A33520"/>
    <w:rsid w:val="00A337AC"/>
    <w:rsid w:val="00A33DAE"/>
    <w:rsid w:val="00A35D0A"/>
    <w:rsid w:val="00A35ED1"/>
    <w:rsid w:val="00A3606E"/>
    <w:rsid w:val="00A368AC"/>
    <w:rsid w:val="00A3753E"/>
    <w:rsid w:val="00A40903"/>
    <w:rsid w:val="00A40B61"/>
    <w:rsid w:val="00A41381"/>
    <w:rsid w:val="00A4217E"/>
    <w:rsid w:val="00A42977"/>
    <w:rsid w:val="00A42A19"/>
    <w:rsid w:val="00A42B29"/>
    <w:rsid w:val="00A43D59"/>
    <w:rsid w:val="00A440D4"/>
    <w:rsid w:val="00A451A2"/>
    <w:rsid w:val="00A455E4"/>
    <w:rsid w:val="00A45760"/>
    <w:rsid w:val="00A457D1"/>
    <w:rsid w:val="00A46F6D"/>
    <w:rsid w:val="00A46FFA"/>
    <w:rsid w:val="00A47B05"/>
    <w:rsid w:val="00A47B6C"/>
    <w:rsid w:val="00A516B8"/>
    <w:rsid w:val="00A51A13"/>
    <w:rsid w:val="00A51E51"/>
    <w:rsid w:val="00A547B3"/>
    <w:rsid w:val="00A55AF8"/>
    <w:rsid w:val="00A60E14"/>
    <w:rsid w:val="00A61A2B"/>
    <w:rsid w:val="00A6211F"/>
    <w:rsid w:val="00A62989"/>
    <w:rsid w:val="00A63094"/>
    <w:rsid w:val="00A6309D"/>
    <w:rsid w:val="00A63F7C"/>
    <w:rsid w:val="00A6462D"/>
    <w:rsid w:val="00A647E4"/>
    <w:rsid w:val="00A648A0"/>
    <w:rsid w:val="00A6554F"/>
    <w:rsid w:val="00A65B67"/>
    <w:rsid w:val="00A65C5B"/>
    <w:rsid w:val="00A65F1E"/>
    <w:rsid w:val="00A677D1"/>
    <w:rsid w:val="00A67A2C"/>
    <w:rsid w:val="00A67E0E"/>
    <w:rsid w:val="00A7015B"/>
    <w:rsid w:val="00A703D8"/>
    <w:rsid w:val="00A705C4"/>
    <w:rsid w:val="00A70AE6"/>
    <w:rsid w:val="00A70FCF"/>
    <w:rsid w:val="00A71D1D"/>
    <w:rsid w:val="00A7257B"/>
    <w:rsid w:val="00A73A1B"/>
    <w:rsid w:val="00A73D14"/>
    <w:rsid w:val="00A73F7E"/>
    <w:rsid w:val="00A7514B"/>
    <w:rsid w:val="00A7585A"/>
    <w:rsid w:val="00A7595C"/>
    <w:rsid w:val="00A75E13"/>
    <w:rsid w:val="00A76776"/>
    <w:rsid w:val="00A769E9"/>
    <w:rsid w:val="00A770F0"/>
    <w:rsid w:val="00A82495"/>
    <w:rsid w:val="00A82567"/>
    <w:rsid w:val="00A826AE"/>
    <w:rsid w:val="00A82DC0"/>
    <w:rsid w:val="00A85731"/>
    <w:rsid w:val="00A8679F"/>
    <w:rsid w:val="00A86F0E"/>
    <w:rsid w:val="00A878F9"/>
    <w:rsid w:val="00A90568"/>
    <w:rsid w:val="00A91763"/>
    <w:rsid w:val="00A9255E"/>
    <w:rsid w:val="00A934FE"/>
    <w:rsid w:val="00A935BE"/>
    <w:rsid w:val="00A94064"/>
    <w:rsid w:val="00A94789"/>
    <w:rsid w:val="00A95EFD"/>
    <w:rsid w:val="00A95F86"/>
    <w:rsid w:val="00A9679B"/>
    <w:rsid w:val="00A96887"/>
    <w:rsid w:val="00A978FE"/>
    <w:rsid w:val="00A97EF3"/>
    <w:rsid w:val="00AA057F"/>
    <w:rsid w:val="00AA1F6F"/>
    <w:rsid w:val="00AA2106"/>
    <w:rsid w:val="00AA252D"/>
    <w:rsid w:val="00AA2855"/>
    <w:rsid w:val="00AA318A"/>
    <w:rsid w:val="00AA3C73"/>
    <w:rsid w:val="00AA4724"/>
    <w:rsid w:val="00AA60F4"/>
    <w:rsid w:val="00AA670E"/>
    <w:rsid w:val="00AA676A"/>
    <w:rsid w:val="00AA7BCB"/>
    <w:rsid w:val="00AB08D7"/>
    <w:rsid w:val="00AB2548"/>
    <w:rsid w:val="00AB36A1"/>
    <w:rsid w:val="00AB40B1"/>
    <w:rsid w:val="00AB79E2"/>
    <w:rsid w:val="00AC001C"/>
    <w:rsid w:val="00AC02FA"/>
    <w:rsid w:val="00AC13F4"/>
    <w:rsid w:val="00AC1415"/>
    <w:rsid w:val="00AC2338"/>
    <w:rsid w:val="00AC277F"/>
    <w:rsid w:val="00AC5D35"/>
    <w:rsid w:val="00AC6A9B"/>
    <w:rsid w:val="00AC6ED0"/>
    <w:rsid w:val="00AC79FC"/>
    <w:rsid w:val="00AD03B8"/>
    <w:rsid w:val="00AD04E2"/>
    <w:rsid w:val="00AD1047"/>
    <w:rsid w:val="00AD1B5F"/>
    <w:rsid w:val="00AD1FD7"/>
    <w:rsid w:val="00AD28F7"/>
    <w:rsid w:val="00AD2CD6"/>
    <w:rsid w:val="00AD2D7F"/>
    <w:rsid w:val="00AD3168"/>
    <w:rsid w:val="00AD3CD9"/>
    <w:rsid w:val="00AD4311"/>
    <w:rsid w:val="00AD4B66"/>
    <w:rsid w:val="00AD5316"/>
    <w:rsid w:val="00AD57A8"/>
    <w:rsid w:val="00AD5953"/>
    <w:rsid w:val="00AD5CEB"/>
    <w:rsid w:val="00AD5F11"/>
    <w:rsid w:val="00AD7026"/>
    <w:rsid w:val="00AD7B8D"/>
    <w:rsid w:val="00AD7F06"/>
    <w:rsid w:val="00AE0775"/>
    <w:rsid w:val="00AE1158"/>
    <w:rsid w:val="00AE11DB"/>
    <w:rsid w:val="00AE11FA"/>
    <w:rsid w:val="00AE14B1"/>
    <w:rsid w:val="00AE1838"/>
    <w:rsid w:val="00AE1DAD"/>
    <w:rsid w:val="00AE2F88"/>
    <w:rsid w:val="00AE3F1E"/>
    <w:rsid w:val="00AE4ABE"/>
    <w:rsid w:val="00AE4D23"/>
    <w:rsid w:val="00AE5749"/>
    <w:rsid w:val="00AE599C"/>
    <w:rsid w:val="00AE5BE7"/>
    <w:rsid w:val="00AE6FD4"/>
    <w:rsid w:val="00AE6FDF"/>
    <w:rsid w:val="00AE74DF"/>
    <w:rsid w:val="00AE752E"/>
    <w:rsid w:val="00AF1E3A"/>
    <w:rsid w:val="00AF1F43"/>
    <w:rsid w:val="00AF28CA"/>
    <w:rsid w:val="00AF3062"/>
    <w:rsid w:val="00AF3D25"/>
    <w:rsid w:val="00AF4A6B"/>
    <w:rsid w:val="00AF533B"/>
    <w:rsid w:val="00AF5F7A"/>
    <w:rsid w:val="00AF6A4A"/>
    <w:rsid w:val="00AF7AB9"/>
    <w:rsid w:val="00AF7FD7"/>
    <w:rsid w:val="00B004A4"/>
    <w:rsid w:val="00B008AC"/>
    <w:rsid w:val="00B00DA6"/>
    <w:rsid w:val="00B01269"/>
    <w:rsid w:val="00B0144E"/>
    <w:rsid w:val="00B01604"/>
    <w:rsid w:val="00B01B58"/>
    <w:rsid w:val="00B0257E"/>
    <w:rsid w:val="00B03701"/>
    <w:rsid w:val="00B0441A"/>
    <w:rsid w:val="00B04DFB"/>
    <w:rsid w:val="00B05733"/>
    <w:rsid w:val="00B05768"/>
    <w:rsid w:val="00B06077"/>
    <w:rsid w:val="00B0680D"/>
    <w:rsid w:val="00B06DDE"/>
    <w:rsid w:val="00B11A35"/>
    <w:rsid w:val="00B12E28"/>
    <w:rsid w:val="00B149D2"/>
    <w:rsid w:val="00B15095"/>
    <w:rsid w:val="00B15554"/>
    <w:rsid w:val="00B15FB4"/>
    <w:rsid w:val="00B16C3E"/>
    <w:rsid w:val="00B16D88"/>
    <w:rsid w:val="00B16E6E"/>
    <w:rsid w:val="00B1709C"/>
    <w:rsid w:val="00B17A38"/>
    <w:rsid w:val="00B202A1"/>
    <w:rsid w:val="00B2135B"/>
    <w:rsid w:val="00B213F2"/>
    <w:rsid w:val="00B21904"/>
    <w:rsid w:val="00B21935"/>
    <w:rsid w:val="00B21D08"/>
    <w:rsid w:val="00B22C00"/>
    <w:rsid w:val="00B23C36"/>
    <w:rsid w:val="00B2433C"/>
    <w:rsid w:val="00B246D4"/>
    <w:rsid w:val="00B26540"/>
    <w:rsid w:val="00B269AD"/>
    <w:rsid w:val="00B26D2C"/>
    <w:rsid w:val="00B30738"/>
    <w:rsid w:val="00B30C90"/>
    <w:rsid w:val="00B31095"/>
    <w:rsid w:val="00B316A1"/>
    <w:rsid w:val="00B34F72"/>
    <w:rsid w:val="00B35B06"/>
    <w:rsid w:val="00B36966"/>
    <w:rsid w:val="00B3776C"/>
    <w:rsid w:val="00B37969"/>
    <w:rsid w:val="00B40CBF"/>
    <w:rsid w:val="00B40FEB"/>
    <w:rsid w:val="00B41DA9"/>
    <w:rsid w:val="00B4269D"/>
    <w:rsid w:val="00B4280D"/>
    <w:rsid w:val="00B42B0A"/>
    <w:rsid w:val="00B43659"/>
    <w:rsid w:val="00B4398B"/>
    <w:rsid w:val="00B439BF"/>
    <w:rsid w:val="00B43FF7"/>
    <w:rsid w:val="00B4601B"/>
    <w:rsid w:val="00B46C38"/>
    <w:rsid w:val="00B50B42"/>
    <w:rsid w:val="00B50E2F"/>
    <w:rsid w:val="00B51E7B"/>
    <w:rsid w:val="00B524D3"/>
    <w:rsid w:val="00B527AB"/>
    <w:rsid w:val="00B52A44"/>
    <w:rsid w:val="00B531EB"/>
    <w:rsid w:val="00B542E1"/>
    <w:rsid w:val="00B543C4"/>
    <w:rsid w:val="00B548A1"/>
    <w:rsid w:val="00B54DEE"/>
    <w:rsid w:val="00B55A2A"/>
    <w:rsid w:val="00B57880"/>
    <w:rsid w:val="00B60235"/>
    <w:rsid w:val="00B60BD5"/>
    <w:rsid w:val="00B60C9E"/>
    <w:rsid w:val="00B612D2"/>
    <w:rsid w:val="00B617FF"/>
    <w:rsid w:val="00B620F0"/>
    <w:rsid w:val="00B63EF2"/>
    <w:rsid w:val="00B64019"/>
    <w:rsid w:val="00B64AC2"/>
    <w:rsid w:val="00B64F42"/>
    <w:rsid w:val="00B65AAD"/>
    <w:rsid w:val="00B65B86"/>
    <w:rsid w:val="00B66B79"/>
    <w:rsid w:val="00B673B3"/>
    <w:rsid w:val="00B67462"/>
    <w:rsid w:val="00B67544"/>
    <w:rsid w:val="00B6778A"/>
    <w:rsid w:val="00B70B15"/>
    <w:rsid w:val="00B70CA7"/>
    <w:rsid w:val="00B70CF9"/>
    <w:rsid w:val="00B70F59"/>
    <w:rsid w:val="00B713CB"/>
    <w:rsid w:val="00B71976"/>
    <w:rsid w:val="00B71E54"/>
    <w:rsid w:val="00B7215D"/>
    <w:rsid w:val="00B747CF"/>
    <w:rsid w:val="00B75205"/>
    <w:rsid w:val="00B753DE"/>
    <w:rsid w:val="00B75970"/>
    <w:rsid w:val="00B75EDC"/>
    <w:rsid w:val="00B76D3B"/>
    <w:rsid w:val="00B77134"/>
    <w:rsid w:val="00B77292"/>
    <w:rsid w:val="00B803CA"/>
    <w:rsid w:val="00B80833"/>
    <w:rsid w:val="00B80A33"/>
    <w:rsid w:val="00B80DBC"/>
    <w:rsid w:val="00B81A75"/>
    <w:rsid w:val="00B8373D"/>
    <w:rsid w:val="00B84C25"/>
    <w:rsid w:val="00B84D6E"/>
    <w:rsid w:val="00B84FDB"/>
    <w:rsid w:val="00B8564B"/>
    <w:rsid w:val="00B85D6C"/>
    <w:rsid w:val="00B876E2"/>
    <w:rsid w:val="00B9054D"/>
    <w:rsid w:val="00B91320"/>
    <w:rsid w:val="00B91935"/>
    <w:rsid w:val="00B92352"/>
    <w:rsid w:val="00B93B66"/>
    <w:rsid w:val="00B93DAB"/>
    <w:rsid w:val="00B9428F"/>
    <w:rsid w:val="00B943E8"/>
    <w:rsid w:val="00B949C5"/>
    <w:rsid w:val="00B96973"/>
    <w:rsid w:val="00B977DF"/>
    <w:rsid w:val="00BA1296"/>
    <w:rsid w:val="00BA1355"/>
    <w:rsid w:val="00BA17D0"/>
    <w:rsid w:val="00BA2006"/>
    <w:rsid w:val="00BA22F4"/>
    <w:rsid w:val="00BA2314"/>
    <w:rsid w:val="00BA2645"/>
    <w:rsid w:val="00BA4ED5"/>
    <w:rsid w:val="00BA64BE"/>
    <w:rsid w:val="00BA7064"/>
    <w:rsid w:val="00BA77B4"/>
    <w:rsid w:val="00BB0BF0"/>
    <w:rsid w:val="00BB1B2F"/>
    <w:rsid w:val="00BB2A2A"/>
    <w:rsid w:val="00BB3A2F"/>
    <w:rsid w:val="00BB687B"/>
    <w:rsid w:val="00BB75D1"/>
    <w:rsid w:val="00BB779F"/>
    <w:rsid w:val="00BB7839"/>
    <w:rsid w:val="00BB7854"/>
    <w:rsid w:val="00BB78B1"/>
    <w:rsid w:val="00BB7E78"/>
    <w:rsid w:val="00BC17CA"/>
    <w:rsid w:val="00BC1B43"/>
    <w:rsid w:val="00BC2269"/>
    <w:rsid w:val="00BC34BB"/>
    <w:rsid w:val="00BC3913"/>
    <w:rsid w:val="00BC3A68"/>
    <w:rsid w:val="00BC5397"/>
    <w:rsid w:val="00BC53DE"/>
    <w:rsid w:val="00BC674F"/>
    <w:rsid w:val="00BC69FC"/>
    <w:rsid w:val="00BC6D91"/>
    <w:rsid w:val="00BC79F3"/>
    <w:rsid w:val="00BD054B"/>
    <w:rsid w:val="00BD165F"/>
    <w:rsid w:val="00BD17E8"/>
    <w:rsid w:val="00BD1E9F"/>
    <w:rsid w:val="00BD3600"/>
    <w:rsid w:val="00BD7372"/>
    <w:rsid w:val="00BD76DA"/>
    <w:rsid w:val="00BD7D0F"/>
    <w:rsid w:val="00BE0D93"/>
    <w:rsid w:val="00BE174A"/>
    <w:rsid w:val="00BE2975"/>
    <w:rsid w:val="00BE3035"/>
    <w:rsid w:val="00BE489A"/>
    <w:rsid w:val="00BE584B"/>
    <w:rsid w:val="00BE5933"/>
    <w:rsid w:val="00BE5AD3"/>
    <w:rsid w:val="00BE5E33"/>
    <w:rsid w:val="00BE68A7"/>
    <w:rsid w:val="00BF0BFA"/>
    <w:rsid w:val="00BF1830"/>
    <w:rsid w:val="00BF1A58"/>
    <w:rsid w:val="00BF56F0"/>
    <w:rsid w:val="00BF63B2"/>
    <w:rsid w:val="00BF6575"/>
    <w:rsid w:val="00BF6B7F"/>
    <w:rsid w:val="00BF7304"/>
    <w:rsid w:val="00BF7E14"/>
    <w:rsid w:val="00C01BCA"/>
    <w:rsid w:val="00C02F28"/>
    <w:rsid w:val="00C05C9F"/>
    <w:rsid w:val="00C06464"/>
    <w:rsid w:val="00C06ADC"/>
    <w:rsid w:val="00C06B22"/>
    <w:rsid w:val="00C06BE8"/>
    <w:rsid w:val="00C07983"/>
    <w:rsid w:val="00C11111"/>
    <w:rsid w:val="00C12DF5"/>
    <w:rsid w:val="00C1326F"/>
    <w:rsid w:val="00C134A4"/>
    <w:rsid w:val="00C15406"/>
    <w:rsid w:val="00C15C6A"/>
    <w:rsid w:val="00C15ECF"/>
    <w:rsid w:val="00C162DB"/>
    <w:rsid w:val="00C17013"/>
    <w:rsid w:val="00C20DFF"/>
    <w:rsid w:val="00C213EE"/>
    <w:rsid w:val="00C22921"/>
    <w:rsid w:val="00C23914"/>
    <w:rsid w:val="00C2398B"/>
    <w:rsid w:val="00C239AC"/>
    <w:rsid w:val="00C239E1"/>
    <w:rsid w:val="00C25EC4"/>
    <w:rsid w:val="00C263F1"/>
    <w:rsid w:val="00C26F31"/>
    <w:rsid w:val="00C27679"/>
    <w:rsid w:val="00C31760"/>
    <w:rsid w:val="00C31860"/>
    <w:rsid w:val="00C322C5"/>
    <w:rsid w:val="00C32994"/>
    <w:rsid w:val="00C339C7"/>
    <w:rsid w:val="00C34819"/>
    <w:rsid w:val="00C37DCF"/>
    <w:rsid w:val="00C41448"/>
    <w:rsid w:val="00C41E93"/>
    <w:rsid w:val="00C44908"/>
    <w:rsid w:val="00C450B6"/>
    <w:rsid w:val="00C45E20"/>
    <w:rsid w:val="00C4752A"/>
    <w:rsid w:val="00C4780E"/>
    <w:rsid w:val="00C47E51"/>
    <w:rsid w:val="00C50C02"/>
    <w:rsid w:val="00C50EBF"/>
    <w:rsid w:val="00C53E10"/>
    <w:rsid w:val="00C5482D"/>
    <w:rsid w:val="00C54AF2"/>
    <w:rsid w:val="00C55251"/>
    <w:rsid w:val="00C55389"/>
    <w:rsid w:val="00C554B5"/>
    <w:rsid w:val="00C555C0"/>
    <w:rsid w:val="00C5572F"/>
    <w:rsid w:val="00C5579F"/>
    <w:rsid w:val="00C5582B"/>
    <w:rsid w:val="00C55C65"/>
    <w:rsid w:val="00C56143"/>
    <w:rsid w:val="00C566AF"/>
    <w:rsid w:val="00C56A00"/>
    <w:rsid w:val="00C56C4F"/>
    <w:rsid w:val="00C57817"/>
    <w:rsid w:val="00C57A78"/>
    <w:rsid w:val="00C6084A"/>
    <w:rsid w:val="00C624EE"/>
    <w:rsid w:val="00C62C3A"/>
    <w:rsid w:val="00C631B2"/>
    <w:rsid w:val="00C63AFE"/>
    <w:rsid w:val="00C648F9"/>
    <w:rsid w:val="00C64A4E"/>
    <w:rsid w:val="00C64DF6"/>
    <w:rsid w:val="00C65F8D"/>
    <w:rsid w:val="00C67C64"/>
    <w:rsid w:val="00C70F76"/>
    <w:rsid w:val="00C71541"/>
    <w:rsid w:val="00C719A4"/>
    <w:rsid w:val="00C725CF"/>
    <w:rsid w:val="00C72CDA"/>
    <w:rsid w:val="00C73504"/>
    <w:rsid w:val="00C737B8"/>
    <w:rsid w:val="00C74005"/>
    <w:rsid w:val="00C74225"/>
    <w:rsid w:val="00C743EE"/>
    <w:rsid w:val="00C74D46"/>
    <w:rsid w:val="00C76BBF"/>
    <w:rsid w:val="00C8043D"/>
    <w:rsid w:val="00C806F4"/>
    <w:rsid w:val="00C80953"/>
    <w:rsid w:val="00C8159E"/>
    <w:rsid w:val="00C82BE1"/>
    <w:rsid w:val="00C82D8F"/>
    <w:rsid w:val="00C82FED"/>
    <w:rsid w:val="00C833AA"/>
    <w:rsid w:val="00C8397E"/>
    <w:rsid w:val="00C84519"/>
    <w:rsid w:val="00C847FA"/>
    <w:rsid w:val="00C8647A"/>
    <w:rsid w:val="00C86516"/>
    <w:rsid w:val="00C86B61"/>
    <w:rsid w:val="00C8765B"/>
    <w:rsid w:val="00C8777C"/>
    <w:rsid w:val="00C9067B"/>
    <w:rsid w:val="00C90F6E"/>
    <w:rsid w:val="00C91A42"/>
    <w:rsid w:val="00C92DA5"/>
    <w:rsid w:val="00C93F94"/>
    <w:rsid w:val="00C94844"/>
    <w:rsid w:val="00C959FD"/>
    <w:rsid w:val="00C95C35"/>
    <w:rsid w:val="00C962B4"/>
    <w:rsid w:val="00C96C0F"/>
    <w:rsid w:val="00C96FF1"/>
    <w:rsid w:val="00C97831"/>
    <w:rsid w:val="00CA0F03"/>
    <w:rsid w:val="00CA0FD6"/>
    <w:rsid w:val="00CA1BF5"/>
    <w:rsid w:val="00CA1FAB"/>
    <w:rsid w:val="00CA26A4"/>
    <w:rsid w:val="00CA2E68"/>
    <w:rsid w:val="00CA30B7"/>
    <w:rsid w:val="00CA46E7"/>
    <w:rsid w:val="00CA4B34"/>
    <w:rsid w:val="00CA558D"/>
    <w:rsid w:val="00CA6782"/>
    <w:rsid w:val="00CA74E0"/>
    <w:rsid w:val="00CA7B39"/>
    <w:rsid w:val="00CB0DE0"/>
    <w:rsid w:val="00CB12E7"/>
    <w:rsid w:val="00CB1891"/>
    <w:rsid w:val="00CB2717"/>
    <w:rsid w:val="00CB2BEA"/>
    <w:rsid w:val="00CB2F0A"/>
    <w:rsid w:val="00CB55FF"/>
    <w:rsid w:val="00CB5926"/>
    <w:rsid w:val="00CB6E35"/>
    <w:rsid w:val="00CC004E"/>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149"/>
    <w:rsid w:val="00CD3943"/>
    <w:rsid w:val="00CD5EE9"/>
    <w:rsid w:val="00CD6538"/>
    <w:rsid w:val="00CD73C1"/>
    <w:rsid w:val="00CD7CEC"/>
    <w:rsid w:val="00CD7E51"/>
    <w:rsid w:val="00CD7ED1"/>
    <w:rsid w:val="00CE02A1"/>
    <w:rsid w:val="00CE0671"/>
    <w:rsid w:val="00CE0C94"/>
    <w:rsid w:val="00CE156E"/>
    <w:rsid w:val="00CE1ED6"/>
    <w:rsid w:val="00CE2BB8"/>
    <w:rsid w:val="00CE3DFD"/>
    <w:rsid w:val="00CE3EFE"/>
    <w:rsid w:val="00CE4C6C"/>
    <w:rsid w:val="00CE4DC6"/>
    <w:rsid w:val="00CE6F69"/>
    <w:rsid w:val="00CE700D"/>
    <w:rsid w:val="00CE73D9"/>
    <w:rsid w:val="00CF0BD9"/>
    <w:rsid w:val="00CF29B3"/>
    <w:rsid w:val="00CF3020"/>
    <w:rsid w:val="00CF346F"/>
    <w:rsid w:val="00CF4175"/>
    <w:rsid w:val="00CF4D45"/>
    <w:rsid w:val="00CF5025"/>
    <w:rsid w:val="00CF52FA"/>
    <w:rsid w:val="00CF56E5"/>
    <w:rsid w:val="00CF58FE"/>
    <w:rsid w:val="00CF5C36"/>
    <w:rsid w:val="00CF5F17"/>
    <w:rsid w:val="00CF625F"/>
    <w:rsid w:val="00CF62B7"/>
    <w:rsid w:val="00CF6A35"/>
    <w:rsid w:val="00CF6A86"/>
    <w:rsid w:val="00CF7BB2"/>
    <w:rsid w:val="00CF7DA3"/>
    <w:rsid w:val="00D01DB4"/>
    <w:rsid w:val="00D01FA6"/>
    <w:rsid w:val="00D0206E"/>
    <w:rsid w:val="00D0210F"/>
    <w:rsid w:val="00D02AB1"/>
    <w:rsid w:val="00D02D95"/>
    <w:rsid w:val="00D03FC6"/>
    <w:rsid w:val="00D04112"/>
    <w:rsid w:val="00D049BD"/>
    <w:rsid w:val="00D05169"/>
    <w:rsid w:val="00D06726"/>
    <w:rsid w:val="00D07203"/>
    <w:rsid w:val="00D10CCF"/>
    <w:rsid w:val="00D11532"/>
    <w:rsid w:val="00D121C4"/>
    <w:rsid w:val="00D13137"/>
    <w:rsid w:val="00D13148"/>
    <w:rsid w:val="00D13553"/>
    <w:rsid w:val="00D137CE"/>
    <w:rsid w:val="00D13804"/>
    <w:rsid w:val="00D13B54"/>
    <w:rsid w:val="00D14819"/>
    <w:rsid w:val="00D15025"/>
    <w:rsid w:val="00D15798"/>
    <w:rsid w:val="00D17349"/>
    <w:rsid w:val="00D20671"/>
    <w:rsid w:val="00D207AB"/>
    <w:rsid w:val="00D215DE"/>
    <w:rsid w:val="00D21666"/>
    <w:rsid w:val="00D217DF"/>
    <w:rsid w:val="00D2215C"/>
    <w:rsid w:val="00D22E4F"/>
    <w:rsid w:val="00D2321D"/>
    <w:rsid w:val="00D2329D"/>
    <w:rsid w:val="00D23787"/>
    <w:rsid w:val="00D2427A"/>
    <w:rsid w:val="00D2641C"/>
    <w:rsid w:val="00D26E53"/>
    <w:rsid w:val="00D272B2"/>
    <w:rsid w:val="00D31ECD"/>
    <w:rsid w:val="00D32450"/>
    <w:rsid w:val="00D3295B"/>
    <w:rsid w:val="00D333B0"/>
    <w:rsid w:val="00D33449"/>
    <w:rsid w:val="00D345BA"/>
    <w:rsid w:val="00D345C3"/>
    <w:rsid w:val="00D3463A"/>
    <w:rsid w:val="00D35BC8"/>
    <w:rsid w:val="00D3669C"/>
    <w:rsid w:val="00D407E4"/>
    <w:rsid w:val="00D409EB"/>
    <w:rsid w:val="00D40A74"/>
    <w:rsid w:val="00D40CC2"/>
    <w:rsid w:val="00D40D70"/>
    <w:rsid w:val="00D437EF"/>
    <w:rsid w:val="00D43D10"/>
    <w:rsid w:val="00D4710B"/>
    <w:rsid w:val="00D517EF"/>
    <w:rsid w:val="00D5184A"/>
    <w:rsid w:val="00D51E2C"/>
    <w:rsid w:val="00D531B1"/>
    <w:rsid w:val="00D53BEF"/>
    <w:rsid w:val="00D55048"/>
    <w:rsid w:val="00D56B9A"/>
    <w:rsid w:val="00D570AD"/>
    <w:rsid w:val="00D57128"/>
    <w:rsid w:val="00D5772F"/>
    <w:rsid w:val="00D57DDF"/>
    <w:rsid w:val="00D60604"/>
    <w:rsid w:val="00D609BD"/>
    <w:rsid w:val="00D61FAE"/>
    <w:rsid w:val="00D6253D"/>
    <w:rsid w:val="00D6289B"/>
    <w:rsid w:val="00D6390E"/>
    <w:rsid w:val="00D64ADC"/>
    <w:rsid w:val="00D64DD2"/>
    <w:rsid w:val="00D6600F"/>
    <w:rsid w:val="00D66682"/>
    <w:rsid w:val="00D6680B"/>
    <w:rsid w:val="00D719F8"/>
    <w:rsid w:val="00D725F5"/>
    <w:rsid w:val="00D7293C"/>
    <w:rsid w:val="00D72DAB"/>
    <w:rsid w:val="00D73A98"/>
    <w:rsid w:val="00D741BC"/>
    <w:rsid w:val="00D75C58"/>
    <w:rsid w:val="00D801A0"/>
    <w:rsid w:val="00D80288"/>
    <w:rsid w:val="00D80C7B"/>
    <w:rsid w:val="00D80E0C"/>
    <w:rsid w:val="00D811CF"/>
    <w:rsid w:val="00D813D4"/>
    <w:rsid w:val="00D83545"/>
    <w:rsid w:val="00D83736"/>
    <w:rsid w:val="00D8387E"/>
    <w:rsid w:val="00D84696"/>
    <w:rsid w:val="00D847FF"/>
    <w:rsid w:val="00D84975"/>
    <w:rsid w:val="00D85991"/>
    <w:rsid w:val="00D85B09"/>
    <w:rsid w:val="00D86759"/>
    <w:rsid w:val="00D870B7"/>
    <w:rsid w:val="00D87DF9"/>
    <w:rsid w:val="00D87E90"/>
    <w:rsid w:val="00D9145B"/>
    <w:rsid w:val="00D91D02"/>
    <w:rsid w:val="00D92630"/>
    <w:rsid w:val="00D94560"/>
    <w:rsid w:val="00D94B21"/>
    <w:rsid w:val="00D94D40"/>
    <w:rsid w:val="00D95723"/>
    <w:rsid w:val="00D95AD4"/>
    <w:rsid w:val="00D95BF2"/>
    <w:rsid w:val="00D95EA5"/>
    <w:rsid w:val="00D96B71"/>
    <w:rsid w:val="00D9747C"/>
    <w:rsid w:val="00D978F0"/>
    <w:rsid w:val="00D97BBC"/>
    <w:rsid w:val="00D97F67"/>
    <w:rsid w:val="00DA0443"/>
    <w:rsid w:val="00DA0665"/>
    <w:rsid w:val="00DA0696"/>
    <w:rsid w:val="00DA0AC9"/>
    <w:rsid w:val="00DA0C39"/>
    <w:rsid w:val="00DA12CE"/>
    <w:rsid w:val="00DA1968"/>
    <w:rsid w:val="00DA2736"/>
    <w:rsid w:val="00DA2EE9"/>
    <w:rsid w:val="00DA3248"/>
    <w:rsid w:val="00DA3BC5"/>
    <w:rsid w:val="00DA5132"/>
    <w:rsid w:val="00DA589A"/>
    <w:rsid w:val="00DA6B1C"/>
    <w:rsid w:val="00DB02F7"/>
    <w:rsid w:val="00DB0EEF"/>
    <w:rsid w:val="00DB1CCB"/>
    <w:rsid w:val="00DB25B6"/>
    <w:rsid w:val="00DB2660"/>
    <w:rsid w:val="00DB2A3E"/>
    <w:rsid w:val="00DB2EDD"/>
    <w:rsid w:val="00DB3C19"/>
    <w:rsid w:val="00DB3D1C"/>
    <w:rsid w:val="00DB4619"/>
    <w:rsid w:val="00DB5046"/>
    <w:rsid w:val="00DB506A"/>
    <w:rsid w:val="00DB5112"/>
    <w:rsid w:val="00DB7D08"/>
    <w:rsid w:val="00DC1556"/>
    <w:rsid w:val="00DC2DAE"/>
    <w:rsid w:val="00DC2DF5"/>
    <w:rsid w:val="00DC3793"/>
    <w:rsid w:val="00DC37C4"/>
    <w:rsid w:val="00DC44FB"/>
    <w:rsid w:val="00DC52CC"/>
    <w:rsid w:val="00DC540E"/>
    <w:rsid w:val="00DC5E23"/>
    <w:rsid w:val="00DC6B63"/>
    <w:rsid w:val="00DC7A6C"/>
    <w:rsid w:val="00DD044B"/>
    <w:rsid w:val="00DD05D1"/>
    <w:rsid w:val="00DD19F5"/>
    <w:rsid w:val="00DD2C2C"/>
    <w:rsid w:val="00DD2C71"/>
    <w:rsid w:val="00DD3FEB"/>
    <w:rsid w:val="00DD6100"/>
    <w:rsid w:val="00DD6E56"/>
    <w:rsid w:val="00DD7311"/>
    <w:rsid w:val="00DD74BB"/>
    <w:rsid w:val="00DD791E"/>
    <w:rsid w:val="00DD7D99"/>
    <w:rsid w:val="00DD7FB2"/>
    <w:rsid w:val="00DE0931"/>
    <w:rsid w:val="00DE0F3F"/>
    <w:rsid w:val="00DE123D"/>
    <w:rsid w:val="00DE2ACB"/>
    <w:rsid w:val="00DE33D8"/>
    <w:rsid w:val="00DE3403"/>
    <w:rsid w:val="00DE3C95"/>
    <w:rsid w:val="00DE3E27"/>
    <w:rsid w:val="00DE4070"/>
    <w:rsid w:val="00DE40C7"/>
    <w:rsid w:val="00DE44C8"/>
    <w:rsid w:val="00DE5EEB"/>
    <w:rsid w:val="00DE657F"/>
    <w:rsid w:val="00DE6A15"/>
    <w:rsid w:val="00DF0A0D"/>
    <w:rsid w:val="00DF1EC7"/>
    <w:rsid w:val="00DF23FB"/>
    <w:rsid w:val="00DF2537"/>
    <w:rsid w:val="00DF2654"/>
    <w:rsid w:val="00DF313A"/>
    <w:rsid w:val="00DF3196"/>
    <w:rsid w:val="00DF39C3"/>
    <w:rsid w:val="00DF3CCC"/>
    <w:rsid w:val="00DF3DD0"/>
    <w:rsid w:val="00DF404C"/>
    <w:rsid w:val="00DF495D"/>
    <w:rsid w:val="00DF4F52"/>
    <w:rsid w:val="00DF56C4"/>
    <w:rsid w:val="00DF5913"/>
    <w:rsid w:val="00DF5D8D"/>
    <w:rsid w:val="00DF6397"/>
    <w:rsid w:val="00DF66EA"/>
    <w:rsid w:val="00DF67B7"/>
    <w:rsid w:val="00DF6D3F"/>
    <w:rsid w:val="00DF6FB1"/>
    <w:rsid w:val="00DF6FB9"/>
    <w:rsid w:val="00E009CB"/>
    <w:rsid w:val="00E00D3E"/>
    <w:rsid w:val="00E0334E"/>
    <w:rsid w:val="00E03FE1"/>
    <w:rsid w:val="00E04BF5"/>
    <w:rsid w:val="00E05291"/>
    <w:rsid w:val="00E05305"/>
    <w:rsid w:val="00E0568A"/>
    <w:rsid w:val="00E05826"/>
    <w:rsid w:val="00E05CB2"/>
    <w:rsid w:val="00E06A21"/>
    <w:rsid w:val="00E06A34"/>
    <w:rsid w:val="00E06BFB"/>
    <w:rsid w:val="00E06F07"/>
    <w:rsid w:val="00E07835"/>
    <w:rsid w:val="00E079AF"/>
    <w:rsid w:val="00E11416"/>
    <w:rsid w:val="00E11662"/>
    <w:rsid w:val="00E11CC1"/>
    <w:rsid w:val="00E11CD4"/>
    <w:rsid w:val="00E12775"/>
    <w:rsid w:val="00E12937"/>
    <w:rsid w:val="00E12987"/>
    <w:rsid w:val="00E13A68"/>
    <w:rsid w:val="00E13E43"/>
    <w:rsid w:val="00E14E35"/>
    <w:rsid w:val="00E168F0"/>
    <w:rsid w:val="00E177BC"/>
    <w:rsid w:val="00E20745"/>
    <w:rsid w:val="00E21E66"/>
    <w:rsid w:val="00E22302"/>
    <w:rsid w:val="00E23358"/>
    <w:rsid w:val="00E2352F"/>
    <w:rsid w:val="00E23AF1"/>
    <w:rsid w:val="00E24CF0"/>
    <w:rsid w:val="00E254C4"/>
    <w:rsid w:val="00E25B75"/>
    <w:rsid w:val="00E26215"/>
    <w:rsid w:val="00E26401"/>
    <w:rsid w:val="00E316D8"/>
    <w:rsid w:val="00E31F77"/>
    <w:rsid w:val="00E320EE"/>
    <w:rsid w:val="00E325DB"/>
    <w:rsid w:val="00E32E84"/>
    <w:rsid w:val="00E33E05"/>
    <w:rsid w:val="00E33E6A"/>
    <w:rsid w:val="00E35BAD"/>
    <w:rsid w:val="00E36130"/>
    <w:rsid w:val="00E36A79"/>
    <w:rsid w:val="00E36C40"/>
    <w:rsid w:val="00E37D35"/>
    <w:rsid w:val="00E40750"/>
    <w:rsid w:val="00E41993"/>
    <w:rsid w:val="00E4336A"/>
    <w:rsid w:val="00E434E5"/>
    <w:rsid w:val="00E43CC1"/>
    <w:rsid w:val="00E44586"/>
    <w:rsid w:val="00E44D87"/>
    <w:rsid w:val="00E44F49"/>
    <w:rsid w:val="00E45010"/>
    <w:rsid w:val="00E45655"/>
    <w:rsid w:val="00E45866"/>
    <w:rsid w:val="00E45DDA"/>
    <w:rsid w:val="00E45FB1"/>
    <w:rsid w:val="00E4675C"/>
    <w:rsid w:val="00E470F3"/>
    <w:rsid w:val="00E4770F"/>
    <w:rsid w:val="00E50649"/>
    <w:rsid w:val="00E50E19"/>
    <w:rsid w:val="00E514E3"/>
    <w:rsid w:val="00E5234E"/>
    <w:rsid w:val="00E53BCD"/>
    <w:rsid w:val="00E5409A"/>
    <w:rsid w:val="00E54D85"/>
    <w:rsid w:val="00E56B40"/>
    <w:rsid w:val="00E578E2"/>
    <w:rsid w:val="00E61AEC"/>
    <w:rsid w:val="00E62624"/>
    <w:rsid w:val="00E63D14"/>
    <w:rsid w:val="00E63F2A"/>
    <w:rsid w:val="00E64A11"/>
    <w:rsid w:val="00E64DCE"/>
    <w:rsid w:val="00E65977"/>
    <w:rsid w:val="00E65D1E"/>
    <w:rsid w:val="00E66955"/>
    <w:rsid w:val="00E66A4B"/>
    <w:rsid w:val="00E66DDE"/>
    <w:rsid w:val="00E671AC"/>
    <w:rsid w:val="00E7013C"/>
    <w:rsid w:val="00E704CD"/>
    <w:rsid w:val="00E7400C"/>
    <w:rsid w:val="00E74352"/>
    <w:rsid w:val="00E745E9"/>
    <w:rsid w:val="00E74644"/>
    <w:rsid w:val="00E749E2"/>
    <w:rsid w:val="00E75213"/>
    <w:rsid w:val="00E75952"/>
    <w:rsid w:val="00E75955"/>
    <w:rsid w:val="00E75969"/>
    <w:rsid w:val="00E76492"/>
    <w:rsid w:val="00E7685C"/>
    <w:rsid w:val="00E76D85"/>
    <w:rsid w:val="00E7705E"/>
    <w:rsid w:val="00E80B65"/>
    <w:rsid w:val="00E8280C"/>
    <w:rsid w:val="00E82A2A"/>
    <w:rsid w:val="00E8384D"/>
    <w:rsid w:val="00E85C51"/>
    <w:rsid w:val="00E8627F"/>
    <w:rsid w:val="00E87500"/>
    <w:rsid w:val="00E879DA"/>
    <w:rsid w:val="00E91F3D"/>
    <w:rsid w:val="00E92FBE"/>
    <w:rsid w:val="00E93BB9"/>
    <w:rsid w:val="00E94CE2"/>
    <w:rsid w:val="00E955AC"/>
    <w:rsid w:val="00E95CA1"/>
    <w:rsid w:val="00E96ACF"/>
    <w:rsid w:val="00E96B66"/>
    <w:rsid w:val="00E96F9D"/>
    <w:rsid w:val="00EA0725"/>
    <w:rsid w:val="00EA116F"/>
    <w:rsid w:val="00EA1366"/>
    <w:rsid w:val="00EA1FF3"/>
    <w:rsid w:val="00EA2529"/>
    <w:rsid w:val="00EA329B"/>
    <w:rsid w:val="00EA408D"/>
    <w:rsid w:val="00EA5284"/>
    <w:rsid w:val="00EA6B6D"/>
    <w:rsid w:val="00EB149F"/>
    <w:rsid w:val="00EB15A2"/>
    <w:rsid w:val="00EB1929"/>
    <w:rsid w:val="00EB1C36"/>
    <w:rsid w:val="00EB2037"/>
    <w:rsid w:val="00EB2B4C"/>
    <w:rsid w:val="00EB46A3"/>
    <w:rsid w:val="00EB55A7"/>
    <w:rsid w:val="00EB591A"/>
    <w:rsid w:val="00EB5A3D"/>
    <w:rsid w:val="00EB611E"/>
    <w:rsid w:val="00EB7629"/>
    <w:rsid w:val="00EB7EF0"/>
    <w:rsid w:val="00EC092D"/>
    <w:rsid w:val="00EC245D"/>
    <w:rsid w:val="00EC2654"/>
    <w:rsid w:val="00EC3CF8"/>
    <w:rsid w:val="00EC439D"/>
    <w:rsid w:val="00EC488D"/>
    <w:rsid w:val="00EC49A0"/>
    <w:rsid w:val="00EC591E"/>
    <w:rsid w:val="00EC594C"/>
    <w:rsid w:val="00EC5F73"/>
    <w:rsid w:val="00EC6106"/>
    <w:rsid w:val="00EC662D"/>
    <w:rsid w:val="00EC6CDA"/>
    <w:rsid w:val="00EC7B57"/>
    <w:rsid w:val="00ED087A"/>
    <w:rsid w:val="00ED1BA3"/>
    <w:rsid w:val="00ED1EA4"/>
    <w:rsid w:val="00ED2CC8"/>
    <w:rsid w:val="00ED326C"/>
    <w:rsid w:val="00ED3285"/>
    <w:rsid w:val="00ED33A1"/>
    <w:rsid w:val="00ED4CF4"/>
    <w:rsid w:val="00ED513F"/>
    <w:rsid w:val="00ED599F"/>
    <w:rsid w:val="00ED59DD"/>
    <w:rsid w:val="00ED6179"/>
    <w:rsid w:val="00ED6CBF"/>
    <w:rsid w:val="00ED76B2"/>
    <w:rsid w:val="00ED7B8A"/>
    <w:rsid w:val="00EE082F"/>
    <w:rsid w:val="00EE11D2"/>
    <w:rsid w:val="00EE1449"/>
    <w:rsid w:val="00EE3456"/>
    <w:rsid w:val="00EE3842"/>
    <w:rsid w:val="00EE47B3"/>
    <w:rsid w:val="00EE521D"/>
    <w:rsid w:val="00EE59CC"/>
    <w:rsid w:val="00EE6632"/>
    <w:rsid w:val="00EF05F4"/>
    <w:rsid w:val="00EF1B03"/>
    <w:rsid w:val="00EF2922"/>
    <w:rsid w:val="00EF2C83"/>
    <w:rsid w:val="00EF2DB4"/>
    <w:rsid w:val="00EF2E32"/>
    <w:rsid w:val="00EF32AC"/>
    <w:rsid w:val="00EF3AA0"/>
    <w:rsid w:val="00EF4E32"/>
    <w:rsid w:val="00EF521E"/>
    <w:rsid w:val="00EF635B"/>
    <w:rsid w:val="00EF6780"/>
    <w:rsid w:val="00EF7543"/>
    <w:rsid w:val="00EF7932"/>
    <w:rsid w:val="00EF7E6E"/>
    <w:rsid w:val="00F00345"/>
    <w:rsid w:val="00F00C2C"/>
    <w:rsid w:val="00F015CC"/>
    <w:rsid w:val="00F01C62"/>
    <w:rsid w:val="00F03016"/>
    <w:rsid w:val="00F048AE"/>
    <w:rsid w:val="00F04EF2"/>
    <w:rsid w:val="00F0617F"/>
    <w:rsid w:val="00F0680F"/>
    <w:rsid w:val="00F07FCB"/>
    <w:rsid w:val="00F116FC"/>
    <w:rsid w:val="00F117C2"/>
    <w:rsid w:val="00F121AE"/>
    <w:rsid w:val="00F12536"/>
    <w:rsid w:val="00F12CCF"/>
    <w:rsid w:val="00F12D62"/>
    <w:rsid w:val="00F1340C"/>
    <w:rsid w:val="00F13794"/>
    <w:rsid w:val="00F14B21"/>
    <w:rsid w:val="00F14EA6"/>
    <w:rsid w:val="00F14F09"/>
    <w:rsid w:val="00F161C4"/>
    <w:rsid w:val="00F16871"/>
    <w:rsid w:val="00F17078"/>
    <w:rsid w:val="00F17081"/>
    <w:rsid w:val="00F17568"/>
    <w:rsid w:val="00F20D23"/>
    <w:rsid w:val="00F220F0"/>
    <w:rsid w:val="00F22FAF"/>
    <w:rsid w:val="00F243E5"/>
    <w:rsid w:val="00F244FA"/>
    <w:rsid w:val="00F255FB"/>
    <w:rsid w:val="00F263F0"/>
    <w:rsid w:val="00F26E98"/>
    <w:rsid w:val="00F31664"/>
    <w:rsid w:val="00F32D4C"/>
    <w:rsid w:val="00F3336D"/>
    <w:rsid w:val="00F33891"/>
    <w:rsid w:val="00F3542B"/>
    <w:rsid w:val="00F3573D"/>
    <w:rsid w:val="00F359B0"/>
    <w:rsid w:val="00F3676B"/>
    <w:rsid w:val="00F37AB7"/>
    <w:rsid w:val="00F37BFA"/>
    <w:rsid w:val="00F40326"/>
    <w:rsid w:val="00F405B4"/>
    <w:rsid w:val="00F41513"/>
    <w:rsid w:val="00F41AE7"/>
    <w:rsid w:val="00F42031"/>
    <w:rsid w:val="00F42509"/>
    <w:rsid w:val="00F43FDA"/>
    <w:rsid w:val="00F450B4"/>
    <w:rsid w:val="00F45C0A"/>
    <w:rsid w:val="00F45C2B"/>
    <w:rsid w:val="00F462E1"/>
    <w:rsid w:val="00F46454"/>
    <w:rsid w:val="00F465AB"/>
    <w:rsid w:val="00F469D4"/>
    <w:rsid w:val="00F47A38"/>
    <w:rsid w:val="00F47CC6"/>
    <w:rsid w:val="00F508DD"/>
    <w:rsid w:val="00F52252"/>
    <w:rsid w:val="00F53AB5"/>
    <w:rsid w:val="00F53F40"/>
    <w:rsid w:val="00F549BC"/>
    <w:rsid w:val="00F54A26"/>
    <w:rsid w:val="00F555C1"/>
    <w:rsid w:val="00F565B0"/>
    <w:rsid w:val="00F57D76"/>
    <w:rsid w:val="00F620CD"/>
    <w:rsid w:val="00F625B2"/>
    <w:rsid w:val="00F628EA"/>
    <w:rsid w:val="00F62CF9"/>
    <w:rsid w:val="00F636BD"/>
    <w:rsid w:val="00F6444D"/>
    <w:rsid w:val="00F64C11"/>
    <w:rsid w:val="00F65323"/>
    <w:rsid w:val="00F66CF5"/>
    <w:rsid w:val="00F673B1"/>
    <w:rsid w:val="00F67D6E"/>
    <w:rsid w:val="00F67FA3"/>
    <w:rsid w:val="00F7002B"/>
    <w:rsid w:val="00F7059A"/>
    <w:rsid w:val="00F7124C"/>
    <w:rsid w:val="00F71F75"/>
    <w:rsid w:val="00F720DA"/>
    <w:rsid w:val="00F730C1"/>
    <w:rsid w:val="00F740B7"/>
    <w:rsid w:val="00F7446A"/>
    <w:rsid w:val="00F75A91"/>
    <w:rsid w:val="00F7619D"/>
    <w:rsid w:val="00F76A30"/>
    <w:rsid w:val="00F76DD6"/>
    <w:rsid w:val="00F77AA5"/>
    <w:rsid w:val="00F81C49"/>
    <w:rsid w:val="00F81C81"/>
    <w:rsid w:val="00F8220F"/>
    <w:rsid w:val="00F822C5"/>
    <w:rsid w:val="00F824E0"/>
    <w:rsid w:val="00F83668"/>
    <w:rsid w:val="00F836F3"/>
    <w:rsid w:val="00F83BB6"/>
    <w:rsid w:val="00F83E66"/>
    <w:rsid w:val="00F851EF"/>
    <w:rsid w:val="00F85DA4"/>
    <w:rsid w:val="00F86448"/>
    <w:rsid w:val="00F8717D"/>
    <w:rsid w:val="00F874AD"/>
    <w:rsid w:val="00F9224D"/>
    <w:rsid w:val="00F92490"/>
    <w:rsid w:val="00F930A6"/>
    <w:rsid w:val="00F9333C"/>
    <w:rsid w:val="00F93948"/>
    <w:rsid w:val="00F93D1E"/>
    <w:rsid w:val="00F9492D"/>
    <w:rsid w:val="00F9513B"/>
    <w:rsid w:val="00F9531F"/>
    <w:rsid w:val="00F960F4"/>
    <w:rsid w:val="00F9624B"/>
    <w:rsid w:val="00F966D2"/>
    <w:rsid w:val="00F96C8D"/>
    <w:rsid w:val="00F979C1"/>
    <w:rsid w:val="00F97FBB"/>
    <w:rsid w:val="00FA0505"/>
    <w:rsid w:val="00FA10C8"/>
    <w:rsid w:val="00FA1AD8"/>
    <w:rsid w:val="00FA3EB8"/>
    <w:rsid w:val="00FA3F60"/>
    <w:rsid w:val="00FA4029"/>
    <w:rsid w:val="00FA4605"/>
    <w:rsid w:val="00FA4E7E"/>
    <w:rsid w:val="00FA4F87"/>
    <w:rsid w:val="00FA52E1"/>
    <w:rsid w:val="00FA5ADB"/>
    <w:rsid w:val="00FA6246"/>
    <w:rsid w:val="00FA7886"/>
    <w:rsid w:val="00FA7A90"/>
    <w:rsid w:val="00FB054C"/>
    <w:rsid w:val="00FB0D9F"/>
    <w:rsid w:val="00FB2155"/>
    <w:rsid w:val="00FB3FD2"/>
    <w:rsid w:val="00FB41C7"/>
    <w:rsid w:val="00FB495D"/>
    <w:rsid w:val="00FB4B75"/>
    <w:rsid w:val="00FB5502"/>
    <w:rsid w:val="00FB595F"/>
    <w:rsid w:val="00FB67E8"/>
    <w:rsid w:val="00FB6CC5"/>
    <w:rsid w:val="00FB7131"/>
    <w:rsid w:val="00FB722F"/>
    <w:rsid w:val="00FB7293"/>
    <w:rsid w:val="00FB7307"/>
    <w:rsid w:val="00FB7315"/>
    <w:rsid w:val="00FB7FFD"/>
    <w:rsid w:val="00FC003B"/>
    <w:rsid w:val="00FC02CE"/>
    <w:rsid w:val="00FC1115"/>
    <w:rsid w:val="00FC1EC1"/>
    <w:rsid w:val="00FC213C"/>
    <w:rsid w:val="00FC4224"/>
    <w:rsid w:val="00FC434E"/>
    <w:rsid w:val="00FC656A"/>
    <w:rsid w:val="00FC65E9"/>
    <w:rsid w:val="00FC66A8"/>
    <w:rsid w:val="00FC7E20"/>
    <w:rsid w:val="00FD1288"/>
    <w:rsid w:val="00FD2666"/>
    <w:rsid w:val="00FD2C3F"/>
    <w:rsid w:val="00FD30A3"/>
    <w:rsid w:val="00FD32C6"/>
    <w:rsid w:val="00FD3706"/>
    <w:rsid w:val="00FD38E2"/>
    <w:rsid w:val="00FD4385"/>
    <w:rsid w:val="00FD4CF8"/>
    <w:rsid w:val="00FD52A0"/>
    <w:rsid w:val="00FD5392"/>
    <w:rsid w:val="00FD583D"/>
    <w:rsid w:val="00FD5DF7"/>
    <w:rsid w:val="00FD6A00"/>
    <w:rsid w:val="00FD6AD9"/>
    <w:rsid w:val="00FD6EC0"/>
    <w:rsid w:val="00FD6F7E"/>
    <w:rsid w:val="00FD7088"/>
    <w:rsid w:val="00FD7C8D"/>
    <w:rsid w:val="00FE0304"/>
    <w:rsid w:val="00FE158A"/>
    <w:rsid w:val="00FE19EE"/>
    <w:rsid w:val="00FE19F9"/>
    <w:rsid w:val="00FE21C1"/>
    <w:rsid w:val="00FE28E4"/>
    <w:rsid w:val="00FE2D0D"/>
    <w:rsid w:val="00FE2F05"/>
    <w:rsid w:val="00FE34F4"/>
    <w:rsid w:val="00FE4BA0"/>
    <w:rsid w:val="00FE5915"/>
    <w:rsid w:val="00FE67E3"/>
    <w:rsid w:val="00FE6A61"/>
    <w:rsid w:val="00FE7768"/>
    <w:rsid w:val="00FF002A"/>
    <w:rsid w:val="00FF09C3"/>
    <w:rsid w:val="00FF0B8C"/>
    <w:rsid w:val="00FF0E0E"/>
    <w:rsid w:val="00FF1407"/>
    <w:rsid w:val="00FF1513"/>
    <w:rsid w:val="00FF2E49"/>
    <w:rsid w:val="00FF3963"/>
    <w:rsid w:val="00FF3AFF"/>
    <w:rsid w:val="00FF4206"/>
    <w:rsid w:val="00FF4667"/>
    <w:rsid w:val="00FF50CF"/>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F254C"/>
  <w15:docId w15:val="{FB6825C8-C6E3-443A-BA4F-32D0A1B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18"/>
        <w:szCs w:val="18"/>
        <w:lang w:val="en-AU" w:eastAsia="en-AU" w:bidi="ar-SA"/>
      </w:rPr>
    </w:rPrDefault>
    <w:pPrDefault>
      <w:pPr>
        <w:spacing w:before="130" w:after="130" w:line="25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FD"/>
  </w:style>
  <w:style w:type="paragraph" w:styleId="Heading1">
    <w:name w:val="heading 1"/>
    <w:basedOn w:val="Normal"/>
    <w:next w:val="BodyText"/>
    <w:link w:val="Heading1Char"/>
    <w:qFormat/>
    <w:rsid w:val="001D2137"/>
    <w:pPr>
      <w:keepNext/>
      <w:numPr>
        <w:numId w:val="11"/>
      </w:numPr>
      <w:spacing w:before="240" w:after="180" w:line="240" w:lineRule="auto"/>
      <w:outlineLvl w:val="0"/>
    </w:pPr>
    <w:rPr>
      <w:rFonts w:asciiTheme="majorHAnsi" w:eastAsiaTheme="majorEastAsia" w:hAnsiTheme="majorHAnsi" w:cstheme="majorBidi"/>
      <w:b/>
      <w:bCs/>
      <w:color w:val="000000" w:themeColor="text1"/>
      <w:spacing w:val="-2"/>
      <w:sz w:val="26"/>
      <w:szCs w:val="40"/>
    </w:rPr>
  </w:style>
  <w:style w:type="paragraph" w:styleId="Heading2">
    <w:name w:val="heading 2"/>
    <w:basedOn w:val="Normal"/>
    <w:next w:val="BodyText"/>
    <w:link w:val="Heading2Char"/>
    <w:qFormat/>
    <w:rsid w:val="001D2137"/>
    <w:pPr>
      <w:keepNext/>
      <w:keepLines/>
      <w:numPr>
        <w:ilvl w:val="1"/>
        <w:numId w:val="11"/>
      </w:numPr>
      <w:spacing w:before="240" w:after="180"/>
      <w:outlineLvl w:val="1"/>
    </w:pPr>
    <w:rPr>
      <w:rFonts w:asciiTheme="majorHAnsi" w:eastAsiaTheme="majorEastAsia" w:hAnsiTheme="majorHAnsi" w:cstheme="majorBidi"/>
      <w:b/>
      <w:bCs/>
      <w:caps/>
      <w:color w:val="000000" w:themeColor="text1"/>
      <w:spacing w:val="-2"/>
      <w:sz w:val="20"/>
      <w:szCs w:val="26"/>
    </w:rPr>
  </w:style>
  <w:style w:type="paragraph" w:styleId="Heading3">
    <w:name w:val="heading 3"/>
    <w:basedOn w:val="Normal"/>
    <w:next w:val="BodyText"/>
    <w:link w:val="Heading3Char"/>
    <w:qFormat/>
    <w:rsid w:val="00D02AB1"/>
    <w:pPr>
      <w:keepNext/>
      <w:keepLines/>
      <w:spacing w:before="240" w:after="180"/>
      <w:outlineLvl w:val="2"/>
    </w:pPr>
    <w:rPr>
      <w:rFonts w:asciiTheme="majorHAnsi" w:eastAsiaTheme="majorEastAsia" w:hAnsiTheme="majorHAnsi" w:cstheme="majorBidi"/>
      <w:b/>
      <w:bCs/>
      <w:color w:val="00A673" w:themeColor="accent2"/>
    </w:rPr>
  </w:style>
  <w:style w:type="paragraph" w:styleId="Heading4">
    <w:name w:val="heading 4"/>
    <w:basedOn w:val="Normal"/>
    <w:next w:val="BodyText"/>
    <w:link w:val="Heading4Char"/>
    <w:qFormat/>
    <w:rsid w:val="009000FD"/>
    <w:pPr>
      <w:keepNext/>
      <w:keepLines/>
      <w:spacing w:before="12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semiHidden/>
    <w:qFormat/>
    <w:rsid w:val="003053E2"/>
    <w:pPr>
      <w:keepNext/>
      <w:keepLines/>
      <w:tabs>
        <w:tab w:val="left" w:pos="794"/>
      </w:tabs>
      <w:spacing w:before="300"/>
      <w:outlineLvl w:val="4"/>
    </w:pPr>
    <w:rPr>
      <w:rFonts w:asciiTheme="majorHAnsi" w:eastAsiaTheme="majorEastAsia" w:hAnsiTheme="majorHAnsi" w:cstheme="majorBidi"/>
      <w:bCs/>
      <w:color w:val="0B5656" w:themeColor="accent1"/>
      <w:sz w:val="21"/>
    </w:rPr>
  </w:style>
  <w:style w:type="paragraph" w:styleId="Heading6">
    <w:name w:val="heading 6"/>
    <w:basedOn w:val="Normal"/>
    <w:next w:val="Normal"/>
    <w:link w:val="Heading6Char"/>
    <w:semiHidden/>
    <w:qFormat/>
    <w:rsid w:val="00E05291"/>
    <w:pPr>
      <w:keepNext/>
      <w:keepLines/>
      <w:spacing w:before="250" w:after="40"/>
      <w:outlineLvl w:val="5"/>
    </w:pPr>
    <w:rPr>
      <w:rFonts w:asciiTheme="majorHAnsi" w:eastAsiaTheme="majorEastAsia" w:hAnsiTheme="majorHAnsi" w:cstheme="majorBidi"/>
      <w:i/>
      <w:iCs/>
      <w:color w:val="93003D" w:themeColor="accent3"/>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001C3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5578D"/>
  </w:style>
  <w:style w:type="character" w:customStyle="1" w:styleId="BodyTextChar">
    <w:name w:val="Body Text Char"/>
    <w:basedOn w:val="DefaultParagraphFont"/>
    <w:link w:val="BodyText"/>
    <w:rsid w:val="00A65F1E"/>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B76D3B"/>
    <w:pPr>
      <w:spacing w:before="0" w:after="0" w:line="230" w:lineRule="exact"/>
      <w:jc w:val="right"/>
    </w:pPr>
    <w:rPr>
      <w:bCs/>
      <w:color w:val="000000" w:themeColor="text1"/>
      <w:sz w:val="16"/>
    </w:rPr>
  </w:style>
  <w:style w:type="character" w:customStyle="1" w:styleId="FooterChar">
    <w:name w:val="Footer Char"/>
    <w:basedOn w:val="DefaultParagraphFont"/>
    <w:link w:val="Footer"/>
    <w:uiPriority w:val="99"/>
    <w:rsid w:val="00B76D3B"/>
    <w:rPr>
      <w:bCs/>
      <w:color w:val="000000" w:themeColor="text1"/>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F71F75"/>
    <w:pPr>
      <w:tabs>
        <w:tab w:val="left" w:pos="1860"/>
        <w:tab w:val="left" w:pos="2730"/>
      </w:tabs>
      <w:spacing w:before="0" w:after="600" w:line="230" w:lineRule="exact"/>
      <w:contextualSpacing/>
      <w:jc w:val="right"/>
    </w:pPr>
    <w:rPr>
      <w:color w:val="000000" w:themeColor="text1"/>
      <w:spacing w:val="5"/>
      <w:sz w:val="16"/>
    </w:rPr>
  </w:style>
  <w:style w:type="character" w:customStyle="1" w:styleId="HeaderChar">
    <w:name w:val="Header Char"/>
    <w:basedOn w:val="DefaultParagraphFont"/>
    <w:link w:val="Header"/>
    <w:uiPriority w:val="99"/>
    <w:rsid w:val="00F71F75"/>
    <w:rPr>
      <w:color w:val="000000" w:themeColor="text1"/>
      <w:spacing w:val="5"/>
      <w:sz w:val="16"/>
    </w:rPr>
  </w:style>
  <w:style w:type="character" w:customStyle="1" w:styleId="Heading1Char">
    <w:name w:val="Heading 1 Char"/>
    <w:basedOn w:val="DefaultParagraphFont"/>
    <w:link w:val="Heading1"/>
    <w:rsid w:val="001D2137"/>
    <w:rPr>
      <w:rFonts w:asciiTheme="majorHAnsi" w:eastAsiaTheme="majorEastAsia" w:hAnsiTheme="majorHAnsi" w:cstheme="majorBidi"/>
      <w:b/>
      <w:bCs/>
      <w:color w:val="000000" w:themeColor="text1"/>
      <w:spacing w:val="-2"/>
      <w:sz w:val="26"/>
      <w:szCs w:val="40"/>
    </w:rPr>
  </w:style>
  <w:style w:type="character" w:customStyle="1" w:styleId="Heading2Char">
    <w:name w:val="Heading 2 Char"/>
    <w:basedOn w:val="DefaultParagraphFont"/>
    <w:link w:val="Heading2"/>
    <w:rsid w:val="001D2137"/>
    <w:rPr>
      <w:rFonts w:asciiTheme="majorHAnsi" w:eastAsiaTheme="majorEastAsia" w:hAnsiTheme="majorHAnsi" w:cstheme="majorBidi"/>
      <w:b/>
      <w:bCs/>
      <w:caps/>
      <w:color w:val="000000" w:themeColor="text1"/>
      <w:spacing w:val="-2"/>
      <w:sz w:val="20"/>
      <w:szCs w:val="26"/>
    </w:rPr>
  </w:style>
  <w:style w:type="character" w:customStyle="1" w:styleId="Heading3Char">
    <w:name w:val="Heading 3 Char"/>
    <w:basedOn w:val="DefaultParagraphFont"/>
    <w:link w:val="Heading3"/>
    <w:rsid w:val="00D02AB1"/>
    <w:rPr>
      <w:rFonts w:asciiTheme="majorHAnsi" w:eastAsiaTheme="majorEastAsia" w:hAnsiTheme="majorHAnsi" w:cstheme="majorBidi"/>
      <w:b/>
      <w:bCs/>
      <w:color w:val="00A673" w:themeColor="accent2"/>
    </w:rPr>
  </w:style>
  <w:style w:type="character" w:customStyle="1" w:styleId="Heading4Char">
    <w:name w:val="Heading 4 Char"/>
    <w:basedOn w:val="DefaultParagraphFont"/>
    <w:link w:val="Heading4"/>
    <w:rsid w:val="009000FD"/>
    <w:rPr>
      <w:rFonts w:asciiTheme="majorHAnsi" w:eastAsiaTheme="majorEastAsia" w:hAnsiTheme="majorHAnsi"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001C3A"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00"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D80288"/>
    <w:pPr>
      <w:numPr>
        <w:numId w:val="8"/>
      </w:numPr>
      <w:spacing w:before="60" w:after="60"/>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BA22F4"/>
    <w:pPr>
      <w:spacing w:before="60" w:after="60"/>
      <w:ind w:left="340"/>
    </w:pPr>
  </w:style>
  <w:style w:type="paragraph" w:styleId="ListNumber">
    <w:name w:val="List Number"/>
    <w:basedOn w:val="BodyText"/>
    <w:qFormat/>
    <w:rsid w:val="004916AB"/>
    <w:pPr>
      <w:numPr>
        <w:numId w:val="9"/>
      </w:numPr>
      <w:spacing w:before="60" w:after="60"/>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2"/>
    <w:rsid w:val="00BE5AD3"/>
    <w:pPr>
      <w:framePr w:hSpace="181" w:wrap="around" w:vAnchor="page" w:hAnchor="page" w:x="3913" w:y="3857"/>
      <w:spacing w:before="0" w:after="0" w:line="1040" w:lineRule="exact"/>
      <w:contextualSpacing/>
      <w:suppressOverlap/>
    </w:pPr>
    <w:rPr>
      <w:rFonts w:asciiTheme="majorHAnsi" w:hAnsiTheme="majorHAnsi"/>
      <w:b/>
      <w:color w:val="FFFFFF" w:themeColor="background1"/>
      <w:spacing w:val="-8"/>
      <w:sz w:val="99"/>
    </w:rPr>
  </w:style>
  <w:style w:type="character" w:customStyle="1" w:styleId="TitleChar">
    <w:name w:val="Title Char"/>
    <w:basedOn w:val="DefaultParagraphFont"/>
    <w:link w:val="Title"/>
    <w:uiPriority w:val="2"/>
    <w:rsid w:val="00BE5AD3"/>
    <w:rPr>
      <w:rFonts w:asciiTheme="majorHAnsi" w:hAnsiTheme="majorHAnsi"/>
      <w:b/>
      <w:color w:val="FFFFFF" w:themeColor="background1"/>
      <w:spacing w:val="-8"/>
      <w:sz w:val="99"/>
    </w:rPr>
  </w:style>
  <w:style w:type="paragraph" w:styleId="TOC5">
    <w:name w:val="toc 5"/>
    <w:basedOn w:val="Normal"/>
    <w:next w:val="Normal"/>
    <w:autoRedefine/>
    <w:uiPriority w:val="39"/>
    <w:semiHidden/>
    <w:rsid w:val="0058629F"/>
    <w:pPr>
      <w:ind w:left="720"/>
    </w:pPr>
  </w:style>
  <w:style w:type="paragraph" w:styleId="TOC6">
    <w:name w:val="toc 6"/>
    <w:basedOn w:val="Normal"/>
    <w:next w:val="Normal"/>
    <w:autoRedefine/>
    <w:uiPriority w:val="39"/>
    <w:semiHidden/>
    <w:rsid w:val="0058629F"/>
    <w:pPr>
      <w:ind w:left="900"/>
    </w:pPr>
  </w:style>
  <w:style w:type="paragraph" w:styleId="TOC7">
    <w:name w:val="toc 7"/>
    <w:basedOn w:val="Normal"/>
    <w:next w:val="Normal"/>
    <w:autoRedefine/>
    <w:uiPriority w:val="39"/>
    <w:semiHidden/>
    <w:rsid w:val="0058629F"/>
    <w:pPr>
      <w:ind w:left="1080"/>
    </w:pPr>
  </w:style>
  <w:style w:type="paragraph" w:styleId="TOC8">
    <w:name w:val="toc 8"/>
    <w:basedOn w:val="Normal"/>
    <w:next w:val="Normal"/>
    <w:autoRedefine/>
    <w:uiPriority w:val="39"/>
    <w:semiHidden/>
    <w:rsid w:val="0058629F"/>
    <w:pPr>
      <w:ind w:left="1260"/>
    </w:pPr>
  </w:style>
  <w:style w:type="paragraph" w:styleId="ListContinue2">
    <w:name w:val="List Continue 2"/>
    <w:basedOn w:val="ListContinue"/>
    <w:qFormat/>
    <w:rsid w:val="00EE1449"/>
    <w:pPr>
      <w:ind w:left="680"/>
    </w:pPr>
  </w:style>
  <w:style w:type="paragraph" w:styleId="ListContinue3">
    <w:name w:val="List Continue 3"/>
    <w:basedOn w:val="ListContinue2"/>
    <w:qFormat/>
    <w:rsid w:val="00EE1449"/>
    <w:pPr>
      <w:ind w:left="1021"/>
    </w:pPr>
  </w:style>
  <w:style w:type="paragraph" w:styleId="NoSpacing">
    <w:name w:val="No Spacing"/>
    <w:basedOn w:val="Normal"/>
    <w:next w:val="BodyText"/>
    <w:qFormat/>
    <w:rsid w:val="00104C22"/>
    <w:pPr>
      <w:spacing w:before="0" w:after="0"/>
    </w:pPr>
  </w:style>
  <w:style w:type="paragraph" w:customStyle="1" w:styleId="TableofFiguresHeading">
    <w:name w:val="Table of Figures Heading"/>
    <w:basedOn w:val="Normal"/>
    <w:semiHidden/>
    <w:rsid w:val="0058629F"/>
    <w:pPr>
      <w:spacing w:before="240" w:line="240" w:lineRule="auto"/>
    </w:pPr>
    <w:rPr>
      <w:b/>
      <w:bCs/>
      <w:noProof/>
    </w:rPr>
  </w:style>
  <w:style w:type="character" w:customStyle="1" w:styleId="Heading5Char">
    <w:name w:val="Heading 5 Char"/>
    <w:basedOn w:val="DefaultParagraphFont"/>
    <w:link w:val="Heading5"/>
    <w:semiHidden/>
    <w:rsid w:val="001F1530"/>
    <w:rPr>
      <w:rFonts w:asciiTheme="majorHAnsi" w:eastAsiaTheme="majorEastAsia" w:hAnsiTheme="majorHAnsi" w:cstheme="majorBidi"/>
      <w:bCs/>
      <w:color w:val="0B5656" w:themeColor="accent1"/>
      <w:spacing w:val="4"/>
      <w:sz w:val="21"/>
    </w:rPr>
  </w:style>
  <w:style w:type="character" w:customStyle="1" w:styleId="Heading6Char">
    <w:name w:val="Heading 6 Char"/>
    <w:basedOn w:val="DefaultParagraphFont"/>
    <w:link w:val="Heading6"/>
    <w:semiHidden/>
    <w:rsid w:val="00E05291"/>
    <w:rPr>
      <w:rFonts w:asciiTheme="majorHAnsi" w:eastAsiaTheme="majorEastAsia" w:hAnsiTheme="majorHAnsi" w:cstheme="majorBidi"/>
      <w:i/>
      <w:iCs/>
      <w:color w:val="93003D" w:themeColor="accent3"/>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paragraph" w:customStyle="1" w:styleId="ListAlpha">
    <w:name w:val="List Alpha"/>
    <w:basedOn w:val="Normal"/>
    <w:semiHidden/>
    <w:qFormat/>
    <w:rsid w:val="0058629F"/>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autoRedefine/>
    <w:uiPriority w:val="39"/>
    <w:qFormat/>
    <w:rsid w:val="000972C9"/>
    <w:pPr>
      <w:pageBreakBefore/>
      <w:spacing w:before="0" w:after="840" w:line="240" w:lineRule="auto"/>
    </w:pPr>
    <w:rPr>
      <w:rFonts w:asciiTheme="majorHAnsi" w:hAnsiTheme="majorHAnsi" w:cs="Arial"/>
      <w:b/>
      <w:bCs/>
      <w:color w:val="000000" w:themeColor="text1"/>
      <w:spacing w:val="-2"/>
      <w:sz w:val="26"/>
    </w:rPr>
  </w:style>
  <w:style w:type="paragraph" w:styleId="TOC1">
    <w:name w:val="toc 1"/>
    <w:basedOn w:val="Normal"/>
    <w:next w:val="Normal"/>
    <w:link w:val="TOC1Char"/>
    <w:autoRedefine/>
    <w:uiPriority w:val="39"/>
    <w:rsid w:val="003F3E28"/>
    <w:pPr>
      <w:tabs>
        <w:tab w:val="left" w:pos="426"/>
        <w:tab w:val="right" w:leader="dot" w:pos="9611"/>
      </w:tabs>
      <w:spacing w:before="140" w:after="70"/>
    </w:pPr>
    <w:rPr>
      <w:rFonts w:asciiTheme="majorHAnsi" w:eastAsiaTheme="minorEastAsia" w:hAnsiTheme="majorHAnsi" w:cstheme="minorBidi"/>
      <w:b/>
      <w:noProof/>
      <w:color w:val="000000" w:themeColor="text1"/>
      <w:szCs w:val="22"/>
    </w:rPr>
  </w:style>
  <w:style w:type="paragraph" w:styleId="TOC2">
    <w:name w:val="toc 2"/>
    <w:basedOn w:val="Normal"/>
    <w:autoRedefine/>
    <w:uiPriority w:val="39"/>
    <w:rsid w:val="000972C9"/>
    <w:pPr>
      <w:tabs>
        <w:tab w:val="left" w:pos="964"/>
        <w:tab w:val="right" w:leader="dot" w:pos="10149"/>
      </w:tabs>
      <w:spacing w:before="70" w:after="70"/>
      <w:ind w:left="992" w:hanging="567"/>
    </w:pPr>
    <w:rPr>
      <w:rFonts w:eastAsiaTheme="minorEastAsia" w:cstheme="minorBidi"/>
      <w:noProof/>
      <w:color w:val="000000" w:themeColor="text1"/>
      <w:szCs w:val="22"/>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FootnoteText">
    <w:name w:val="footnote text"/>
    <w:basedOn w:val="Normal"/>
    <w:link w:val="FootnoteTextChar"/>
    <w:uiPriority w:val="2"/>
    <w:rsid w:val="000724F2"/>
    <w:pPr>
      <w:keepLines/>
      <w:tabs>
        <w:tab w:val="left" w:pos="340"/>
      </w:tabs>
      <w:spacing w:before="50" w:after="0" w:line="240" w:lineRule="auto"/>
      <w:ind w:left="340" w:hanging="340"/>
    </w:pPr>
    <w:rPr>
      <w:sz w:val="17"/>
    </w:r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5F5F5" w:themeFill="accent1" w:themeFillTint="33"/>
    </w:tcPr>
    <w:tblStylePr w:type="firstRow">
      <w:rPr>
        <w:b/>
        <w:bCs/>
      </w:rPr>
      <w:tblPr/>
      <w:tcPr>
        <w:shd w:val="clear" w:color="auto" w:fill="6CECEC" w:themeFill="accent1" w:themeFillTint="66"/>
      </w:tcPr>
    </w:tblStylePr>
    <w:tblStylePr w:type="lastRow">
      <w:rPr>
        <w:b/>
        <w:bCs/>
        <w:color w:val="000000" w:themeColor="text1"/>
      </w:rPr>
      <w:tblPr/>
      <w:tcPr>
        <w:shd w:val="clear" w:color="auto" w:fill="6CECEC" w:themeFill="accent1" w:themeFillTint="66"/>
      </w:tcPr>
    </w:tblStylePr>
    <w:tblStylePr w:type="firstCol">
      <w:rPr>
        <w:color w:val="FFFFFF" w:themeColor="background1"/>
      </w:rPr>
      <w:tblPr/>
      <w:tcPr>
        <w:shd w:val="clear" w:color="auto" w:fill="084040" w:themeFill="accent1" w:themeFillShade="BF"/>
      </w:tcPr>
    </w:tblStylePr>
    <w:tblStylePr w:type="lastCol">
      <w:rPr>
        <w:color w:val="FFFFFF" w:themeColor="background1"/>
      </w:rPr>
      <w:tblPr/>
      <w:tcPr>
        <w:shd w:val="clear" w:color="auto" w:fill="084040" w:themeFill="accent1" w:themeFillShade="BF"/>
      </w:tcPr>
    </w:tblStylePr>
    <w:tblStylePr w:type="band1Vert">
      <w:tblPr/>
      <w:tcPr>
        <w:shd w:val="clear" w:color="auto" w:fill="48E7E7" w:themeFill="accent1" w:themeFillTint="7F"/>
      </w:tcPr>
    </w:tblStylePr>
    <w:tblStylePr w:type="band1Horz">
      <w:tblPr/>
      <w:tcPr>
        <w:shd w:val="clear" w:color="auto" w:fill="48E7E7"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AFFE9" w:themeFill="accent2" w:themeFillTint="33"/>
    </w:tcPr>
    <w:tblStylePr w:type="firstRow">
      <w:rPr>
        <w:b/>
        <w:bCs/>
      </w:rPr>
      <w:tblPr/>
      <w:tcPr>
        <w:shd w:val="clear" w:color="auto" w:fill="75FFD4" w:themeFill="accent2" w:themeFillTint="66"/>
      </w:tcPr>
    </w:tblStylePr>
    <w:tblStylePr w:type="lastRow">
      <w:rPr>
        <w:b/>
        <w:bCs/>
        <w:color w:val="000000" w:themeColor="text1"/>
      </w:rPr>
      <w:tblPr/>
      <w:tcPr>
        <w:shd w:val="clear" w:color="auto" w:fill="75FFD4" w:themeFill="accent2" w:themeFillTint="66"/>
      </w:tcPr>
    </w:tblStylePr>
    <w:tblStylePr w:type="firstCol">
      <w:rPr>
        <w:color w:val="FFFFFF" w:themeColor="background1"/>
      </w:rPr>
      <w:tblPr/>
      <w:tcPr>
        <w:shd w:val="clear" w:color="auto" w:fill="007C55" w:themeFill="accent2" w:themeFillShade="BF"/>
      </w:tcPr>
    </w:tblStylePr>
    <w:tblStylePr w:type="lastCol">
      <w:rPr>
        <w:color w:val="FFFFFF" w:themeColor="background1"/>
      </w:rPr>
      <w:tblPr/>
      <w:tcPr>
        <w:shd w:val="clear" w:color="auto" w:fill="007C55" w:themeFill="accent2" w:themeFillShade="BF"/>
      </w:tcPr>
    </w:tblStylePr>
    <w:tblStylePr w:type="band1Vert">
      <w:tblPr/>
      <w:tcPr>
        <w:shd w:val="clear" w:color="auto" w:fill="53FFC9" w:themeFill="accent2" w:themeFillTint="7F"/>
      </w:tcPr>
    </w:tblStylePr>
    <w:tblStylePr w:type="band1Horz">
      <w:tblPr/>
      <w:tcPr>
        <w:shd w:val="clear" w:color="auto" w:fill="53FFC9"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FB6D4" w:themeFill="accent3" w:themeFillTint="33"/>
    </w:tcPr>
    <w:tblStylePr w:type="firstRow">
      <w:rPr>
        <w:b/>
        <w:bCs/>
      </w:rPr>
      <w:tblPr/>
      <w:tcPr>
        <w:shd w:val="clear" w:color="auto" w:fill="FF6DA9" w:themeFill="accent3" w:themeFillTint="66"/>
      </w:tcPr>
    </w:tblStylePr>
    <w:tblStylePr w:type="lastRow">
      <w:rPr>
        <w:b/>
        <w:bCs/>
        <w:color w:val="000000" w:themeColor="text1"/>
      </w:rPr>
      <w:tblPr/>
      <w:tcPr>
        <w:shd w:val="clear" w:color="auto" w:fill="FF6DA9" w:themeFill="accent3" w:themeFillTint="66"/>
      </w:tcPr>
    </w:tblStylePr>
    <w:tblStylePr w:type="firstCol">
      <w:rPr>
        <w:color w:val="FFFFFF" w:themeColor="background1"/>
      </w:rPr>
      <w:tblPr/>
      <w:tcPr>
        <w:shd w:val="clear" w:color="auto" w:fill="6E002D" w:themeFill="accent3" w:themeFillShade="BF"/>
      </w:tcPr>
    </w:tblStylePr>
    <w:tblStylePr w:type="lastCol">
      <w:rPr>
        <w:color w:val="FFFFFF" w:themeColor="background1"/>
      </w:rPr>
      <w:tblPr/>
      <w:tcPr>
        <w:shd w:val="clear" w:color="auto" w:fill="6E002D" w:themeFill="accent3" w:themeFillShade="BF"/>
      </w:tcPr>
    </w:tblStylePr>
    <w:tblStylePr w:type="band1Vert">
      <w:tblPr/>
      <w:tcPr>
        <w:shd w:val="clear" w:color="auto" w:fill="FF4A94" w:themeFill="accent3" w:themeFillTint="7F"/>
      </w:tcPr>
    </w:tblStylePr>
    <w:tblStylePr w:type="band1Horz">
      <w:tblPr/>
      <w:tcPr>
        <w:shd w:val="clear" w:color="auto" w:fill="FF4A94"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D2DA" w:themeFill="accent4" w:themeFillTint="33"/>
    </w:tcPr>
    <w:tblStylePr w:type="firstRow">
      <w:rPr>
        <w:b/>
        <w:bCs/>
      </w:rPr>
      <w:tblPr/>
      <w:tcPr>
        <w:shd w:val="clear" w:color="auto" w:fill="EFA5B5" w:themeFill="accent4" w:themeFillTint="66"/>
      </w:tcPr>
    </w:tblStylePr>
    <w:tblStylePr w:type="lastRow">
      <w:rPr>
        <w:b/>
        <w:bCs/>
        <w:color w:val="000000" w:themeColor="text1"/>
      </w:rPr>
      <w:tblPr/>
      <w:tcPr>
        <w:shd w:val="clear" w:color="auto" w:fill="EFA5B5" w:themeFill="accent4" w:themeFillTint="66"/>
      </w:tcPr>
    </w:tblStylePr>
    <w:tblStylePr w:type="firstCol">
      <w:rPr>
        <w:color w:val="FFFFFF" w:themeColor="background1"/>
      </w:rPr>
      <w:tblPr/>
      <w:tcPr>
        <w:shd w:val="clear" w:color="auto" w:fill="9D1B37" w:themeFill="accent4" w:themeFillShade="BF"/>
      </w:tcPr>
    </w:tblStylePr>
    <w:tblStylePr w:type="lastCol">
      <w:rPr>
        <w:color w:val="FFFFFF" w:themeColor="background1"/>
      </w:rPr>
      <w:tblPr/>
      <w:tcPr>
        <w:shd w:val="clear" w:color="auto" w:fill="9D1B37" w:themeFill="accent4" w:themeFillShade="BF"/>
      </w:tcPr>
    </w:tblStylePr>
    <w:tblStylePr w:type="band1Vert">
      <w:tblPr/>
      <w:tcPr>
        <w:shd w:val="clear" w:color="auto" w:fill="EB8FA3" w:themeFill="accent4" w:themeFillTint="7F"/>
      </w:tcPr>
    </w:tblStylePr>
    <w:tblStylePr w:type="band1Horz">
      <w:tblPr/>
      <w:tcPr>
        <w:shd w:val="clear" w:color="auto" w:fill="EB8FA3"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FF2F2" w:themeFill="accent5" w:themeFillTint="33"/>
    </w:tcPr>
    <w:tblStylePr w:type="firstRow">
      <w:rPr>
        <w:b/>
        <w:bCs/>
      </w:rPr>
      <w:tblPr/>
      <w:tcPr>
        <w:shd w:val="clear" w:color="auto" w:fill="BFE6E5" w:themeFill="accent5" w:themeFillTint="66"/>
      </w:tcPr>
    </w:tblStylePr>
    <w:tblStylePr w:type="lastRow">
      <w:rPr>
        <w:b/>
        <w:bCs/>
        <w:color w:val="000000" w:themeColor="text1"/>
      </w:rPr>
      <w:tblPr/>
      <w:tcPr>
        <w:shd w:val="clear" w:color="auto" w:fill="BFE6E5" w:themeFill="accent5" w:themeFillTint="66"/>
      </w:tcPr>
    </w:tblStylePr>
    <w:tblStylePr w:type="firstCol">
      <w:rPr>
        <w:color w:val="FFFFFF" w:themeColor="background1"/>
      </w:rPr>
      <w:tblPr/>
      <w:tcPr>
        <w:shd w:val="clear" w:color="auto" w:fill="3D9B99" w:themeFill="accent5" w:themeFillShade="BF"/>
      </w:tcPr>
    </w:tblStylePr>
    <w:tblStylePr w:type="lastCol">
      <w:rPr>
        <w:color w:val="FFFFFF" w:themeColor="background1"/>
      </w:rPr>
      <w:tblPr/>
      <w:tcPr>
        <w:shd w:val="clear" w:color="auto" w:fill="3D9B99" w:themeFill="accent5" w:themeFillShade="BF"/>
      </w:tcPr>
    </w:tblStylePr>
    <w:tblStylePr w:type="band1Vert">
      <w:tblPr/>
      <w:tcPr>
        <w:shd w:val="clear" w:color="auto" w:fill="B0E0DF" w:themeFill="accent5" w:themeFillTint="7F"/>
      </w:tcPr>
    </w:tblStylePr>
    <w:tblStylePr w:type="band1Horz">
      <w:tblPr/>
      <w:tcPr>
        <w:shd w:val="clear" w:color="auto" w:fill="B0E0DF"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9FFFB" w:themeFill="accent6" w:themeFillTint="33"/>
    </w:tcPr>
    <w:tblStylePr w:type="firstRow">
      <w:rPr>
        <w:b/>
        <w:bCs/>
      </w:rPr>
      <w:tblPr/>
      <w:tcPr>
        <w:shd w:val="clear" w:color="auto" w:fill="73FFF7" w:themeFill="accent6" w:themeFillTint="66"/>
      </w:tcPr>
    </w:tblStylePr>
    <w:tblStylePr w:type="lastRow">
      <w:rPr>
        <w:b/>
        <w:bCs/>
        <w:color w:val="000000" w:themeColor="text1"/>
      </w:rPr>
      <w:tblPr/>
      <w:tcPr>
        <w:shd w:val="clear" w:color="auto" w:fill="73FFF7" w:themeFill="accent6" w:themeFillTint="66"/>
      </w:tcPr>
    </w:tblStylePr>
    <w:tblStylePr w:type="firstCol">
      <w:rPr>
        <w:color w:val="FFFFFF" w:themeColor="background1"/>
      </w:rPr>
      <w:tblPr/>
      <w:tcPr>
        <w:shd w:val="clear" w:color="auto" w:fill="007771" w:themeFill="accent6" w:themeFillShade="BF"/>
      </w:tcPr>
    </w:tblStylePr>
    <w:tblStylePr w:type="lastCol">
      <w:rPr>
        <w:color w:val="FFFFFF" w:themeColor="background1"/>
      </w:rPr>
      <w:tblPr/>
      <w:tcPr>
        <w:shd w:val="clear" w:color="auto" w:fill="007771" w:themeFill="accent6" w:themeFillShade="BF"/>
      </w:tcPr>
    </w:tblStylePr>
    <w:tblStylePr w:type="band1Vert">
      <w:tblPr/>
      <w:tcPr>
        <w:shd w:val="clear" w:color="auto" w:fill="50FFF6" w:themeFill="accent6" w:themeFillTint="7F"/>
      </w:tcPr>
    </w:tblStylePr>
    <w:tblStylePr w:type="band1Horz">
      <w:tblPr/>
      <w:tcPr>
        <w:shd w:val="clear" w:color="auto" w:fill="50FFF6"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DAFAFA" w:themeFill="accent1"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3F3" w:themeFill="accent1" w:themeFillTint="3F"/>
      </w:tcPr>
    </w:tblStylePr>
    <w:tblStylePr w:type="band1Horz">
      <w:tblPr/>
      <w:tcPr>
        <w:shd w:val="clear" w:color="auto" w:fill="B5F5F5"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DDFFF4" w:themeFill="accent2" w:themeFillTint="19"/>
    </w:tcPr>
    <w:tblStylePr w:type="firstRow">
      <w:rPr>
        <w:b/>
        <w:bCs/>
        <w:color w:val="FFFFFF" w:themeColor="background1"/>
      </w:rPr>
      <w:tblPr/>
      <w:tcPr>
        <w:tcBorders>
          <w:bottom w:val="single" w:sz="12" w:space="0" w:color="FFFFFF" w:themeColor="background1"/>
        </w:tcBorders>
        <w:shd w:val="clear" w:color="auto" w:fill="00845B" w:themeFill="accent2" w:themeFillShade="CC"/>
      </w:tcPr>
    </w:tblStylePr>
    <w:tblStylePr w:type="lastRow">
      <w:rPr>
        <w:b/>
        <w:bCs/>
        <w:color w:val="00845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4" w:themeFill="accent2" w:themeFillTint="3F"/>
      </w:tcPr>
    </w:tblStylePr>
    <w:tblStylePr w:type="band1Horz">
      <w:tblPr/>
      <w:tcPr>
        <w:shd w:val="clear" w:color="auto" w:fill="BAFFE9"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FDBEA" w:themeFill="accent3" w:themeFillTint="19"/>
    </w:tcPr>
    <w:tblStylePr w:type="firstRow">
      <w:rPr>
        <w:b/>
        <w:bCs/>
        <w:color w:val="FFFFFF" w:themeColor="background1"/>
      </w:rPr>
      <w:tblPr/>
      <w:tcPr>
        <w:tcBorders>
          <w:bottom w:val="single" w:sz="12" w:space="0" w:color="FFFFFF" w:themeColor="background1"/>
        </w:tcBorders>
        <w:shd w:val="clear" w:color="auto" w:fill="A81D3B" w:themeFill="accent4" w:themeFillShade="CC"/>
      </w:tcPr>
    </w:tblStylePr>
    <w:tblStylePr w:type="lastRow">
      <w:rPr>
        <w:b/>
        <w:bCs/>
        <w:color w:val="A81D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CA" w:themeFill="accent3" w:themeFillTint="3F"/>
      </w:tcPr>
    </w:tblStylePr>
    <w:tblStylePr w:type="band1Horz">
      <w:tblPr/>
      <w:tcPr>
        <w:shd w:val="clear" w:color="auto" w:fill="FFB6D4"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E8EC" w:themeFill="accent4" w:themeFillTint="19"/>
    </w:tcPr>
    <w:tblStylePr w:type="firstRow">
      <w:rPr>
        <w:b/>
        <w:bCs/>
        <w:color w:val="FFFFFF" w:themeColor="background1"/>
      </w:rPr>
      <w:tblPr/>
      <w:tcPr>
        <w:tcBorders>
          <w:bottom w:val="single" w:sz="12" w:space="0" w:color="FFFFFF" w:themeColor="background1"/>
        </w:tcBorders>
        <w:shd w:val="clear" w:color="auto" w:fill="750030" w:themeFill="accent3" w:themeFillShade="CC"/>
      </w:tcPr>
    </w:tblStylePr>
    <w:tblStylePr w:type="lastRow">
      <w:rPr>
        <w:b/>
        <w:bCs/>
        <w:color w:val="7500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7D1" w:themeFill="accent4" w:themeFillTint="3F"/>
      </w:tcPr>
    </w:tblStylePr>
    <w:tblStylePr w:type="band1Horz">
      <w:tblPr/>
      <w:tcPr>
        <w:shd w:val="clear" w:color="auto" w:fill="F7D2D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FF9F8" w:themeFill="accent5" w:themeFillTint="19"/>
    </w:tcPr>
    <w:tblStylePr w:type="firstRow">
      <w:rPr>
        <w:b/>
        <w:bCs/>
        <w:color w:val="FFFFFF" w:themeColor="background1"/>
      </w:rPr>
      <w:tblPr/>
      <w:tcPr>
        <w:tcBorders>
          <w:bottom w:val="single" w:sz="12" w:space="0" w:color="FFFFFF" w:themeColor="background1"/>
        </w:tcBorders>
        <w:shd w:val="clear" w:color="auto" w:fill="008079" w:themeFill="accent6" w:themeFillShade="CC"/>
      </w:tcPr>
    </w:tblStylePr>
    <w:tblStylePr w:type="lastRow">
      <w:rPr>
        <w:b/>
        <w:bCs/>
        <w:color w:val="0080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FEF" w:themeFill="accent5" w:themeFillTint="3F"/>
      </w:tcPr>
    </w:tblStylePr>
    <w:tblStylePr w:type="band1Horz">
      <w:tblPr/>
      <w:tcPr>
        <w:shd w:val="clear" w:color="auto" w:fill="DFF2F2"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DCFFFD" w:themeFill="accent6" w:themeFillTint="19"/>
    </w:tcPr>
    <w:tblStylePr w:type="firstRow">
      <w:rPr>
        <w:b/>
        <w:bCs/>
        <w:color w:val="FFFFFF" w:themeColor="background1"/>
      </w:rPr>
      <w:tblPr/>
      <w:tcPr>
        <w:tcBorders>
          <w:bottom w:val="single" w:sz="12" w:space="0" w:color="FFFFFF" w:themeColor="background1"/>
        </w:tcBorders>
        <w:shd w:val="clear" w:color="auto" w:fill="41A6A4" w:themeFill="accent5" w:themeFillShade="CC"/>
      </w:tcPr>
    </w:tblStylePr>
    <w:tblStylePr w:type="lastRow">
      <w:rPr>
        <w:b/>
        <w:bCs/>
        <w:color w:val="41A6A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A" w:themeFill="accent6" w:themeFillTint="3F"/>
      </w:tcPr>
    </w:tblStylePr>
    <w:tblStylePr w:type="band1Horz">
      <w:tblPr/>
      <w:tcPr>
        <w:shd w:val="clear" w:color="auto" w:fill="B9FFFB"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00A67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00A673" w:themeColor="accent2"/>
        <w:left w:val="single" w:sz="4" w:space="0" w:color="0B5656" w:themeColor="accent1"/>
        <w:bottom w:val="single" w:sz="4" w:space="0" w:color="0B5656" w:themeColor="accent1"/>
        <w:right w:val="single" w:sz="4" w:space="0" w:color="0B5656" w:themeColor="accent1"/>
        <w:insideH w:val="single" w:sz="4" w:space="0" w:color="FFFFFF" w:themeColor="background1"/>
        <w:insideV w:val="single" w:sz="4" w:space="0" w:color="FFFFFF" w:themeColor="background1"/>
      </w:tblBorders>
    </w:tblPr>
    <w:tcPr>
      <w:shd w:val="clear" w:color="auto" w:fill="DAFAFA" w:themeFill="accent1"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3333" w:themeFill="accent1" w:themeFillShade="99"/>
      </w:tcPr>
    </w:tblStylePr>
    <w:tblStylePr w:type="firstCol">
      <w:rPr>
        <w:color w:val="FFFFFF" w:themeColor="background1"/>
      </w:rPr>
      <w:tblPr/>
      <w:tcPr>
        <w:tcBorders>
          <w:top w:val="nil"/>
          <w:left w:val="nil"/>
          <w:bottom w:val="nil"/>
          <w:right w:val="nil"/>
          <w:insideH w:val="single" w:sz="4" w:space="0" w:color="063333" w:themeColor="accent1" w:themeShade="99"/>
          <w:insideV w:val="nil"/>
        </w:tcBorders>
        <w:shd w:val="clear" w:color="auto" w:fill="06333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3333" w:themeFill="accent1" w:themeFillShade="99"/>
      </w:tcPr>
    </w:tblStylePr>
    <w:tblStylePr w:type="band1Vert">
      <w:tblPr/>
      <w:tcPr>
        <w:shd w:val="clear" w:color="auto" w:fill="6CECEC" w:themeFill="accent1" w:themeFillTint="66"/>
      </w:tcPr>
    </w:tblStylePr>
    <w:tblStylePr w:type="band1Horz">
      <w:tblPr/>
      <w:tcPr>
        <w:shd w:val="clear" w:color="auto" w:fill="48E7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00A673" w:themeColor="accent2"/>
        <w:left w:val="single" w:sz="4" w:space="0" w:color="00A673" w:themeColor="accent2"/>
        <w:bottom w:val="single" w:sz="4" w:space="0" w:color="00A673" w:themeColor="accent2"/>
        <w:right w:val="single" w:sz="4" w:space="0" w:color="00A673" w:themeColor="accent2"/>
        <w:insideH w:val="single" w:sz="4" w:space="0" w:color="FFFFFF" w:themeColor="background1"/>
        <w:insideV w:val="single" w:sz="4" w:space="0" w:color="FFFFFF" w:themeColor="background1"/>
      </w:tblBorders>
    </w:tblPr>
    <w:tcPr>
      <w:shd w:val="clear" w:color="auto" w:fill="DDFFF4" w:themeFill="accent2" w:themeFillTint="19"/>
    </w:tcPr>
    <w:tblStylePr w:type="firstRow">
      <w:rPr>
        <w:b/>
        <w:bCs/>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44" w:themeFill="accent2" w:themeFillShade="99"/>
      </w:tcPr>
    </w:tblStylePr>
    <w:tblStylePr w:type="firstCol">
      <w:rPr>
        <w:color w:val="FFFFFF" w:themeColor="background1"/>
      </w:rPr>
      <w:tblPr/>
      <w:tcPr>
        <w:tcBorders>
          <w:top w:val="nil"/>
          <w:left w:val="nil"/>
          <w:bottom w:val="nil"/>
          <w:right w:val="nil"/>
          <w:insideH w:val="single" w:sz="4" w:space="0" w:color="006344" w:themeColor="accent2" w:themeShade="99"/>
          <w:insideV w:val="nil"/>
        </w:tcBorders>
        <w:shd w:val="clear" w:color="auto" w:fill="0063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344" w:themeFill="accent2" w:themeFillShade="99"/>
      </w:tcPr>
    </w:tblStylePr>
    <w:tblStylePr w:type="band1Vert">
      <w:tblPr/>
      <w:tcPr>
        <w:shd w:val="clear" w:color="auto" w:fill="75FFD4" w:themeFill="accent2" w:themeFillTint="66"/>
      </w:tcPr>
    </w:tblStylePr>
    <w:tblStylePr w:type="band1Horz">
      <w:tblPr/>
      <w:tcPr>
        <w:shd w:val="clear" w:color="auto" w:fill="53FF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3254A" w:themeColor="accent4"/>
        <w:left w:val="single" w:sz="4" w:space="0" w:color="93003D" w:themeColor="accent3"/>
        <w:bottom w:val="single" w:sz="4" w:space="0" w:color="93003D" w:themeColor="accent3"/>
        <w:right w:val="single" w:sz="4" w:space="0" w:color="93003D" w:themeColor="accent3"/>
        <w:insideH w:val="single" w:sz="4" w:space="0" w:color="FFFFFF" w:themeColor="background1"/>
        <w:insideV w:val="single" w:sz="4" w:space="0" w:color="FFFFFF" w:themeColor="background1"/>
      </w:tblBorders>
    </w:tblPr>
    <w:tcPr>
      <w:shd w:val="clear" w:color="auto" w:fill="FFDBEA" w:themeFill="accent3" w:themeFillTint="19"/>
    </w:tcPr>
    <w:tblStylePr w:type="firstRow">
      <w:rPr>
        <w:b/>
        <w:bCs/>
      </w:rPr>
      <w:tblPr/>
      <w:tcPr>
        <w:tcBorders>
          <w:top w:val="nil"/>
          <w:left w:val="nil"/>
          <w:bottom w:val="single" w:sz="24" w:space="0" w:color="D3254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0024" w:themeFill="accent3" w:themeFillShade="99"/>
      </w:tcPr>
    </w:tblStylePr>
    <w:tblStylePr w:type="firstCol">
      <w:rPr>
        <w:color w:val="FFFFFF" w:themeColor="background1"/>
      </w:rPr>
      <w:tblPr/>
      <w:tcPr>
        <w:tcBorders>
          <w:top w:val="nil"/>
          <w:left w:val="nil"/>
          <w:bottom w:val="nil"/>
          <w:right w:val="nil"/>
          <w:insideH w:val="single" w:sz="4" w:space="0" w:color="580024" w:themeColor="accent3" w:themeShade="99"/>
          <w:insideV w:val="nil"/>
        </w:tcBorders>
        <w:shd w:val="clear" w:color="auto" w:fill="5800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0024" w:themeFill="accent3" w:themeFillShade="99"/>
      </w:tcPr>
    </w:tblStylePr>
    <w:tblStylePr w:type="band1Vert">
      <w:tblPr/>
      <w:tcPr>
        <w:shd w:val="clear" w:color="auto" w:fill="FF6DA9" w:themeFill="accent3" w:themeFillTint="66"/>
      </w:tcPr>
    </w:tblStylePr>
    <w:tblStylePr w:type="band1Horz">
      <w:tblPr/>
      <w:tcPr>
        <w:shd w:val="clear" w:color="auto" w:fill="FF4A94"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93003D" w:themeColor="accent3"/>
        <w:left w:val="single" w:sz="4" w:space="0" w:color="D3254A" w:themeColor="accent4"/>
        <w:bottom w:val="single" w:sz="4" w:space="0" w:color="D3254A" w:themeColor="accent4"/>
        <w:right w:val="single" w:sz="4" w:space="0" w:color="D3254A" w:themeColor="accent4"/>
        <w:insideH w:val="single" w:sz="4" w:space="0" w:color="FFFFFF" w:themeColor="background1"/>
        <w:insideV w:val="single" w:sz="4" w:space="0" w:color="FFFFFF" w:themeColor="background1"/>
      </w:tblBorders>
    </w:tblPr>
    <w:tcPr>
      <w:shd w:val="clear" w:color="auto" w:fill="FBE8EC" w:themeFill="accent4" w:themeFillTint="19"/>
    </w:tcPr>
    <w:tblStylePr w:type="firstRow">
      <w:rPr>
        <w:b/>
        <w:bCs/>
      </w:rPr>
      <w:tblPr/>
      <w:tcPr>
        <w:tcBorders>
          <w:top w:val="nil"/>
          <w:left w:val="nil"/>
          <w:bottom w:val="single" w:sz="24" w:space="0" w:color="9300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62C" w:themeFill="accent4" w:themeFillShade="99"/>
      </w:tcPr>
    </w:tblStylePr>
    <w:tblStylePr w:type="firstCol">
      <w:rPr>
        <w:color w:val="FFFFFF" w:themeColor="background1"/>
      </w:rPr>
      <w:tblPr/>
      <w:tcPr>
        <w:tcBorders>
          <w:top w:val="nil"/>
          <w:left w:val="nil"/>
          <w:bottom w:val="nil"/>
          <w:right w:val="nil"/>
          <w:insideH w:val="single" w:sz="4" w:space="0" w:color="7E162C" w:themeColor="accent4" w:themeShade="99"/>
          <w:insideV w:val="nil"/>
        </w:tcBorders>
        <w:shd w:val="clear" w:color="auto" w:fill="7E16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E162C" w:themeFill="accent4" w:themeFillShade="99"/>
      </w:tcPr>
    </w:tblStylePr>
    <w:tblStylePr w:type="band1Vert">
      <w:tblPr/>
      <w:tcPr>
        <w:shd w:val="clear" w:color="auto" w:fill="EFA5B5" w:themeFill="accent4" w:themeFillTint="66"/>
      </w:tcPr>
    </w:tblStylePr>
    <w:tblStylePr w:type="band1Horz">
      <w:tblPr/>
      <w:tcPr>
        <w:shd w:val="clear" w:color="auto" w:fill="EB8F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00A098" w:themeColor="accent6"/>
        <w:left w:val="single" w:sz="4" w:space="0" w:color="61C1BF" w:themeColor="accent5"/>
        <w:bottom w:val="single" w:sz="4" w:space="0" w:color="61C1BF" w:themeColor="accent5"/>
        <w:right w:val="single" w:sz="4" w:space="0" w:color="61C1BF" w:themeColor="accent5"/>
        <w:insideH w:val="single" w:sz="4" w:space="0" w:color="FFFFFF" w:themeColor="background1"/>
        <w:insideV w:val="single" w:sz="4" w:space="0" w:color="FFFFFF" w:themeColor="background1"/>
      </w:tblBorders>
    </w:tblPr>
    <w:tcPr>
      <w:shd w:val="clear" w:color="auto" w:fill="EFF9F8" w:themeFill="accent5" w:themeFillTint="19"/>
    </w:tcPr>
    <w:tblStylePr w:type="firstRow">
      <w:rPr>
        <w:b/>
        <w:bCs/>
      </w:rPr>
      <w:tblPr/>
      <w:tcPr>
        <w:tcBorders>
          <w:top w:val="nil"/>
          <w:left w:val="nil"/>
          <w:bottom w:val="single" w:sz="24" w:space="0" w:color="00A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C7B" w:themeFill="accent5" w:themeFillShade="99"/>
      </w:tcPr>
    </w:tblStylePr>
    <w:tblStylePr w:type="firstCol">
      <w:rPr>
        <w:color w:val="FFFFFF" w:themeColor="background1"/>
      </w:rPr>
      <w:tblPr/>
      <w:tcPr>
        <w:tcBorders>
          <w:top w:val="nil"/>
          <w:left w:val="nil"/>
          <w:bottom w:val="nil"/>
          <w:right w:val="nil"/>
          <w:insideH w:val="single" w:sz="4" w:space="0" w:color="317C7B" w:themeColor="accent5" w:themeShade="99"/>
          <w:insideV w:val="nil"/>
        </w:tcBorders>
        <w:shd w:val="clear" w:color="auto" w:fill="317C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7C7B" w:themeFill="accent5" w:themeFillShade="99"/>
      </w:tcPr>
    </w:tblStylePr>
    <w:tblStylePr w:type="band1Vert">
      <w:tblPr/>
      <w:tcPr>
        <w:shd w:val="clear" w:color="auto" w:fill="BFE6E5" w:themeFill="accent5" w:themeFillTint="66"/>
      </w:tcPr>
    </w:tblStylePr>
    <w:tblStylePr w:type="band1Horz">
      <w:tblPr/>
      <w:tcPr>
        <w:shd w:val="clear" w:color="auto" w:fill="B0E0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61C1BF" w:themeColor="accent5"/>
        <w:left w:val="single" w:sz="4" w:space="0" w:color="00A098" w:themeColor="accent6"/>
        <w:bottom w:val="single" w:sz="4" w:space="0" w:color="00A098" w:themeColor="accent6"/>
        <w:right w:val="single" w:sz="4" w:space="0" w:color="00A098" w:themeColor="accent6"/>
        <w:insideH w:val="single" w:sz="4" w:space="0" w:color="FFFFFF" w:themeColor="background1"/>
        <w:insideV w:val="single" w:sz="4" w:space="0" w:color="FFFFFF" w:themeColor="background1"/>
      </w:tblBorders>
    </w:tblPr>
    <w:tcPr>
      <w:shd w:val="clear" w:color="auto" w:fill="DCFFFD" w:themeFill="accent6" w:themeFillTint="19"/>
    </w:tcPr>
    <w:tblStylePr w:type="firstRow">
      <w:rPr>
        <w:b/>
        <w:bCs/>
      </w:rPr>
      <w:tblPr/>
      <w:tcPr>
        <w:tcBorders>
          <w:top w:val="nil"/>
          <w:left w:val="nil"/>
          <w:bottom w:val="single" w:sz="24" w:space="0" w:color="61C1B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B" w:themeFill="accent6" w:themeFillShade="99"/>
      </w:tcPr>
    </w:tblStylePr>
    <w:tblStylePr w:type="firstCol">
      <w:rPr>
        <w:color w:val="FFFFFF" w:themeColor="background1"/>
      </w:rPr>
      <w:tblPr/>
      <w:tcPr>
        <w:tcBorders>
          <w:top w:val="nil"/>
          <w:left w:val="nil"/>
          <w:bottom w:val="nil"/>
          <w:right w:val="nil"/>
          <w:insideH w:val="single" w:sz="4" w:space="0" w:color="00605B" w:themeColor="accent6" w:themeShade="99"/>
          <w:insideV w:val="nil"/>
        </w:tcBorders>
        <w:shd w:val="clear" w:color="auto" w:fill="0060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05B" w:themeFill="accent6" w:themeFillShade="99"/>
      </w:tcPr>
    </w:tblStylePr>
    <w:tblStylePr w:type="band1Vert">
      <w:tblPr/>
      <w:tcPr>
        <w:shd w:val="clear" w:color="auto" w:fill="73FFF7" w:themeFill="accent6" w:themeFillTint="66"/>
      </w:tcPr>
    </w:tblStylePr>
    <w:tblStylePr w:type="band1Horz">
      <w:tblPr/>
      <w:tcPr>
        <w:shd w:val="clear" w:color="auto" w:fill="50FFF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0B565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A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404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4040" w:themeFill="accent1" w:themeFillShade="BF"/>
      </w:tcPr>
    </w:tblStylePr>
    <w:tblStylePr w:type="band1Vert">
      <w:tblPr/>
      <w:tcPr>
        <w:tcBorders>
          <w:top w:val="nil"/>
          <w:left w:val="nil"/>
          <w:bottom w:val="nil"/>
          <w:right w:val="nil"/>
          <w:insideH w:val="nil"/>
          <w:insideV w:val="nil"/>
        </w:tcBorders>
        <w:shd w:val="clear" w:color="auto" w:fill="084040" w:themeFill="accent1" w:themeFillShade="BF"/>
      </w:tcPr>
    </w:tblStylePr>
    <w:tblStylePr w:type="band1Horz">
      <w:tblPr/>
      <w:tcPr>
        <w:tcBorders>
          <w:top w:val="nil"/>
          <w:left w:val="nil"/>
          <w:bottom w:val="nil"/>
          <w:right w:val="nil"/>
          <w:insideH w:val="nil"/>
          <w:insideV w:val="nil"/>
        </w:tcBorders>
        <w:shd w:val="clear" w:color="auto" w:fill="084040"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00A67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C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C55" w:themeFill="accent2" w:themeFillShade="BF"/>
      </w:tcPr>
    </w:tblStylePr>
    <w:tblStylePr w:type="band1Vert">
      <w:tblPr/>
      <w:tcPr>
        <w:tcBorders>
          <w:top w:val="nil"/>
          <w:left w:val="nil"/>
          <w:bottom w:val="nil"/>
          <w:right w:val="nil"/>
          <w:insideH w:val="nil"/>
          <w:insideV w:val="nil"/>
        </w:tcBorders>
        <w:shd w:val="clear" w:color="auto" w:fill="007C55" w:themeFill="accent2" w:themeFillShade="BF"/>
      </w:tcPr>
    </w:tblStylePr>
    <w:tblStylePr w:type="band1Horz">
      <w:tblPr/>
      <w:tcPr>
        <w:tcBorders>
          <w:top w:val="nil"/>
          <w:left w:val="nil"/>
          <w:bottom w:val="nil"/>
          <w:right w:val="nil"/>
          <w:insideH w:val="nil"/>
          <w:insideV w:val="nil"/>
        </w:tcBorders>
        <w:shd w:val="clear" w:color="auto" w:fill="007C55"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9300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00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E00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E002D" w:themeFill="accent3" w:themeFillShade="BF"/>
      </w:tcPr>
    </w:tblStylePr>
    <w:tblStylePr w:type="band1Vert">
      <w:tblPr/>
      <w:tcPr>
        <w:tcBorders>
          <w:top w:val="nil"/>
          <w:left w:val="nil"/>
          <w:bottom w:val="nil"/>
          <w:right w:val="nil"/>
          <w:insideH w:val="nil"/>
          <w:insideV w:val="nil"/>
        </w:tcBorders>
        <w:shd w:val="clear" w:color="auto" w:fill="6E002D" w:themeFill="accent3" w:themeFillShade="BF"/>
      </w:tcPr>
    </w:tblStylePr>
    <w:tblStylePr w:type="band1Horz">
      <w:tblPr/>
      <w:tcPr>
        <w:tcBorders>
          <w:top w:val="nil"/>
          <w:left w:val="nil"/>
          <w:bottom w:val="nil"/>
          <w:right w:val="nil"/>
          <w:insideH w:val="nil"/>
          <w:insideV w:val="nil"/>
        </w:tcBorders>
        <w:shd w:val="clear" w:color="auto" w:fill="6E002D"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3254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12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1B3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1B37" w:themeFill="accent4" w:themeFillShade="BF"/>
      </w:tcPr>
    </w:tblStylePr>
    <w:tblStylePr w:type="band1Vert">
      <w:tblPr/>
      <w:tcPr>
        <w:tcBorders>
          <w:top w:val="nil"/>
          <w:left w:val="nil"/>
          <w:bottom w:val="nil"/>
          <w:right w:val="nil"/>
          <w:insideH w:val="nil"/>
          <w:insideV w:val="nil"/>
        </w:tcBorders>
        <w:shd w:val="clear" w:color="auto" w:fill="9D1B37" w:themeFill="accent4" w:themeFillShade="BF"/>
      </w:tcPr>
    </w:tblStylePr>
    <w:tblStylePr w:type="band1Horz">
      <w:tblPr/>
      <w:tcPr>
        <w:tcBorders>
          <w:top w:val="nil"/>
          <w:left w:val="nil"/>
          <w:bottom w:val="nil"/>
          <w:right w:val="nil"/>
          <w:insideH w:val="nil"/>
          <w:insideV w:val="nil"/>
        </w:tcBorders>
        <w:shd w:val="clear" w:color="auto" w:fill="9D1B37"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61C1B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67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D9B9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D9B99" w:themeFill="accent5" w:themeFillShade="BF"/>
      </w:tcPr>
    </w:tblStylePr>
    <w:tblStylePr w:type="band1Vert">
      <w:tblPr/>
      <w:tcPr>
        <w:tcBorders>
          <w:top w:val="nil"/>
          <w:left w:val="nil"/>
          <w:bottom w:val="nil"/>
          <w:right w:val="nil"/>
          <w:insideH w:val="nil"/>
          <w:insideV w:val="nil"/>
        </w:tcBorders>
        <w:shd w:val="clear" w:color="auto" w:fill="3D9B99" w:themeFill="accent5" w:themeFillShade="BF"/>
      </w:tcPr>
    </w:tblStylePr>
    <w:tblStylePr w:type="band1Horz">
      <w:tblPr/>
      <w:tcPr>
        <w:tcBorders>
          <w:top w:val="nil"/>
          <w:left w:val="nil"/>
          <w:bottom w:val="nil"/>
          <w:right w:val="nil"/>
          <w:insideH w:val="nil"/>
          <w:insideV w:val="nil"/>
        </w:tcBorders>
        <w:shd w:val="clear" w:color="auto" w:fill="3D9B99"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00A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7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771" w:themeFill="accent6" w:themeFillShade="BF"/>
      </w:tcPr>
    </w:tblStylePr>
    <w:tblStylePr w:type="band1Vert">
      <w:tblPr/>
      <w:tcPr>
        <w:tcBorders>
          <w:top w:val="nil"/>
          <w:left w:val="nil"/>
          <w:bottom w:val="nil"/>
          <w:right w:val="nil"/>
          <w:insideH w:val="nil"/>
          <w:insideV w:val="nil"/>
        </w:tcBorders>
        <w:shd w:val="clear" w:color="auto" w:fill="007771" w:themeFill="accent6" w:themeFillShade="BF"/>
      </w:tcPr>
    </w:tblStylePr>
    <w:tblStylePr w:type="band1Horz">
      <w:tblPr/>
      <w:tcPr>
        <w:tcBorders>
          <w:top w:val="nil"/>
          <w:left w:val="nil"/>
          <w:bottom w:val="nil"/>
          <w:right w:val="nil"/>
          <w:insideH w:val="nil"/>
          <w:insideV w:val="nil"/>
        </w:tcBorders>
        <w:shd w:val="clear" w:color="auto" w:fill="007771"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6CECEC" w:themeColor="accent1" w:themeTint="66"/>
        <w:left w:val="single" w:sz="4" w:space="0" w:color="6CECEC" w:themeColor="accent1" w:themeTint="66"/>
        <w:bottom w:val="single" w:sz="4" w:space="0" w:color="6CECEC" w:themeColor="accent1" w:themeTint="66"/>
        <w:right w:val="single" w:sz="4" w:space="0" w:color="6CECEC" w:themeColor="accent1" w:themeTint="66"/>
        <w:insideH w:val="single" w:sz="4" w:space="0" w:color="6CECEC" w:themeColor="accent1" w:themeTint="66"/>
        <w:insideV w:val="single" w:sz="4" w:space="0" w:color="6CECEC" w:themeColor="accent1" w:themeTint="66"/>
      </w:tblBorders>
    </w:tblPr>
    <w:tblStylePr w:type="firstRow">
      <w:rPr>
        <w:b/>
        <w:bCs/>
      </w:rPr>
      <w:tblPr/>
      <w:tcPr>
        <w:tcBorders>
          <w:bottom w:val="single" w:sz="12" w:space="0" w:color="23E2E2" w:themeColor="accent1" w:themeTint="99"/>
        </w:tcBorders>
      </w:tcPr>
    </w:tblStylePr>
    <w:tblStylePr w:type="lastRow">
      <w:rPr>
        <w:b/>
        <w:bCs/>
      </w:rPr>
      <w:tblPr/>
      <w:tcPr>
        <w:tcBorders>
          <w:top w:val="double" w:sz="2" w:space="0" w:color="23E2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75FFD4" w:themeColor="accent2" w:themeTint="66"/>
        <w:left w:val="single" w:sz="4" w:space="0" w:color="75FFD4" w:themeColor="accent2" w:themeTint="66"/>
        <w:bottom w:val="single" w:sz="4" w:space="0" w:color="75FFD4" w:themeColor="accent2" w:themeTint="66"/>
        <w:right w:val="single" w:sz="4" w:space="0" w:color="75FFD4" w:themeColor="accent2" w:themeTint="66"/>
        <w:insideH w:val="single" w:sz="4" w:space="0" w:color="75FFD4" w:themeColor="accent2" w:themeTint="66"/>
        <w:insideV w:val="single" w:sz="4" w:space="0" w:color="75FFD4" w:themeColor="accent2" w:themeTint="66"/>
      </w:tblBorders>
    </w:tblPr>
    <w:tblStylePr w:type="firstRow">
      <w:rPr>
        <w:b/>
        <w:bCs/>
      </w:rPr>
      <w:tblPr/>
      <w:tcPr>
        <w:tcBorders>
          <w:bottom w:val="single" w:sz="12" w:space="0" w:color="30FFBE" w:themeColor="accent2" w:themeTint="99"/>
        </w:tcBorders>
      </w:tcPr>
    </w:tblStylePr>
    <w:tblStylePr w:type="lastRow">
      <w:rPr>
        <w:b/>
        <w:bCs/>
      </w:rPr>
      <w:tblPr/>
      <w:tcPr>
        <w:tcBorders>
          <w:top w:val="double" w:sz="2" w:space="0" w:color="30FFB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FF6DA9" w:themeColor="accent3" w:themeTint="66"/>
        <w:left w:val="single" w:sz="4" w:space="0" w:color="FF6DA9" w:themeColor="accent3" w:themeTint="66"/>
        <w:bottom w:val="single" w:sz="4" w:space="0" w:color="FF6DA9" w:themeColor="accent3" w:themeTint="66"/>
        <w:right w:val="single" w:sz="4" w:space="0" w:color="FF6DA9" w:themeColor="accent3" w:themeTint="66"/>
        <w:insideH w:val="single" w:sz="4" w:space="0" w:color="FF6DA9" w:themeColor="accent3" w:themeTint="66"/>
        <w:insideV w:val="single" w:sz="4" w:space="0" w:color="FF6DA9" w:themeColor="accent3" w:themeTint="66"/>
      </w:tblBorders>
    </w:tblPr>
    <w:tblStylePr w:type="firstRow">
      <w:rPr>
        <w:b/>
        <w:bCs/>
      </w:rPr>
      <w:tblPr/>
      <w:tcPr>
        <w:tcBorders>
          <w:bottom w:val="single" w:sz="12" w:space="0" w:color="FF257E" w:themeColor="accent3" w:themeTint="99"/>
        </w:tcBorders>
      </w:tcPr>
    </w:tblStylePr>
    <w:tblStylePr w:type="lastRow">
      <w:rPr>
        <w:b/>
        <w:bCs/>
      </w:rPr>
      <w:tblPr/>
      <w:tcPr>
        <w:tcBorders>
          <w:top w:val="double" w:sz="2" w:space="0" w:color="FF25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EFA5B5" w:themeColor="accent4" w:themeTint="66"/>
        <w:left w:val="single" w:sz="4" w:space="0" w:color="EFA5B5" w:themeColor="accent4" w:themeTint="66"/>
        <w:bottom w:val="single" w:sz="4" w:space="0" w:color="EFA5B5" w:themeColor="accent4" w:themeTint="66"/>
        <w:right w:val="single" w:sz="4" w:space="0" w:color="EFA5B5" w:themeColor="accent4" w:themeTint="66"/>
        <w:insideH w:val="single" w:sz="4" w:space="0" w:color="EFA5B5" w:themeColor="accent4" w:themeTint="66"/>
        <w:insideV w:val="single" w:sz="4" w:space="0" w:color="EFA5B5" w:themeColor="accent4" w:themeTint="66"/>
      </w:tblBorders>
    </w:tblPr>
    <w:tblStylePr w:type="firstRow">
      <w:rPr>
        <w:b/>
        <w:bCs/>
      </w:rPr>
      <w:tblPr/>
      <w:tcPr>
        <w:tcBorders>
          <w:bottom w:val="single" w:sz="12" w:space="0" w:color="E77990" w:themeColor="accent4" w:themeTint="99"/>
        </w:tcBorders>
      </w:tcPr>
    </w:tblStylePr>
    <w:tblStylePr w:type="lastRow">
      <w:rPr>
        <w:b/>
        <w:bCs/>
      </w:rPr>
      <w:tblPr/>
      <w:tcPr>
        <w:tcBorders>
          <w:top w:val="double" w:sz="2" w:space="0" w:color="E7799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BFE6E5" w:themeColor="accent5" w:themeTint="66"/>
        <w:left w:val="single" w:sz="4" w:space="0" w:color="BFE6E5" w:themeColor="accent5" w:themeTint="66"/>
        <w:bottom w:val="single" w:sz="4" w:space="0" w:color="BFE6E5" w:themeColor="accent5" w:themeTint="66"/>
        <w:right w:val="single" w:sz="4" w:space="0" w:color="BFE6E5" w:themeColor="accent5" w:themeTint="66"/>
        <w:insideH w:val="single" w:sz="4" w:space="0" w:color="BFE6E5" w:themeColor="accent5" w:themeTint="66"/>
        <w:insideV w:val="single" w:sz="4" w:space="0" w:color="BFE6E5" w:themeColor="accent5" w:themeTint="66"/>
      </w:tblBorders>
    </w:tblPr>
    <w:tblStylePr w:type="firstRow">
      <w:rPr>
        <w:b/>
        <w:bCs/>
      </w:rPr>
      <w:tblPr/>
      <w:tcPr>
        <w:tcBorders>
          <w:bottom w:val="single" w:sz="12" w:space="0" w:color="A0D9D8" w:themeColor="accent5" w:themeTint="99"/>
        </w:tcBorders>
      </w:tcPr>
    </w:tblStylePr>
    <w:tblStylePr w:type="lastRow">
      <w:rPr>
        <w:b/>
        <w:bCs/>
      </w:rPr>
      <w:tblPr/>
      <w:tcPr>
        <w:tcBorders>
          <w:top w:val="double" w:sz="2" w:space="0" w:color="A0D9D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73FFF7" w:themeColor="accent6" w:themeTint="66"/>
        <w:left w:val="single" w:sz="4" w:space="0" w:color="73FFF7" w:themeColor="accent6" w:themeTint="66"/>
        <w:bottom w:val="single" w:sz="4" w:space="0" w:color="73FFF7" w:themeColor="accent6" w:themeTint="66"/>
        <w:right w:val="single" w:sz="4" w:space="0" w:color="73FFF7" w:themeColor="accent6" w:themeTint="66"/>
        <w:insideH w:val="single" w:sz="4" w:space="0" w:color="73FFF7" w:themeColor="accent6" w:themeTint="66"/>
        <w:insideV w:val="single" w:sz="4" w:space="0" w:color="73FFF7" w:themeColor="accent6" w:themeTint="66"/>
      </w:tblBorders>
    </w:tblPr>
    <w:tblStylePr w:type="firstRow">
      <w:rPr>
        <w:b/>
        <w:bCs/>
      </w:rPr>
      <w:tblPr/>
      <w:tcPr>
        <w:tcBorders>
          <w:bottom w:val="single" w:sz="12" w:space="0" w:color="2DFFF4" w:themeColor="accent6" w:themeTint="99"/>
        </w:tcBorders>
      </w:tcPr>
    </w:tblStylePr>
    <w:tblStylePr w:type="lastRow">
      <w:rPr>
        <w:b/>
        <w:bCs/>
      </w:rPr>
      <w:tblPr/>
      <w:tcPr>
        <w:tcBorders>
          <w:top w:val="double" w:sz="2" w:space="0" w:color="2DFF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23E2E2" w:themeColor="accent1" w:themeTint="99"/>
        <w:bottom w:val="single" w:sz="2" w:space="0" w:color="23E2E2" w:themeColor="accent1" w:themeTint="99"/>
        <w:insideH w:val="single" w:sz="2" w:space="0" w:color="23E2E2" w:themeColor="accent1" w:themeTint="99"/>
        <w:insideV w:val="single" w:sz="2" w:space="0" w:color="23E2E2" w:themeColor="accent1" w:themeTint="99"/>
      </w:tblBorders>
    </w:tblPr>
    <w:tblStylePr w:type="firstRow">
      <w:rPr>
        <w:b/>
        <w:bCs/>
      </w:rPr>
      <w:tblPr/>
      <w:tcPr>
        <w:tcBorders>
          <w:top w:val="nil"/>
          <w:bottom w:val="single" w:sz="12" w:space="0" w:color="23E2E2" w:themeColor="accent1" w:themeTint="99"/>
          <w:insideH w:val="nil"/>
          <w:insideV w:val="nil"/>
        </w:tcBorders>
        <w:shd w:val="clear" w:color="auto" w:fill="FFFFFF" w:themeFill="background1"/>
      </w:tcPr>
    </w:tblStylePr>
    <w:tblStylePr w:type="lastRow">
      <w:rPr>
        <w:b/>
        <w:bCs/>
      </w:rPr>
      <w:tblPr/>
      <w:tcPr>
        <w:tcBorders>
          <w:top w:val="double" w:sz="2" w:space="0" w:color="23E2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30FFBE" w:themeColor="accent2" w:themeTint="99"/>
        <w:bottom w:val="single" w:sz="2" w:space="0" w:color="30FFBE" w:themeColor="accent2" w:themeTint="99"/>
        <w:insideH w:val="single" w:sz="2" w:space="0" w:color="30FFBE" w:themeColor="accent2" w:themeTint="99"/>
        <w:insideV w:val="single" w:sz="2" w:space="0" w:color="30FFBE" w:themeColor="accent2" w:themeTint="99"/>
      </w:tblBorders>
    </w:tblPr>
    <w:tblStylePr w:type="firstRow">
      <w:rPr>
        <w:b/>
        <w:bCs/>
      </w:rPr>
      <w:tblPr/>
      <w:tcPr>
        <w:tcBorders>
          <w:top w:val="nil"/>
          <w:bottom w:val="single" w:sz="12" w:space="0" w:color="30FFBE" w:themeColor="accent2" w:themeTint="99"/>
          <w:insideH w:val="nil"/>
          <w:insideV w:val="nil"/>
        </w:tcBorders>
        <w:shd w:val="clear" w:color="auto" w:fill="FFFFFF" w:themeFill="background1"/>
      </w:tcPr>
    </w:tblStylePr>
    <w:tblStylePr w:type="lastRow">
      <w:rPr>
        <w:b/>
        <w:bCs/>
      </w:rPr>
      <w:tblPr/>
      <w:tcPr>
        <w:tcBorders>
          <w:top w:val="double" w:sz="2" w:space="0" w:color="30FFB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FF257E" w:themeColor="accent3" w:themeTint="99"/>
        <w:bottom w:val="single" w:sz="2" w:space="0" w:color="FF257E" w:themeColor="accent3" w:themeTint="99"/>
        <w:insideH w:val="single" w:sz="2" w:space="0" w:color="FF257E" w:themeColor="accent3" w:themeTint="99"/>
        <w:insideV w:val="single" w:sz="2" w:space="0" w:color="FF257E" w:themeColor="accent3" w:themeTint="99"/>
      </w:tblBorders>
    </w:tblPr>
    <w:tblStylePr w:type="firstRow">
      <w:rPr>
        <w:b/>
        <w:bCs/>
      </w:rPr>
      <w:tblPr/>
      <w:tcPr>
        <w:tcBorders>
          <w:top w:val="nil"/>
          <w:bottom w:val="single" w:sz="12" w:space="0" w:color="FF257E" w:themeColor="accent3" w:themeTint="99"/>
          <w:insideH w:val="nil"/>
          <w:insideV w:val="nil"/>
        </w:tcBorders>
        <w:shd w:val="clear" w:color="auto" w:fill="FFFFFF" w:themeFill="background1"/>
      </w:tcPr>
    </w:tblStylePr>
    <w:tblStylePr w:type="lastRow">
      <w:rPr>
        <w:b/>
        <w:bCs/>
      </w:rPr>
      <w:tblPr/>
      <w:tcPr>
        <w:tcBorders>
          <w:top w:val="double" w:sz="2" w:space="0" w:color="FF25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E77990" w:themeColor="accent4" w:themeTint="99"/>
        <w:bottom w:val="single" w:sz="2" w:space="0" w:color="E77990" w:themeColor="accent4" w:themeTint="99"/>
        <w:insideH w:val="single" w:sz="2" w:space="0" w:color="E77990" w:themeColor="accent4" w:themeTint="99"/>
        <w:insideV w:val="single" w:sz="2" w:space="0" w:color="E77990" w:themeColor="accent4" w:themeTint="99"/>
      </w:tblBorders>
    </w:tblPr>
    <w:tblStylePr w:type="firstRow">
      <w:rPr>
        <w:b/>
        <w:bCs/>
      </w:rPr>
      <w:tblPr/>
      <w:tcPr>
        <w:tcBorders>
          <w:top w:val="nil"/>
          <w:bottom w:val="single" w:sz="12" w:space="0" w:color="E77990" w:themeColor="accent4" w:themeTint="99"/>
          <w:insideH w:val="nil"/>
          <w:insideV w:val="nil"/>
        </w:tcBorders>
        <w:shd w:val="clear" w:color="auto" w:fill="FFFFFF" w:themeFill="background1"/>
      </w:tcPr>
    </w:tblStylePr>
    <w:tblStylePr w:type="lastRow">
      <w:rPr>
        <w:b/>
        <w:bCs/>
      </w:rPr>
      <w:tblPr/>
      <w:tcPr>
        <w:tcBorders>
          <w:top w:val="double" w:sz="2" w:space="0" w:color="E7799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A0D9D8" w:themeColor="accent5" w:themeTint="99"/>
        <w:bottom w:val="single" w:sz="2" w:space="0" w:color="A0D9D8" w:themeColor="accent5" w:themeTint="99"/>
        <w:insideH w:val="single" w:sz="2" w:space="0" w:color="A0D9D8" w:themeColor="accent5" w:themeTint="99"/>
        <w:insideV w:val="single" w:sz="2" w:space="0" w:color="A0D9D8" w:themeColor="accent5" w:themeTint="99"/>
      </w:tblBorders>
    </w:tblPr>
    <w:tblStylePr w:type="firstRow">
      <w:rPr>
        <w:b/>
        <w:bCs/>
      </w:rPr>
      <w:tblPr/>
      <w:tcPr>
        <w:tcBorders>
          <w:top w:val="nil"/>
          <w:bottom w:val="single" w:sz="12" w:space="0" w:color="A0D9D8" w:themeColor="accent5" w:themeTint="99"/>
          <w:insideH w:val="nil"/>
          <w:insideV w:val="nil"/>
        </w:tcBorders>
        <w:shd w:val="clear" w:color="auto" w:fill="FFFFFF" w:themeFill="background1"/>
      </w:tcPr>
    </w:tblStylePr>
    <w:tblStylePr w:type="lastRow">
      <w:rPr>
        <w:b/>
        <w:bCs/>
      </w:rPr>
      <w:tblPr/>
      <w:tcPr>
        <w:tcBorders>
          <w:top w:val="double" w:sz="2" w:space="0" w:color="A0D9D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2DFFF4" w:themeColor="accent6" w:themeTint="99"/>
        <w:bottom w:val="single" w:sz="2" w:space="0" w:color="2DFFF4" w:themeColor="accent6" w:themeTint="99"/>
        <w:insideH w:val="single" w:sz="2" w:space="0" w:color="2DFFF4" w:themeColor="accent6" w:themeTint="99"/>
        <w:insideV w:val="single" w:sz="2" w:space="0" w:color="2DFFF4" w:themeColor="accent6" w:themeTint="99"/>
      </w:tblBorders>
    </w:tblPr>
    <w:tblStylePr w:type="firstRow">
      <w:rPr>
        <w:b/>
        <w:bCs/>
      </w:rPr>
      <w:tblPr/>
      <w:tcPr>
        <w:tcBorders>
          <w:top w:val="nil"/>
          <w:bottom w:val="single" w:sz="12" w:space="0" w:color="2DFFF4" w:themeColor="accent6" w:themeTint="99"/>
          <w:insideH w:val="nil"/>
          <w:insideV w:val="nil"/>
        </w:tcBorders>
        <w:shd w:val="clear" w:color="auto" w:fill="FFFFFF" w:themeFill="background1"/>
      </w:tcPr>
    </w:tblStylePr>
    <w:tblStylePr w:type="lastRow">
      <w:rPr>
        <w:b/>
        <w:bCs/>
      </w:rPr>
      <w:tblPr/>
      <w:tcPr>
        <w:tcBorders>
          <w:top w:val="double" w:sz="2" w:space="0" w:color="2DFF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bottom w:val="single" w:sz="4" w:space="0" w:color="23E2E2" w:themeColor="accent1" w:themeTint="99"/>
        </w:tcBorders>
      </w:tcPr>
    </w:tblStylePr>
    <w:tblStylePr w:type="nwCell">
      <w:tblPr/>
      <w:tcPr>
        <w:tcBorders>
          <w:bottom w:val="single" w:sz="4" w:space="0" w:color="23E2E2" w:themeColor="accent1" w:themeTint="99"/>
        </w:tcBorders>
      </w:tcPr>
    </w:tblStylePr>
    <w:tblStylePr w:type="seCell">
      <w:tblPr/>
      <w:tcPr>
        <w:tcBorders>
          <w:top w:val="single" w:sz="4" w:space="0" w:color="23E2E2" w:themeColor="accent1" w:themeTint="99"/>
        </w:tcBorders>
      </w:tcPr>
    </w:tblStylePr>
    <w:tblStylePr w:type="swCell">
      <w:tblPr/>
      <w:tcPr>
        <w:tcBorders>
          <w:top w:val="single" w:sz="4" w:space="0" w:color="23E2E2"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bottom w:val="single" w:sz="4" w:space="0" w:color="30FFBE" w:themeColor="accent2" w:themeTint="99"/>
        </w:tcBorders>
      </w:tcPr>
    </w:tblStylePr>
    <w:tblStylePr w:type="nwCell">
      <w:tblPr/>
      <w:tcPr>
        <w:tcBorders>
          <w:bottom w:val="single" w:sz="4" w:space="0" w:color="30FFBE" w:themeColor="accent2" w:themeTint="99"/>
        </w:tcBorders>
      </w:tcPr>
    </w:tblStylePr>
    <w:tblStylePr w:type="seCell">
      <w:tblPr/>
      <w:tcPr>
        <w:tcBorders>
          <w:top w:val="single" w:sz="4" w:space="0" w:color="30FFBE" w:themeColor="accent2" w:themeTint="99"/>
        </w:tcBorders>
      </w:tcPr>
    </w:tblStylePr>
    <w:tblStylePr w:type="swCell">
      <w:tblPr/>
      <w:tcPr>
        <w:tcBorders>
          <w:top w:val="single" w:sz="4" w:space="0" w:color="30FFB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bottom w:val="single" w:sz="4" w:space="0" w:color="FF257E" w:themeColor="accent3" w:themeTint="99"/>
        </w:tcBorders>
      </w:tcPr>
    </w:tblStylePr>
    <w:tblStylePr w:type="nwCell">
      <w:tblPr/>
      <w:tcPr>
        <w:tcBorders>
          <w:bottom w:val="single" w:sz="4" w:space="0" w:color="FF257E" w:themeColor="accent3" w:themeTint="99"/>
        </w:tcBorders>
      </w:tcPr>
    </w:tblStylePr>
    <w:tblStylePr w:type="seCell">
      <w:tblPr/>
      <w:tcPr>
        <w:tcBorders>
          <w:top w:val="single" w:sz="4" w:space="0" w:color="FF257E" w:themeColor="accent3" w:themeTint="99"/>
        </w:tcBorders>
      </w:tcPr>
    </w:tblStylePr>
    <w:tblStylePr w:type="swCell">
      <w:tblPr/>
      <w:tcPr>
        <w:tcBorders>
          <w:top w:val="single" w:sz="4" w:space="0" w:color="FF257E"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bottom w:val="single" w:sz="4" w:space="0" w:color="E77990" w:themeColor="accent4" w:themeTint="99"/>
        </w:tcBorders>
      </w:tcPr>
    </w:tblStylePr>
    <w:tblStylePr w:type="nwCell">
      <w:tblPr/>
      <w:tcPr>
        <w:tcBorders>
          <w:bottom w:val="single" w:sz="4" w:space="0" w:color="E77990" w:themeColor="accent4" w:themeTint="99"/>
        </w:tcBorders>
      </w:tcPr>
    </w:tblStylePr>
    <w:tblStylePr w:type="seCell">
      <w:tblPr/>
      <w:tcPr>
        <w:tcBorders>
          <w:top w:val="single" w:sz="4" w:space="0" w:color="E77990" w:themeColor="accent4" w:themeTint="99"/>
        </w:tcBorders>
      </w:tcPr>
    </w:tblStylePr>
    <w:tblStylePr w:type="swCell">
      <w:tblPr/>
      <w:tcPr>
        <w:tcBorders>
          <w:top w:val="single" w:sz="4" w:space="0" w:color="E77990"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bottom w:val="single" w:sz="4" w:space="0" w:color="A0D9D8" w:themeColor="accent5" w:themeTint="99"/>
        </w:tcBorders>
      </w:tcPr>
    </w:tblStylePr>
    <w:tblStylePr w:type="nwCell">
      <w:tblPr/>
      <w:tcPr>
        <w:tcBorders>
          <w:bottom w:val="single" w:sz="4" w:space="0" w:color="A0D9D8" w:themeColor="accent5" w:themeTint="99"/>
        </w:tcBorders>
      </w:tcPr>
    </w:tblStylePr>
    <w:tblStylePr w:type="seCell">
      <w:tblPr/>
      <w:tcPr>
        <w:tcBorders>
          <w:top w:val="single" w:sz="4" w:space="0" w:color="A0D9D8" w:themeColor="accent5" w:themeTint="99"/>
        </w:tcBorders>
      </w:tcPr>
    </w:tblStylePr>
    <w:tblStylePr w:type="swCell">
      <w:tblPr/>
      <w:tcPr>
        <w:tcBorders>
          <w:top w:val="single" w:sz="4" w:space="0" w:color="A0D9D8"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bottom w:val="single" w:sz="4" w:space="0" w:color="2DFFF4" w:themeColor="accent6" w:themeTint="99"/>
        </w:tcBorders>
      </w:tcPr>
    </w:tblStylePr>
    <w:tblStylePr w:type="nwCell">
      <w:tblPr/>
      <w:tcPr>
        <w:tcBorders>
          <w:bottom w:val="single" w:sz="4" w:space="0" w:color="2DFFF4" w:themeColor="accent6" w:themeTint="99"/>
        </w:tcBorders>
      </w:tcPr>
    </w:tblStylePr>
    <w:tblStylePr w:type="seCell">
      <w:tblPr/>
      <w:tcPr>
        <w:tcBorders>
          <w:top w:val="single" w:sz="4" w:space="0" w:color="2DFFF4" w:themeColor="accent6" w:themeTint="99"/>
        </w:tcBorders>
      </w:tcPr>
    </w:tblStylePr>
    <w:tblStylePr w:type="swCell">
      <w:tblPr/>
      <w:tcPr>
        <w:tcBorders>
          <w:top w:val="single" w:sz="4" w:space="0" w:color="2DFFF4"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color w:val="FFFFFF" w:themeColor="background1"/>
      </w:rPr>
      <w:tblPr/>
      <w:tcPr>
        <w:tcBorders>
          <w:top w:val="single" w:sz="4" w:space="0" w:color="0B5656" w:themeColor="accent1"/>
          <w:left w:val="single" w:sz="4" w:space="0" w:color="0B5656" w:themeColor="accent1"/>
          <w:bottom w:val="single" w:sz="4" w:space="0" w:color="0B5656" w:themeColor="accent1"/>
          <w:right w:val="single" w:sz="4" w:space="0" w:color="0B5656" w:themeColor="accent1"/>
          <w:insideH w:val="nil"/>
          <w:insideV w:val="nil"/>
        </w:tcBorders>
        <w:shd w:val="clear" w:color="auto" w:fill="0B5656" w:themeFill="accent1"/>
      </w:tcPr>
    </w:tblStylePr>
    <w:tblStylePr w:type="lastRow">
      <w:rPr>
        <w:b/>
        <w:bCs/>
      </w:rPr>
      <w:tblPr/>
      <w:tcPr>
        <w:tcBorders>
          <w:top w:val="double" w:sz="4" w:space="0" w:color="0B5656" w:themeColor="accent1"/>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color w:val="FFFFFF" w:themeColor="background1"/>
      </w:rPr>
      <w:tblPr/>
      <w:tcPr>
        <w:tcBorders>
          <w:top w:val="single" w:sz="4" w:space="0" w:color="00A673" w:themeColor="accent2"/>
          <w:left w:val="single" w:sz="4" w:space="0" w:color="00A673" w:themeColor="accent2"/>
          <w:bottom w:val="single" w:sz="4" w:space="0" w:color="00A673" w:themeColor="accent2"/>
          <w:right w:val="single" w:sz="4" w:space="0" w:color="00A673" w:themeColor="accent2"/>
          <w:insideH w:val="nil"/>
          <w:insideV w:val="nil"/>
        </w:tcBorders>
        <w:shd w:val="clear" w:color="auto" w:fill="00A673" w:themeFill="accent2"/>
      </w:tcPr>
    </w:tblStylePr>
    <w:tblStylePr w:type="lastRow">
      <w:rPr>
        <w:b/>
        <w:bCs/>
      </w:rPr>
      <w:tblPr/>
      <w:tcPr>
        <w:tcBorders>
          <w:top w:val="double" w:sz="4" w:space="0" w:color="00A673" w:themeColor="accent2"/>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color w:val="FFFFFF" w:themeColor="background1"/>
      </w:rPr>
      <w:tblPr/>
      <w:tcPr>
        <w:tcBorders>
          <w:top w:val="single" w:sz="4" w:space="0" w:color="93003D" w:themeColor="accent3"/>
          <w:left w:val="single" w:sz="4" w:space="0" w:color="93003D" w:themeColor="accent3"/>
          <w:bottom w:val="single" w:sz="4" w:space="0" w:color="93003D" w:themeColor="accent3"/>
          <w:right w:val="single" w:sz="4" w:space="0" w:color="93003D" w:themeColor="accent3"/>
          <w:insideH w:val="nil"/>
          <w:insideV w:val="nil"/>
        </w:tcBorders>
        <w:shd w:val="clear" w:color="auto" w:fill="93003D" w:themeFill="accent3"/>
      </w:tcPr>
    </w:tblStylePr>
    <w:tblStylePr w:type="lastRow">
      <w:rPr>
        <w:b/>
        <w:bCs/>
      </w:rPr>
      <w:tblPr/>
      <w:tcPr>
        <w:tcBorders>
          <w:top w:val="double" w:sz="4" w:space="0" w:color="93003D" w:themeColor="accent3"/>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color w:val="FFFFFF" w:themeColor="background1"/>
      </w:rPr>
      <w:tblPr/>
      <w:tcPr>
        <w:tcBorders>
          <w:top w:val="single" w:sz="4" w:space="0" w:color="D3254A" w:themeColor="accent4"/>
          <w:left w:val="single" w:sz="4" w:space="0" w:color="D3254A" w:themeColor="accent4"/>
          <w:bottom w:val="single" w:sz="4" w:space="0" w:color="D3254A" w:themeColor="accent4"/>
          <w:right w:val="single" w:sz="4" w:space="0" w:color="D3254A" w:themeColor="accent4"/>
          <w:insideH w:val="nil"/>
          <w:insideV w:val="nil"/>
        </w:tcBorders>
        <w:shd w:val="clear" w:color="auto" w:fill="D3254A" w:themeFill="accent4"/>
      </w:tcPr>
    </w:tblStylePr>
    <w:tblStylePr w:type="lastRow">
      <w:rPr>
        <w:b/>
        <w:bCs/>
      </w:rPr>
      <w:tblPr/>
      <w:tcPr>
        <w:tcBorders>
          <w:top w:val="double" w:sz="4" w:space="0" w:color="D3254A" w:themeColor="accent4"/>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color w:val="FFFFFF" w:themeColor="background1"/>
      </w:rPr>
      <w:tblPr/>
      <w:tcPr>
        <w:tcBorders>
          <w:top w:val="single" w:sz="4" w:space="0" w:color="61C1BF" w:themeColor="accent5"/>
          <w:left w:val="single" w:sz="4" w:space="0" w:color="61C1BF" w:themeColor="accent5"/>
          <w:bottom w:val="single" w:sz="4" w:space="0" w:color="61C1BF" w:themeColor="accent5"/>
          <w:right w:val="single" w:sz="4" w:space="0" w:color="61C1BF" w:themeColor="accent5"/>
          <w:insideH w:val="nil"/>
          <w:insideV w:val="nil"/>
        </w:tcBorders>
        <w:shd w:val="clear" w:color="auto" w:fill="61C1BF" w:themeFill="accent5"/>
      </w:tcPr>
    </w:tblStylePr>
    <w:tblStylePr w:type="lastRow">
      <w:rPr>
        <w:b/>
        <w:bCs/>
      </w:rPr>
      <w:tblPr/>
      <w:tcPr>
        <w:tcBorders>
          <w:top w:val="double" w:sz="4" w:space="0" w:color="61C1BF" w:themeColor="accent5"/>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color w:val="FFFFFF" w:themeColor="background1"/>
      </w:rPr>
      <w:tblPr/>
      <w:tcPr>
        <w:tcBorders>
          <w:top w:val="single" w:sz="4" w:space="0" w:color="00A098" w:themeColor="accent6"/>
          <w:left w:val="single" w:sz="4" w:space="0" w:color="00A098" w:themeColor="accent6"/>
          <w:bottom w:val="single" w:sz="4" w:space="0" w:color="00A098" w:themeColor="accent6"/>
          <w:right w:val="single" w:sz="4" w:space="0" w:color="00A098" w:themeColor="accent6"/>
          <w:insideH w:val="nil"/>
          <w:insideV w:val="nil"/>
        </w:tcBorders>
        <w:shd w:val="clear" w:color="auto" w:fill="00A098" w:themeFill="accent6"/>
      </w:tcPr>
    </w:tblStylePr>
    <w:tblStylePr w:type="lastRow">
      <w:rPr>
        <w:b/>
        <w:bCs/>
      </w:rPr>
      <w:tblPr/>
      <w:tcPr>
        <w:tcBorders>
          <w:top w:val="double" w:sz="4" w:space="0" w:color="00A098" w:themeColor="accent6"/>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5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565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565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565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5656" w:themeFill="accent1"/>
      </w:tcPr>
    </w:tblStylePr>
    <w:tblStylePr w:type="band1Vert">
      <w:tblPr/>
      <w:tcPr>
        <w:shd w:val="clear" w:color="auto" w:fill="6CECEC" w:themeFill="accent1" w:themeFillTint="66"/>
      </w:tcPr>
    </w:tblStylePr>
    <w:tblStylePr w:type="band1Horz">
      <w:tblPr/>
      <w:tcPr>
        <w:shd w:val="clear" w:color="auto" w:fill="6CECEC"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6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6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6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673" w:themeFill="accent2"/>
      </w:tcPr>
    </w:tblStylePr>
    <w:tblStylePr w:type="band1Vert">
      <w:tblPr/>
      <w:tcPr>
        <w:shd w:val="clear" w:color="auto" w:fill="75FFD4" w:themeFill="accent2" w:themeFillTint="66"/>
      </w:tcPr>
    </w:tblStylePr>
    <w:tblStylePr w:type="band1Horz">
      <w:tblPr/>
      <w:tcPr>
        <w:shd w:val="clear" w:color="auto" w:fill="75FFD4"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6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00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00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00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003D" w:themeFill="accent3"/>
      </w:tcPr>
    </w:tblStylePr>
    <w:tblStylePr w:type="band1Vert">
      <w:tblPr/>
      <w:tcPr>
        <w:shd w:val="clear" w:color="auto" w:fill="FF6DA9" w:themeFill="accent3" w:themeFillTint="66"/>
      </w:tcPr>
    </w:tblStylePr>
    <w:tblStylePr w:type="band1Horz">
      <w:tblPr/>
      <w:tcPr>
        <w:shd w:val="clear" w:color="auto" w:fill="FF6DA9"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2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254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254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254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254A" w:themeFill="accent4"/>
      </w:tcPr>
    </w:tblStylePr>
    <w:tblStylePr w:type="band1Vert">
      <w:tblPr/>
      <w:tcPr>
        <w:shd w:val="clear" w:color="auto" w:fill="EFA5B5" w:themeFill="accent4" w:themeFillTint="66"/>
      </w:tcPr>
    </w:tblStylePr>
    <w:tblStylePr w:type="band1Horz">
      <w:tblPr/>
      <w:tcPr>
        <w:shd w:val="clear" w:color="auto" w:fill="EFA5B5"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1B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1B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1B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1BF" w:themeFill="accent5"/>
      </w:tcPr>
    </w:tblStylePr>
    <w:tblStylePr w:type="band1Vert">
      <w:tblPr/>
      <w:tcPr>
        <w:shd w:val="clear" w:color="auto" w:fill="BFE6E5" w:themeFill="accent5" w:themeFillTint="66"/>
      </w:tcPr>
    </w:tblStylePr>
    <w:tblStylePr w:type="band1Horz">
      <w:tblPr/>
      <w:tcPr>
        <w:shd w:val="clear" w:color="auto" w:fill="BFE6E5"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F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098" w:themeFill="accent6"/>
      </w:tcPr>
    </w:tblStylePr>
    <w:tblStylePr w:type="band1Vert">
      <w:tblPr/>
      <w:tcPr>
        <w:shd w:val="clear" w:color="auto" w:fill="73FFF7" w:themeFill="accent6" w:themeFillTint="66"/>
      </w:tcPr>
    </w:tblStylePr>
    <w:tblStylePr w:type="band1Horz">
      <w:tblPr/>
      <w:tcPr>
        <w:shd w:val="clear" w:color="auto" w:fill="73FFF7"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084040" w:themeColor="accent1" w:themeShade="BF"/>
    </w:r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bottom w:val="single" w:sz="12" w:space="0" w:color="23E2E2" w:themeColor="accent1" w:themeTint="99"/>
        </w:tcBorders>
      </w:tcPr>
    </w:tblStylePr>
    <w:tblStylePr w:type="lastRow">
      <w:rPr>
        <w:b/>
        <w:bCs/>
      </w:rPr>
      <w:tblPr/>
      <w:tcPr>
        <w:tcBorders>
          <w:top w:val="doub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007C55" w:themeColor="accent2" w:themeShade="BF"/>
    </w:r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bottom w:val="single" w:sz="12" w:space="0" w:color="30FFBE" w:themeColor="accent2" w:themeTint="99"/>
        </w:tcBorders>
      </w:tcPr>
    </w:tblStylePr>
    <w:tblStylePr w:type="lastRow">
      <w:rPr>
        <w:b/>
        <w:bCs/>
      </w:rPr>
      <w:tblPr/>
      <w:tcPr>
        <w:tcBorders>
          <w:top w:val="doub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6E002D" w:themeColor="accent3" w:themeShade="BF"/>
    </w:r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bottom w:val="single" w:sz="12" w:space="0" w:color="FF257E" w:themeColor="accent3" w:themeTint="99"/>
        </w:tcBorders>
      </w:tcPr>
    </w:tblStylePr>
    <w:tblStylePr w:type="lastRow">
      <w:rPr>
        <w:b/>
        <w:bCs/>
      </w:rPr>
      <w:tblPr/>
      <w:tcPr>
        <w:tcBorders>
          <w:top w:val="doub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9D1B37" w:themeColor="accent4" w:themeShade="BF"/>
    </w:r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bottom w:val="single" w:sz="12" w:space="0" w:color="E77990" w:themeColor="accent4" w:themeTint="99"/>
        </w:tcBorders>
      </w:tcPr>
    </w:tblStylePr>
    <w:tblStylePr w:type="lastRow">
      <w:rPr>
        <w:b/>
        <w:bCs/>
      </w:rPr>
      <w:tblPr/>
      <w:tcPr>
        <w:tcBorders>
          <w:top w:val="doub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3D9B99" w:themeColor="accent5" w:themeShade="BF"/>
    </w:r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bottom w:val="single" w:sz="12" w:space="0" w:color="A0D9D8" w:themeColor="accent5" w:themeTint="99"/>
        </w:tcBorders>
      </w:tcPr>
    </w:tblStylePr>
    <w:tblStylePr w:type="lastRow">
      <w:rPr>
        <w:b/>
        <w:bCs/>
      </w:rPr>
      <w:tblPr/>
      <w:tcPr>
        <w:tcBorders>
          <w:top w:val="doub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007771" w:themeColor="accent6" w:themeShade="BF"/>
    </w:r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bottom w:val="single" w:sz="12" w:space="0" w:color="2DFFF4" w:themeColor="accent6" w:themeTint="99"/>
        </w:tcBorders>
      </w:tcPr>
    </w:tblStylePr>
    <w:tblStylePr w:type="lastRow">
      <w:rPr>
        <w:b/>
        <w:bCs/>
      </w:rPr>
      <w:tblPr/>
      <w:tcPr>
        <w:tcBorders>
          <w:top w:val="doub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084040" w:themeColor="accent1" w:themeShade="BF"/>
    </w:r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insideV w:val="single" w:sz="4" w:space="0" w:color="23E2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bottom w:val="single" w:sz="4" w:space="0" w:color="23E2E2" w:themeColor="accent1" w:themeTint="99"/>
        </w:tcBorders>
      </w:tcPr>
    </w:tblStylePr>
    <w:tblStylePr w:type="nwCell">
      <w:tblPr/>
      <w:tcPr>
        <w:tcBorders>
          <w:bottom w:val="single" w:sz="4" w:space="0" w:color="23E2E2" w:themeColor="accent1" w:themeTint="99"/>
        </w:tcBorders>
      </w:tcPr>
    </w:tblStylePr>
    <w:tblStylePr w:type="seCell">
      <w:tblPr/>
      <w:tcPr>
        <w:tcBorders>
          <w:top w:val="single" w:sz="4" w:space="0" w:color="23E2E2" w:themeColor="accent1" w:themeTint="99"/>
        </w:tcBorders>
      </w:tcPr>
    </w:tblStylePr>
    <w:tblStylePr w:type="swCell">
      <w:tblPr/>
      <w:tcPr>
        <w:tcBorders>
          <w:top w:val="single" w:sz="4" w:space="0" w:color="23E2E2"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007C55" w:themeColor="accent2" w:themeShade="BF"/>
    </w:r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insideV w:val="single" w:sz="4" w:space="0" w:color="30FF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bottom w:val="single" w:sz="4" w:space="0" w:color="30FFBE" w:themeColor="accent2" w:themeTint="99"/>
        </w:tcBorders>
      </w:tcPr>
    </w:tblStylePr>
    <w:tblStylePr w:type="nwCell">
      <w:tblPr/>
      <w:tcPr>
        <w:tcBorders>
          <w:bottom w:val="single" w:sz="4" w:space="0" w:color="30FFBE" w:themeColor="accent2" w:themeTint="99"/>
        </w:tcBorders>
      </w:tcPr>
    </w:tblStylePr>
    <w:tblStylePr w:type="seCell">
      <w:tblPr/>
      <w:tcPr>
        <w:tcBorders>
          <w:top w:val="single" w:sz="4" w:space="0" w:color="30FFBE" w:themeColor="accent2" w:themeTint="99"/>
        </w:tcBorders>
      </w:tcPr>
    </w:tblStylePr>
    <w:tblStylePr w:type="swCell">
      <w:tblPr/>
      <w:tcPr>
        <w:tcBorders>
          <w:top w:val="single" w:sz="4" w:space="0" w:color="30FFB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6E002D" w:themeColor="accent3" w:themeShade="BF"/>
    </w:r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insideV w:val="single" w:sz="4" w:space="0" w:color="FF25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bottom w:val="single" w:sz="4" w:space="0" w:color="FF257E" w:themeColor="accent3" w:themeTint="99"/>
        </w:tcBorders>
      </w:tcPr>
    </w:tblStylePr>
    <w:tblStylePr w:type="nwCell">
      <w:tblPr/>
      <w:tcPr>
        <w:tcBorders>
          <w:bottom w:val="single" w:sz="4" w:space="0" w:color="FF257E" w:themeColor="accent3" w:themeTint="99"/>
        </w:tcBorders>
      </w:tcPr>
    </w:tblStylePr>
    <w:tblStylePr w:type="seCell">
      <w:tblPr/>
      <w:tcPr>
        <w:tcBorders>
          <w:top w:val="single" w:sz="4" w:space="0" w:color="FF257E" w:themeColor="accent3" w:themeTint="99"/>
        </w:tcBorders>
      </w:tcPr>
    </w:tblStylePr>
    <w:tblStylePr w:type="swCell">
      <w:tblPr/>
      <w:tcPr>
        <w:tcBorders>
          <w:top w:val="single" w:sz="4" w:space="0" w:color="FF257E"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9D1B37" w:themeColor="accent4" w:themeShade="BF"/>
    </w:r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insideV w:val="single" w:sz="4" w:space="0" w:color="E779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bottom w:val="single" w:sz="4" w:space="0" w:color="E77990" w:themeColor="accent4" w:themeTint="99"/>
        </w:tcBorders>
      </w:tcPr>
    </w:tblStylePr>
    <w:tblStylePr w:type="nwCell">
      <w:tblPr/>
      <w:tcPr>
        <w:tcBorders>
          <w:bottom w:val="single" w:sz="4" w:space="0" w:color="E77990" w:themeColor="accent4" w:themeTint="99"/>
        </w:tcBorders>
      </w:tcPr>
    </w:tblStylePr>
    <w:tblStylePr w:type="seCell">
      <w:tblPr/>
      <w:tcPr>
        <w:tcBorders>
          <w:top w:val="single" w:sz="4" w:space="0" w:color="E77990" w:themeColor="accent4" w:themeTint="99"/>
        </w:tcBorders>
      </w:tcPr>
    </w:tblStylePr>
    <w:tblStylePr w:type="swCell">
      <w:tblPr/>
      <w:tcPr>
        <w:tcBorders>
          <w:top w:val="single" w:sz="4" w:space="0" w:color="E77990"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3D9B99" w:themeColor="accent5" w:themeShade="BF"/>
    </w:r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insideV w:val="single" w:sz="4" w:space="0" w:color="A0D9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bottom w:val="single" w:sz="4" w:space="0" w:color="A0D9D8" w:themeColor="accent5" w:themeTint="99"/>
        </w:tcBorders>
      </w:tcPr>
    </w:tblStylePr>
    <w:tblStylePr w:type="nwCell">
      <w:tblPr/>
      <w:tcPr>
        <w:tcBorders>
          <w:bottom w:val="single" w:sz="4" w:space="0" w:color="A0D9D8" w:themeColor="accent5" w:themeTint="99"/>
        </w:tcBorders>
      </w:tcPr>
    </w:tblStylePr>
    <w:tblStylePr w:type="seCell">
      <w:tblPr/>
      <w:tcPr>
        <w:tcBorders>
          <w:top w:val="single" w:sz="4" w:space="0" w:color="A0D9D8" w:themeColor="accent5" w:themeTint="99"/>
        </w:tcBorders>
      </w:tcPr>
    </w:tblStylePr>
    <w:tblStylePr w:type="swCell">
      <w:tblPr/>
      <w:tcPr>
        <w:tcBorders>
          <w:top w:val="single" w:sz="4" w:space="0" w:color="A0D9D8"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007771" w:themeColor="accent6" w:themeShade="BF"/>
    </w:r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insideV w:val="single" w:sz="4" w:space="0" w:color="2DFF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bottom w:val="single" w:sz="4" w:space="0" w:color="2DFFF4" w:themeColor="accent6" w:themeTint="99"/>
        </w:tcBorders>
      </w:tcPr>
    </w:tblStylePr>
    <w:tblStylePr w:type="nwCell">
      <w:tblPr/>
      <w:tcPr>
        <w:tcBorders>
          <w:bottom w:val="single" w:sz="4" w:space="0" w:color="2DFFF4" w:themeColor="accent6" w:themeTint="99"/>
        </w:tcBorders>
      </w:tcPr>
    </w:tblStylePr>
    <w:tblStylePr w:type="seCell">
      <w:tblPr/>
      <w:tcPr>
        <w:tcBorders>
          <w:top w:val="single" w:sz="4" w:space="0" w:color="2DFFF4" w:themeColor="accent6" w:themeTint="99"/>
        </w:tcBorders>
      </w:tcPr>
    </w:tblStylePr>
    <w:tblStylePr w:type="swCell">
      <w:tblPr/>
      <w:tcPr>
        <w:tcBorders>
          <w:top w:val="single" w:sz="4" w:space="0" w:color="2DFFF4"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insideH w:val="single" w:sz="8" w:space="0" w:color="0B5656" w:themeColor="accent1"/>
        <w:insideV w:val="single" w:sz="8" w:space="0" w:color="0B565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5656" w:themeColor="accent1"/>
          <w:left w:val="single" w:sz="8" w:space="0" w:color="0B5656" w:themeColor="accent1"/>
          <w:bottom w:val="single" w:sz="18" w:space="0" w:color="0B5656" w:themeColor="accent1"/>
          <w:right w:val="single" w:sz="8" w:space="0" w:color="0B5656" w:themeColor="accent1"/>
          <w:insideH w:val="nil"/>
          <w:insideV w:val="single" w:sz="8" w:space="0" w:color="0B565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5656" w:themeColor="accent1"/>
          <w:left w:val="single" w:sz="8" w:space="0" w:color="0B5656" w:themeColor="accent1"/>
          <w:bottom w:val="single" w:sz="8" w:space="0" w:color="0B5656" w:themeColor="accent1"/>
          <w:right w:val="single" w:sz="8" w:space="0" w:color="0B5656" w:themeColor="accent1"/>
          <w:insideH w:val="nil"/>
          <w:insideV w:val="single" w:sz="8" w:space="0" w:color="0B565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tblStylePr w:type="band1Vert">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shd w:val="clear" w:color="auto" w:fill="A4F3F3" w:themeFill="accent1" w:themeFillTint="3F"/>
      </w:tcPr>
    </w:tblStylePr>
    <w:tblStylePr w:type="band1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insideV w:val="single" w:sz="8" w:space="0" w:color="0B5656" w:themeColor="accent1"/>
        </w:tcBorders>
        <w:shd w:val="clear" w:color="auto" w:fill="A4F3F3" w:themeFill="accent1" w:themeFillTint="3F"/>
      </w:tcPr>
    </w:tblStylePr>
    <w:tblStylePr w:type="band2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insideV w:val="single" w:sz="8" w:space="0" w:color="0B5656"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insideH w:val="single" w:sz="8" w:space="0" w:color="00A673" w:themeColor="accent2"/>
        <w:insideV w:val="single" w:sz="8" w:space="0" w:color="00A67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673" w:themeColor="accent2"/>
          <w:left w:val="single" w:sz="8" w:space="0" w:color="00A673" w:themeColor="accent2"/>
          <w:bottom w:val="single" w:sz="18" w:space="0" w:color="00A673" w:themeColor="accent2"/>
          <w:right w:val="single" w:sz="8" w:space="0" w:color="00A673" w:themeColor="accent2"/>
          <w:insideH w:val="nil"/>
          <w:insideV w:val="single" w:sz="8" w:space="0" w:color="00A67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73" w:themeColor="accent2"/>
          <w:left w:val="single" w:sz="8" w:space="0" w:color="00A673" w:themeColor="accent2"/>
          <w:bottom w:val="single" w:sz="8" w:space="0" w:color="00A673" w:themeColor="accent2"/>
          <w:right w:val="single" w:sz="8" w:space="0" w:color="00A673" w:themeColor="accent2"/>
          <w:insideH w:val="nil"/>
          <w:insideV w:val="single" w:sz="8" w:space="0" w:color="00A67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tblStylePr w:type="band1Vert">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shd w:val="clear" w:color="auto" w:fill="AAFFE4" w:themeFill="accent2" w:themeFillTint="3F"/>
      </w:tcPr>
    </w:tblStylePr>
    <w:tblStylePr w:type="band1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insideV w:val="single" w:sz="8" w:space="0" w:color="00A673" w:themeColor="accent2"/>
        </w:tcBorders>
        <w:shd w:val="clear" w:color="auto" w:fill="AAFFE4" w:themeFill="accent2" w:themeFillTint="3F"/>
      </w:tcPr>
    </w:tblStylePr>
    <w:tblStylePr w:type="band2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insideV w:val="single" w:sz="8" w:space="0" w:color="00A673"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insideH w:val="single" w:sz="8" w:space="0" w:color="93003D" w:themeColor="accent3"/>
        <w:insideV w:val="single" w:sz="8" w:space="0" w:color="9300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003D" w:themeColor="accent3"/>
          <w:left w:val="single" w:sz="8" w:space="0" w:color="93003D" w:themeColor="accent3"/>
          <w:bottom w:val="single" w:sz="18" w:space="0" w:color="93003D" w:themeColor="accent3"/>
          <w:right w:val="single" w:sz="8" w:space="0" w:color="93003D" w:themeColor="accent3"/>
          <w:insideH w:val="nil"/>
          <w:insideV w:val="single" w:sz="8" w:space="0" w:color="9300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003D" w:themeColor="accent3"/>
          <w:left w:val="single" w:sz="8" w:space="0" w:color="93003D" w:themeColor="accent3"/>
          <w:bottom w:val="single" w:sz="8" w:space="0" w:color="93003D" w:themeColor="accent3"/>
          <w:right w:val="single" w:sz="8" w:space="0" w:color="93003D" w:themeColor="accent3"/>
          <w:insideH w:val="nil"/>
          <w:insideV w:val="single" w:sz="8" w:space="0" w:color="9300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tblStylePr w:type="band1Vert">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shd w:val="clear" w:color="auto" w:fill="FFA5CA" w:themeFill="accent3" w:themeFillTint="3F"/>
      </w:tcPr>
    </w:tblStylePr>
    <w:tblStylePr w:type="band1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insideV w:val="single" w:sz="8" w:space="0" w:color="93003D" w:themeColor="accent3"/>
        </w:tcBorders>
        <w:shd w:val="clear" w:color="auto" w:fill="FFA5CA" w:themeFill="accent3" w:themeFillTint="3F"/>
      </w:tcPr>
    </w:tblStylePr>
    <w:tblStylePr w:type="band2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insideV w:val="single" w:sz="8" w:space="0" w:color="93003D"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insideH w:val="single" w:sz="8" w:space="0" w:color="D3254A" w:themeColor="accent4"/>
        <w:insideV w:val="single" w:sz="8" w:space="0" w:color="D3254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254A" w:themeColor="accent4"/>
          <w:left w:val="single" w:sz="8" w:space="0" w:color="D3254A" w:themeColor="accent4"/>
          <w:bottom w:val="single" w:sz="18" w:space="0" w:color="D3254A" w:themeColor="accent4"/>
          <w:right w:val="single" w:sz="8" w:space="0" w:color="D3254A" w:themeColor="accent4"/>
          <w:insideH w:val="nil"/>
          <w:insideV w:val="single" w:sz="8" w:space="0" w:color="D3254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254A" w:themeColor="accent4"/>
          <w:left w:val="single" w:sz="8" w:space="0" w:color="D3254A" w:themeColor="accent4"/>
          <w:bottom w:val="single" w:sz="8" w:space="0" w:color="D3254A" w:themeColor="accent4"/>
          <w:right w:val="single" w:sz="8" w:space="0" w:color="D3254A" w:themeColor="accent4"/>
          <w:insideH w:val="nil"/>
          <w:insideV w:val="single" w:sz="8" w:space="0" w:color="D3254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tblStylePr w:type="band1Vert">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shd w:val="clear" w:color="auto" w:fill="F5C7D1" w:themeFill="accent4" w:themeFillTint="3F"/>
      </w:tcPr>
    </w:tblStylePr>
    <w:tblStylePr w:type="band1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insideV w:val="single" w:sz="8" w:space="0" w:color="D3254A" w:themeColor="accent4"/>
        </w:tcBorders>
        <w:shd w:val="clear" w:color="auto" w:fill="F5C7D1" w:themeFill="accent4" w:themeFillTint="3F"/>
      </w:tcPr>
    </w:tblStylePr>
    <w:tblStylePr w:type="band2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insideV w:val="single" w:sz="8" w:space="0" w:color="D3254A"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insideH w:val="single" w:sz="8" w:space="0" w:color="61C1BF" w:themeColor="accent5"/>
        <w:insideV w:val="single" w:sz="8" w:space="0" w:color="61C1B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C1BF" w:themeColor="accent5"/>
          <w:left w:val="single" w:sz="8" w:space="0" w:color="61C1BF" w:themeColor="accent5"/>
          <w:bottom w:val="single" w:sz="18" w:space="0" w:color="61C1BF" w:themeColor="accent5"/>
          <w:right w:val="single" w:sz="8" w:space="0" w:color="61C1BF" w:themeColor="accent5"/>
          <w:insideH w:val="nil"/>
          <w:insideV w:val="single" w:sz="8" w:space="0" w:color="61C1B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C1BF" w:themeColor="accent5"/>
          <w:left w:val="single" w:sz="8" w:space="0" w:color="61C1BF" w:themeColor="accent5"/>
          <w:bottom w:val="single" w:sz="8" w:space="0" w:color="61C1BF" w:themeColor="accent5"/>
          <w:right w:val="single" w:sz="8" w:space="0" w:color="61C1BF" w:themeColor="accent5"/>
          <w:insideH w:val="nil"/>
          <w:insideV w:val="single" w:sz="8" w:space="0" w:color="61C1B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tblStylePr w:type="band1Vert">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shd w:val="clear" w:color="auto" w:fill="D7EFEF" w:themeFill="accent5" w:themeFillTint="3F"/>
      </w:tcPr>
    </w:tblStylePr>
    <w:tblStylePr w:type="band1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insideV w:val="single" w:sz="8" w:space="0" w:color="61C1BF" w:themeColor="accent5"/>
        </w:tcBorders>
        <w:shd w:val="clear" w:color="auto" w:fill="D7EFEF" w:themeFill="accent5" w:themeFillTint="3F"/>
      </w:tcPr>
    </w:tblStylePr>
    <w:tblStylePr w:type="band2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insideV w:val="single" w:sz="8" w:space="0" w:color="61C1BF"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insideH w:val="single" w:sz="8" w:space="0" w:color="00A098" w:themeColor="accent6"/>
        <w:insideV w:val="single" w:sz="8" w:space="0" w:color="00A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098" w:themeColor="accent6"/>
          <w:left w:val="single" w:sz="8" w:space="0" w:color="00A098" w:themeColor="accent6"/>
          <w:bottom w:val="single" w:sz="18" w:space="0" w:color="00A098" w:themeColor="accent6"/>
          <w:right w:val="single" w:sz="8" w:space="0" w:color="00A098" w:themeColor="accent6"/>
          <w:insideH w:val="nil"/>
          <w:insideV w:val="single" w:sz="8" w:space="0" w:color="00A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98" w:themeColor="accent6"/>
          <w:left w:val="single" w:sz="8" w:space="0" w:color="00A098" w:themeColor="accent6"/>
          <w:bottom w:val="single" w:sz="8" w:space="0" w:color="00A098" w:themeColor="accent6"/>
          <w:right w:val="single" w:sz="8" w:space="0" w:color="00A098" w:themeColor="accent6"/>
          <w:insideH w:val="nil"/>
          <w:insideV w:val="single" w:sz="8" w:space="0" w:color="00A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tblStylePr w:type="band1Vert">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shd w:val="clear" w:color="auto" w:fill="A8FFFA" w:themeFill="accent6" w:themeFillTint="3F"/>
      </w:tcPr>
    </w:tblStylePr>
    <w:tblStylePr w:type="band1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insideV w:val="single" w:sz="8" w:space="0" w:color="00A098" w:themeColor="accent6"/>
        </w:tcBorders>
        <w:shd w:val="clear" w:color="auto" w:fill="A8FFFA" w:themeFill="accent6" w:themeFillTint="3F"/>
      </w:tcPr>
    </w:tblStylePr>
    <w:tblStylePr w:type="band2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insideV w:val="single" w:sz="8" w:space="0" w:color="00A098"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tblBorders>
    </w:tblPr>
    <w:tblStylePr w:type="firstRow">
      <w:pPr>
        <w:spacing w:before="0" w:after="0" w:line="240" w:lineRule="auto"/>
      </w:pPr>
      <w:rPr>
        <w:b/>
        <w:bCs/>
        <w:color w:val="FFFFFF" w:themeColor="background1"/>
      </w:rPr>
      <w:tblPr/>
      <w:tcPr>
        <w:shd w:val="clear" w:color="auto" w:fill="0B5656" w:themeFill="accent1"/>
      </w:tcPr>
    </w:tblStylePr>
    <w:tblStylePr w:type="lastRow">
      <w:pPr>
        <w:spacing w:before="0" w:after="0" w:line="240" w:lineRule="auto"/>
      </w:pPr>
      <w:rPr>
        <w:b/>
        <w:bCs/>
      </w:rPr>
      <w:tblPr/>
      <w:tcPr>
        <w:tcBorders>
          <w:top w:val="double" w:sz="6" w:space="0" w:color="0B5656" w:themeColor="accent1"/>
          <w:left w:val="single" w:sz="8" w:space="0" w:color="0B5656" w:themeColor="accent1"/>
          <w:bottom w:val="single" w:sz="8" w:space="0" w:color="0B5656" w:themeColor="accent1"/>
          <w:right w:val="single" w:sz="8" w:space="0" w:color="0B5656" w:themeColor="accent1"/>
        </w:tcBorders>
      </w:tcPr>
    </w:tblStylePr>
    <w:tblStylePr w:type="firstCol">
      <w:rPr>
        <w:b/>
        <w:bCs/>
      </w:rPr>
    </w:tblStylePr>
    <w:tblStylePr w:type="lastCol">
      <w:rPr>
        <w:b/>
        <w:bCs/>
      </w:rPr>
    </w:tblStylePr>
    <w:tblStylePr w:type="band1Vert">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tblStylePr w:type="band1Horz">
      <w:tblPr/>
      <w:tcPr>
        <w:tcBorders>
          <w:top w:val="single" w:sz="8" w:space="0" w:color="0B5656" w:themeColor="accent1"/>
          <w:left w:val="single" w:sz="8" w:space="0" w:color="0B5656" w:themeColor="accent1"/>
          <w:bottom w:val="single" w:sz="8" w:space="0" w:color="0B5656" w:themeColor="accent1"/>
          <w:right w:val="single" w:sz="8" w:space="0" w:color="0B5656"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tblBorders>
    </w:tblPr>
    <w:tblStylePr w:type="firstRow">
      <w:pPr>
        <w:spacing w:before="0" w:after="0" w:line="240" w:lineRule="auto"/>
      </w:pPr>
      <w:rPr>
        <w:b/>
        <w:bCs/>
        <w:color w:val="FFFFFF" w:themeColor="background1"/>
      </w:rPr>
      <w:tblPr/>
      <w:tcPr>
        <w:shd w:val="clear" w:color="auto" w:fill="00A673" w:themeFill="accent2"/>
      </w:tcPr>
    </w:tblStylePr>
    <w:tblStylePr w:type="lastRow">
      <w:pPr>
        <w:spacing w:before="0" w:after="0" w:line="240" w:lineRule="auto"/>
      </w:pPr>
      <w:rPr>
        <w:b/>
        <w:bCs/>
      </w:rPr>
      <w:tblPr/>
      <w:tcPr>
        <w:tcBorders>
          <w:top w:val="double" w:sz="6" w:space="0" w:color="00A673" w:themeColor="accent2"/>
          <w:left w:val="single" w:sz="8" w:space="0" w:color="00A673" w:themeColor="accent2"/>
          <w:bottom w:val="single" w:sz="8" w:space="0" w:color="00A673" w:themeColor="accent2"/>
          <w:right w:val="single" w:sz="8" w:space="0" w:color="00A673" w:themeColor="accent2"/>
        </w:tcBorders>
      </w:tcPr>
    </w:tblStylePr>
    <w:tblStylePr w:type="firstCol">
      <w:rPr>
        <w:b/>
        <w:bCs/>
      </w:rPr>
    </w:tblStylePr>
    <w:tblStylePr w:type="lastCol">
      <w:rPr>
        <w:b/>
        <w:bCs/>
      </w:rPr>
    </w:tblStylePr>
    <w:tblStylePr w:type="band1Vert">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tblStylePr w:type="band1Horz">
      <w:tblPr/>
      <w:tcPr>
        <w:tcBorders>
          <w:top w:val="single" w:sz="8" w:space="0" w:color="00A673" w:themeColor="accent2"/>
          <w:left w:val="single" w:sz="8" w:space="0" w:color="00A673" w:themeColor="accent2"/>
          <w:bottom w:val="single" w:sz="8" w:space="0" w:color="00A673" w:themeColor="accent2"/>
          <w:right w:val="single" w:sz="8" w:space="0" w:color="00A673"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tblBorders>
    </w:tblPr>
    <w:tblStylePr w:type="firstRow">
      <w:pPr>
        <w:spacing w:before="0" w:after="0" w:line="240" w:lineRule="auto"/>
      </w:pPr>
      <w:rPr>
        <w:b/>
        <w:bCs/>
        <w:color w:val="FFFFFF" w:themeColor="background1"/>
      </w:rPr>
      <w:tblPr/>
      <w:tcPr>
        <w:shd w:val="clear" w:color="auto" w:fill="93003D" w:themeFill="accent3"/>
      </w:tcPr>
    </w:tblStylePr>
    <w:tblStylePr w:type="lastRow">
      <w:pPr>
        <w:spacing w:before="0" w:after="0" w:line="240" w:lineRule="auto"/>
      </w:pPr>
      <w:rPr>
        <w:b/>
        <w:bCs/>
      </w:rPr>
      <w:tblPr/>
      <w:tcPr>
        <w:tcBorders>
          <w:top w:val="double" w:sz="6" w:space="0" w:color="93003D" w:themeColor="accent3"/>
          <w:left w:val="single" w:sz="8" w:space="0" w:color="93003D" w:themeColor="accent3"/>
          <w:bottom w:val="single" w:sz="8" w:space="0" w:color="93003D" w:themeColor="accent3"/>
          <w:right w:val="single" w:sz="8" w:space="0" w:color="93003D" w:themeColor="accent3"/>
        </w:tcBorders>
      </w:tcPr>
    </w:tblStylePr>
    <w:tblStylePr w:type="firstCol">
      <w:rPr>
        <w:b/>
        <w:bCs/>
      </w:rPr>
    </w:tblStylePr>
    <w:tblStylePr w:type="lastCol">
      <w:rPr>
        <w:b/>
        <w:bCs/>
      </w:rPr>
    </w:tblStylePr>
    <w:tblStylePr w:type="band1Vert">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tblStylePr w:type="band1Horz">
      <w:tblPr/>
      <w:tcPr>
        <w:tcBorders>
          <w:top w:val="single" w:sz="8" w:space="0" w:color="93003D" w:themeColor="accent3"/>
          <w:left w:val="single" w:sz="8" w:space="0" w:color="93003D" w:themeColor="accent3"/>
          <w:bottom w:val="single" w:sz="8" w:space="0" w:color="93003D" w:themeColor="accent3"/>
          <w:right w:val="single" w:sz="8" w:space="0" w:color="93003D"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tblBorders>
    </w:tblPr>
    <w:tblStylePr w:type="firstRow">
      <w:pPr>
        <w:spacing w:before="0" w:after="0" w:line="240" w:lineRule="auto"/>
      </w:pPr>
      <w:rPr>
        <w:b/>
        <w:bCs/>
        <w:color w:val="FFFFFF" w:themeColor="background1"/>
      </w:rPr>
      <w:tblPr/>
      <w:tcPr>
        <w:shd w:val="clear" w:color="auto" w:fill="D3254A" w:themeFill="accent4"/>
      </w:tcPr>
    </w:tblStylePr>
    <w:tblStylePr w:type="lastRow">
      <w:pPr>
        <w:spacing w:before="0" w:after="0" w:line="240" w:lineRule="auto"/>
      </w:pPr>
      <w:rPr>
        <w:b/>
        <w:bCs/>
      </w:rPr>
      <w:tblPr/>
      <w:tcPr>
        <w:tcBorders>
          <w:top w:val="double" w:sz="6" w:space="0" w:color="D3254A" w:themeColor="accent4"/>
          <w:left w:val="single" w:sz="8" w:space="0" w:color="D3254A" w:themeColor="accent4"/>
          <w:bottom w:val="single" w:sz="8" w:space="0" w:color="D3254A" w:themeColor="accent4"/>
          <w:right w:val="single" w:sz="8" w:space="0" w:color="D3254A" w:themeColor="accent4"/>
        </w:tcBorders>
      </w:tcPr>
    </w:tblStylePr>
    <w:tblStylePr w:type="firstCol">
      <w:rPr>
        <w:b/>
        <w:bCs/>
      </w:rPr>
    </w:tblStylePr>
    <w:tblStylePr w:type="lastCol">
      <w:rPr>
        <w:b/>
        <w:bCs/>
      </w:rPr>
    </w:tblStylePr>
    <w:tblStylePr w:type="band1Vert">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tblStylePr w:type="band1Horz">
      <w:tblPr/>
      <w:tcPr>
        <w:tcBorders>
          <w:top w:val="single" w:sz="8" w:space="0" w:color="D3254A" w:themeColor="accent4"/>
          <w:left w:val="single" w:sz="8" w:space="0" w:color="D3254A" w:themeColor="accent4"/>
          <w:bottom w:val="single" w:sz="8" w:space="0" w:color="D3254A" w:themeColor="accent4"/>
          <w:right w:val="single" w:sz="8" w:space="0" w:color="D3254A"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tblBorders>
    </w:tblPr>
    <w:tblStylePr w:type="firstRow">
      <w:pPr>
        <w:spacing w:before="0" w:after="0" w:line="240" w:lineRule="auto"/>
      </w:pPr>
      <w:rPr>
        <w:b/>
        <w:bCs/>
        <w:color w:val="FFFFFF" w:themeColor="background1"/>
      </w:rPr>
      <w:tblPr/>
      <w:tcPr>
        <w:shd w:val="clear" w:color="auto" w:fill="61C1BF" w:themeFill="accent5"/>
      </w:tcPr>
    </w:tblStylePr>
    <w:tblStylePr w:type="lastRow">
      <w:pPr>
        <w:spacing w:before="0" w:after="0" w:line="240" w:lineRule="auto"/>
      </w:pPr>
      <w:rPr>
        <w:b/>
        <w:bCs/>
      </w:rPr>
      <w:tblPr/>
      <w:tcPr>
        <w:tcBorders>
          <w:top w:val="double" w:sz="6" w:space="0" w:color="61C1BF" w:themeColor="accent5"/>
          <w:left w:val="single" w:sz="8" w:space="0" w:color="61C1BF" w:themeColor="accent5"/>
          <w:bottom w:val="single" w:sz="8" w:space="0" w:color="61C1BF" w:themeColor="accent5"/>
          <w:right w:val="single" w:sz="8" w:space="0" w:color="61C1BF" w:themeColor="accent5"/>
        </w:tcBorders>
      </w:tcPr>
    </w:tblStylePr>
    <w:tblStylePr w:type="firstCol">
      <w:rPr>
        <w:b/>
        <w:bCs/>
      </w:rPr>
    </w:tblStylePr>
    <w:tblStylePr w:type="lastCol">
      <w:rPr>
        <w:b/>
        <w:bCs/>
      </w:rPr>
    </w:tblStylePr>
    <w:tblStylePr w:type="band1Vert">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tblStylePr w:type="band1Horz">
      <w:tblPr/>
      <w:tcPr>
        <w:tcBorders>
          <w:top w:val="single" w:sz="8" w:space="0" w:color="61C1BF" w:themeColor="accent5"/>
          <w:left w:val="single" w:sz="8" w:space="0" w:color="61C1BF" w:themeColor="accent5"/>
          <w:bottom w:val="single" w:sz="8" w:space="0" w:color="61C1BF" w:themeColor="accent5"/>
          <w:right w:val="single" w:sz="8" w:space="0" w:color="61C1BF"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tblBorders>
    </w:tblPr>
    <w:tblStylePr w:type="firstRow">
      <w:pPr>
        <w:spacing w:before="0" w:after="0" w:line="240" w:lineRule="auto"/>
      </w:pPr>
      <w:rPr>
        <w:b/>
        <w:bCs/>
        <w:color w:val="FFFFFF" w:themeColor="background1"/>
      </w:rPr>
      <w:tblPr/>
      <w:tcPr>
        <w:shd w:val="clear" w:color="auto" w:fill="00A098" w:themeFill="accent6"/>
      </w:tcPr>
    </w:tblStylePr>
    <w:tblStylePr w:type="lastRow">
      <w:pPr>
        <w:spacing w:before="0" w:after="0" w:line="240" w:lineRule="auto"/>
      </w:pPr>
      <w:rPr>
        <w:b/>
        <w:bCs/>
      </w:rPr>
      <w:tblPr/>
      <w:tcPr>
        <w:tcBorders>
          <w:top w:val="double" w:sz="6" w:space="0" w:color="00A098" w:themeColor="accent6"/>
          <w:left w:val="single" w:sz="8" w:space="0" w:color="00A098" w:themeColor="accent6"/>
          <w:bottom w:val="single" w:sz="8" w:space="0" w:color="00A098" w:themeColor="accent6"/>
          <w:right w:val="single" w:sz="8" w:space="0" w:color="00A098" w:themeColor="accent6"/>
        </w:tcBorders>
      </w:tcPr>
    </w:tblStylePr>
    <w:tblStylePr w:type="firstCol">
      <w:rPr>
        <w:b/>
        <w:bCs/>
      </w:rPr>
    </w:tblStylePr>
    <w:tblStylePr w:type="lastCol">
      <w:rPr>
        <w:b/>
        <w:bCs/>
      </w:rPr>
    </w:tblStylePr>
    <w:tblStylePr w:type="band1Vert">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tblStylePr w:type="band1Horz">
      <w:tblPr/>
      <w:tcPr>
        <w:tcBorders>
          <w:top w:val="single" w:sz="8" w:space="0" w:color="00A098" w:themeColor="accent6"/>
          <w:left w:val="single" w:sz="8" w:space="0" w:color="00A098" w:themeColor="accent6"/>
          <w:bottom w:val="single" w:sz="8" w:space="0" w:color="00A098" w:themeColor="accent6"/>
          <w:right w:val="single" w:sz="8" w:space="0" w:color="00A098"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084040" w:themeColor="accent1" w:themeShade="BF"/>
    </w:rPr>
    <w:tblPr>
      <w:tblStyleRowBandSize w:val="1"/>
      <w:tblStyleColBandSize w:val="1"/>
      <w:tblBorders>
        <w:top w:val="single" w:sz="8" w:space="0" w:color="0B5656" w:themeColor="accent1"/>
        <w:bottom w:val="single" w:sz="8" w:space="0" w:color="0B5656" w:themeColor="accent1"/>
      </w:tblBorders>
    </w:tblPr>
    <w:tblStylePr w:type="firstRow">
      <w:pPr>
        <w:spacing w:before="0" w:after="0" w:line="240" w:lineRule="auto"/>
      </w:pPr>
      <w:rPr>
        <w:b/>
        <w:bCs/>
      </w:rPr>
      <w:tblPr/>
      <w:tcPr>
        <w:tcBorders>
          <w:top w:val="single" w:sz="8" w:space="0" w:color="0B5656" w:themeColor="accent1"/>
          <w:left w:val="nil"/>
          <w:bottom w:val="single" w:sz="8" w:space="0" w:color="0B5656" w:themeColor="accent1"/>
          <w:right w:val="nil"/>
          <w:insideH w:val="nil"/>
          <w:insideV w:val="nil"/>
        </w:tcBorders>
      </w:tcPr>
    </w:tblStylePr>
    <w:tblStylePr w:type="lastRow">
      <w:pPr>
        <w:spacing w:before="0" w:after="0" w:line="240" w:lineRule="auto"/>
      </w:pPr>
      <w:rPr>
        <w:b/>
        <w:bCs/>
      </w:rPr>
      <w:tblPr/>
      <w:tcPr>
        <w:tcBorders>
          <w:top w:val="single" w:sz="8" w:space="0" w:color="0B5656" w:themeColor="accent1"/>
          <w:left w:val="nil"/>
          <w:bottom w:val="single" w:sz="8" w:space="0" w:color="0B565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3F3" w:themeFill="accent1" w:themeFillTint="3F"/>
      </w:tcPr>
    </w:tblStylePr>
    <w:tblStylePr w:type="band1Horz">
      <w:tblPr/>
      <w:tcPr>
        <w:tcBorders>
          <w:left w:val="nil"/>
          <w:right w:val="nil"/>
          <w:insideH w:val="nil"/>
          <w:insideV w:val="nil"/>
        </w:tcBorders>
        <w:shd w:val="clear" w:color="auto" w:fill="A4F3F3" w:themeFill="accent1" w:themeFillTint="3F"/>
      </w:tcPr>
    </w:tblStylePr>
  </w:style>
  <w:style w:type="table" w:styleId="LightShading-Accent2">
    <w:name w:val="Light Shading Accent 2"/>
    <w:basedOn w:val="TableNormal"/>
    <w:uiPriority w:val="60"/>
    <w:semiHidden/>
    <w:rsid w:val="0058629F"/>
    <w:pPr>
      <w:spacing w:line="240" w:lineRule="auto"/>
    </w:pPr>
    <w:rPr>
      <w:color w:val="007C55" w:themeColor="accent2" w:themeShade="BF"/>
    </w:rPr>
    <w:tblPr>
      <w:tblStyleRowBandSize w:val="1"/>
      <w:tblStyleColBandSize w:val="1"/>
      <w:tblBorders>
        <w:top w:val="single" w:sz="8" w:space="0" w:color="00A673" w:themeColor="accent2"/>
        <w:bottom w:val="single" w:sz="8" w:space="0" w:color="00A673" w:themeColor="accent2"/>
      </w:tblBorders>
    </w:tblPr>
    <w:tblStylePr w:type="firstRow">
      <w:pPr>
        <w:spacing w:before="0" w:after="0" w:line="240" w:lineRule="auto"/>
      </w:pPr>
      <w:rPr>
        <w:b/>
        <w:bCs/>
      </w:rPr>
      <w:tblPr/>
      <w:tcPr>
        <w:tcBorders>
          <w:top w:val="single" w:sz="8" w:space="0" w:color="00A673" w:themeColor="accent2"/>
          <w:left w:val="nil"/>
          <w:bottom w:val="single" w:sz="8" w:space="0" w:color="00A673" w:themeColor="accent2"/>
          <w:right w:val="nil"/>
          <w:insideH w:val="nil"/>
          <w:insideV w:val="nil"/>
        </w:tcBorders>
      </w:tcPr>
    </w:tblStylePr>
    <w:tblStylePr w:type="lastRow">
      <w:pPr>
        <w:spacing w:before="0" w:after="0" w:line="240" w:lineRule="auto"/>
      </w:pPr>
      <w:rPr>
        <w:b/>
        <w:bCs/>
      </w:rPr>
      <w:tblPr/>
      <w:tcPr>
        <w:tcBorders>
          <w:top w:val="single" w:sz="8" w:space="0" w:color="00A673" w:themeColor="accent2"/>
          <w:left w:val="nil"/>
          <w:bottom w:val="single" w:sz="8" w:space="0" w:color="00A67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4" w:themeFill="accent2" w:themeFillTint="3F"/>
      </w:tcPr>
    </w:tblStylePr>
    <w:tblStylePr w:type="band1Horz">
      <w:tblPr/>
      <w:tcPr>
        <w:tcBorders>
          <w:left w:val="nil"/>
          <w:right w:val="nil"/>
          <w:insideH w:val="nil"/>
          <w:insideV w:val="nil"/>
        </w:tcBorders>
        <w:shd w:val="clear" w:color="auto" w:fill="AAFFE4" w:themeFill="accent2" w:themeFillTint="3F"/>
      </w:tcPr>
    </w:tblStylePr>
  </w:style>
  <w:style w:type="table" w:styleId="LightShading-Accent3">
    <w:name w:val="Light Shading Accent 3"/>
    <w:basedOn w:val="TableNormal"/>
    <w:uiPriority w:val="60"/>
    <w:semiHidden/>
    <w:rsid w:val="0058629F"/>
    <w:pPr>
      <w:spacing w:line="240" w:lineRule="auto"/>
    </w:pPr>
    <w:rPr>
      <w:color w:val="6E002D" w:themeColor="accent3" w:themeShade="BF"/>
    </w:rPr>
    <w:tblPr>
      <w:tblStyleRowBandSize w:val="1"/>
      <w:tblStyleColBandSize w:val="1"/>
      <w:tblBorders>
        <w:top w:val="single" w:sz="8" w:space="0" w:color="93003D" w:themeColor="accent3"/>
        <w:bottom w:val="single" w:sz="8" w:space="0" w:color="93003D" w:themeColor="accent3"/>
      </w:tblBorders>
    </w:tblPr>
    <w:tblStylePr w:type="firstRow">
      <w:pPr>
        <w:spacing w:before="0" w:after="0" w:line="240" w:lineRule="auto"/>
      </w:pPr>
      <w:rPr>
        <w:b/>
        <w:bCs/>
      </w:rPr>
      <w:tblPr/>
      <w:tcPr>
        <w:tcBorders>
          <w:top w:val="single" w:sz="8" w:space="0" w:color="93003D" w:themeColor="accent3"/>
          <w:left w:val="nil"/>
          <w:bottom w:val="single" w:sz="8" w:space="0" w:color="93003D" w:themeColor="accent3"/>
          <w:right w:val="nil"/>
          <w:insideH w:val="nil"/>
          <w:insideV w:val="nil"/>
        </w:tcBorders>
      </w:tcPr>
    </w:tblStylePr>
    <w:tblStylePr w:type="lastRow">
      <w:pPr>
        <w:spacing w:before="0" w:after="0" w:line="240" w:lineRule="auto"/>
      </w:pPr>
      <w:rPr>
        <w:b/>
        <w:bCs/>
      </w:rPr>
      <w:tblPr/>
      <w:tcPr>
        <w:tcBorders>
          <w:top w:val="single" w:sz="8" w:space="0" w:color="93003D" w:themeColor="accent3"/>
          <w:left w:val="nil"/>
          <w:bottom w:val="single" w:sz="8" w:space="0" w:color="9300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CA" w:themeFill="accent3" w:themeFillTint="3F"/>
      </w:tcPr>
    </w:tblStylePr>
    <w:tblStylePr w:type="band1Horz">
      <w:tblPr/>
      <w:tcPr>
        <w:tcBorders>
          <w:left w:val="nil"/>
          <w:right w:val="nil"/>
          <w:insideH w:val="nil"/>
          <w:insideV w:val="nil"/>
        </w:tcBorders>
        <w:shd w:val="clear" w:color="auto" w:fill="FFA5CA" w:themeFill="accent3" w:themeFillTint="3F"/>
      </w:tcPr>
    </w:tblStylePr>
  </w:style>
  <w:style w:type="table" w:styleId="LightShading-Accent4">
    <w:name w:val="Light Shading Accent 4"/>
    <w:basedOn w:val="TableNormal"/>
    <w:uiPriority w:val="60"/>
    <w:semiHidden/>
    <w:rsid w:val="0058629F"/>
    <w:pPr>
      <w:spacing w:line="240" w:lineRule="auto"/>
    </w:pPr>
    <w:rPr>
      <w:color w:val="9D1B37" w:themeColor="accent4" w:themeShade="BF"/>
    </w:rPr>
    <w:tblPr>
      <w:tblStyleRowBandSize w:val="1"/>
      <w:tblStyleColBandSize w:val="1"/>
      <w:tblBorders>
        <w:top w:val="single" w:sz="8" w:space="0" w:color="D3254A" w:themeColor="accent4"/>
        <w:bottom w:val="single" w:sz="8" w:space="0" w:color="D3254A" w:themeColor="accent4"/>
      </w:tblBorders>
    </w:tblPr>
    <w:tblStylePr w:type="firstRow">
      <w:pPr>
        <w:spacing w:before="0" w:after="0" w:line="240" w:lineRule="auto"/>
      </w:pPr>
      <w:rPr>
        <w:b/>
        <w:bCs/>
      </w:rPr>
      <w:tblPr/>
      <w:tcPr>
        <w:tcBorders>
          <w:top w:val="single" w:sz="8" w:space="0" w:color="D3254A" w:themeColor="accent4"/>
          <w:left w:val="nil"/>
          <w:bottom w:val="single" w:sz="8" w:space="0" w:color="D3254A" w:themeColor="accent4"/>
          <w:right w:val="nil"/>
          <w:insideH w:val="nil"/>
          <w:insideV w:val="nil"/>
        </w:tcBorders>
      </w:tcPr>
    </w:tblStylePr>
    <w:tblStylePr w:type="lastRow">
      <w:pPr>
        <w:spacing w:before="0" w:after="0" w:line="240" w:lineRule="auto"/>
      </w:pPr>
      <w:rPr>
        <w:b/>
        <w:bCs/>
      </w:rPr>
      <w:tblPr/>
      <w:tcPr>
        <w:tcBorders>
          <w:top w:val="single" w:sz="8" w:space="0" w:color="D3254A" w:themeColor="accent4"/>
          <w:left w:val="nil"/>
          <w:bottom w:val="single" w:sz="8" w:space="0" w:color="D3254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7D1" w:themeFill="accent4" w:themeFillTint="3F"/>
      </w:tcPr>
    </w:tblStylePr>
    <w:tblStylePr w:type="band1Horz">
      <w:tblPr/>
      <w:tcPr>
        <w:tcBorders>
          <w:left w:val="nil"/>
          <w:right w:val="nil"/>
          <w:insideH w:val="nil"/>
          <w:insideV w:val="nil"/>
        </w:tcBorders>
        <w:shd w:val="clear" w:color="auto" w:fill="F5C7D1" w:themeFill="accent4" w:themeFillTint="3F"/>
      </w:tcPr>
    </w:tblStylePr>
  </w:style>
  <w:style w:type="table" w:styleId="LightShading-Accent5">
    <w:name w:val="Light Shading Accent 5"/>
    <w:basedOn w:val="TableNormal"/>
    <w:uiPriority w:val="60"/>
    <w:semiHidden/>
    <w:rsid w:val="0058629F"/>
    <w:pPr>
      <w:spacing w:line="240" w:lineRule="auto"/>
    </w:pPr>
    <w:rPr>
      <w:color w:val="3D9B99" w:themeColor="accent5" w:themeShade="BF"/>
    </w:rPr>
    <w:tblPr>
      <w:tblStyleRowBandSize w:val="1"/>
      <w:tblStyleColBandSize w:val="1"/>
      <w:tblBorders>
        <w:top w:val="single" w:sz="8" w:space="0" w:color="61C1BF" w:themeColor="accent5"/>
        <w:bottom w:val="single" w:sz="8" w:space="0" w:color="61C1BF" w:themeColor="accent5"/>
      </w:tblBorders>
    </w:tblPr>
    <w:tblStylePr w:type="firstRow">
      <w:pPr>
        <w:spacing w:before="0" w:after="0" w:line="240" w:lineRule="auto"/>
      </w:pPr>
      <w:rPr>
        <w:b/>
        <w:bCs/>
      </w:rPr>
      <w:tblPr/>
      <w:tcPr>
        <w:tcBorders>
          <w:top w:val="single" w:sz="8" w:space="0" w:color="61C1BF" w:themeColor="accent5"/>
          <w:left w:val="nil"/>
          <w:bottom w:val="single" w:sz="8" w:space="0" w:color="61C1BF" w:themeColor="accent5"/>
          <w:right w:val="nil"/>
          <w:insideH w:val="nil"/>
          <w:insideV w:val="nil"/>
        </w:tcBorders>
      </w:tcPr>
    </w:tblStylePr>
    <w:tblStylePr w:type="lastRow">
      <w:pPr>
        <w:spacing w:before="0" w:after="0" w:line="240" w:lineRule="auto"/>
      </w:pPr>
      <w:rPr>
        <w:b/>
        <w:bCs/>
      </w:rPr>
      <w:tblPr/>
      <w:tcPr>
        <w:tcBorders>
          <w:top w:val="single" w:sz="8" w:space="0" w:color="61C1BF" w:themeColor="accent5"/>
          <w:left w:val="nil"/>
          <w:bottom w:val="single" w:sz="8" w:space="0" w:color="61C1B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FEF" w:themeFill="accent5" w:themeFillTint="3F"/>
      </w:tcPr>
    </w:tblStylePr>
    <w:tblStylePr w:type="band1Horz">
      <w:tblPr/>
      <w:tcPr>
        <w:tcBorders>
          <w:left w:val="nil"/>
          <w:right w:val="nil"/>
          <w:insideH w:val="nil"/>
          <w:insideV w:val="nil"/>
        </w:tcBorders>
        <w:shd w:val="clear" w:color="auto" w:fill="D7EFEF" w:themeFill="accent5" w:themeFillTint="3F"/>
      </w:tcPr>
    </w:tblStylePr>
  </w:style>
  <w:style w:type="table" w:styleId="LightShading-Accent6">
    <w:name w:val="Light Shading Accent 6"/>
    <w:basedOn w:val="TableNormal"/>
    <w:uiPriority w:val="60"/>
    <w:semiHidden/>
    <w:rsid w:val="0058629F"/>
    <w:pPr>
      <w:spacing w:line="240" w:lineRule="auto"/>
    </w:pPr>
    <w:rPr>
      <w:color w:val="007771" w:themeColor="accent6" w:themeShade="BF"/>
    </w:rPr>
    <w:tblPr>
      <w:tblStyleRowBandSize w:val="1"/>
      <w:tblStyleColBandSize w:val="1"/>
      <w:tblBorders>
        <w:top w:val="single" w:sz="8" w:space="0" w:color="00A098" w:themeColor="accent6"/>
        <w:bottom w:val="single" w:sz="8" w:space="0" w:color="00A098" w:themeColor="accent6"/>
      </w:tblBorders>
    </w:tblPr>
    <w:tblStylePr w:type="firstRow">
      <w:pPr>
        <w:spacing w:before="0" w:after="0" w:line="240" w:lineRule="auto"/>
      </w:pPr>
      <w:rPr>
        <w:b/>
        <w:bCs/>
      </w:rPr>
      <w:tblPr/>
      <w:tcPr>
        <w:tcBorders>
          <w:top w:val="single" w:sz="8" w:space="0" w:color="00A098" w:themeColor="accent6"/>
          <w:left w:val="nil"/>
          <w:bottom w:val="single" w:sz="8" w:space="0" w:color="00A098" w:themeColor="accent6"/>
          <w:right w:val="nil"/>
          <w:insideH w:val="nil"/>
          <w:insideV w:val="nil"/>
        </w:tcBorders>
      </w:tcPr>
    </w:tblStylePr>
    <w:tblStylePr w:type="lastRow">
      <w:pPr>
        <w:spacing w:before="0" w:after="0" w:line="240" w:lineRule="auto"/>
      </w:pPr>
      <w:rPr>
        <w:b/>
        <w:bCs/>
      </w:rPr>
      <w:tblPr/>
      <w:tcPr>
        <w:tcBorders>
          <w:top w:val="single" w:sz="8" w:space="0" w:color="00A098" w:themeColor="accent6"/>
          <w:left w:val="nil"/>
          <w:bottom w:val="single" w:sz="8" w:space="0" w:color="00A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A" w:themeFill="accent6" w:themeFillTint="3F"/>
      </w:tcPr>
    </w:tblStylePr>
    <w:tblStylePr w:type="band1Horz">
      <w:tblPr/>
      <w:tcPr>
        <w:tcBorders>
          <w:left w:val="nil"/>
          <w:right w:val="nil"/>
          <w:insideH w:val="nil"/>
          <w:insideV w:val="nil"/>
        </w:tcBorders>
        <w:shd w:val="clear" w:color="auto" w:fill="A8FFFA"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23E2E2" w:themeColor="accent1" w:themeTint="99"/>
        </w:tcBorders>
      </w:tcPr>
    </w:tblStylePr>
    <w:tblStylePr w:type="lastRow">
      <w:rPr>
        <w:b/>
        <w:bCs/>
      </w:rPr>
      <w:tblPr/>
      <w:tcPr>
        <w:tcBorders>
          <w:top w:val="sing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0FFBE" w:themeColor="accent2" w:themeTint="99"/>
        </w:tcBorders>
      </w:tcPr>
    </w:tblStylePr>
    <w:tblStylePr w:type="lastRow">
      <w:rPr>
        <w:b/>
        <w:bCs/>
      </w:rPr>
      <w:tblPr/>
      <w:tcPr>
        <w:tcBorders>
          <w:top w:val="sing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F257E" w:themeColor="accent3" w:themeTint="99"/>
        </w:tcBorders>
      </w:tcPr>
    </w:tblStylePr>
    <w:tblStylePr w:type="lastRow">
      <w:rPr>
        <w:b/>
        <w:bCs/>
      </w:rPr>
      <w:tblPr/>
      <w:tcPr>
        <w:tcBorders>
          <w:top w:val="sing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77990" w:themeColor="accent4" w:themeTint="99"/>
        </w:tcBorders>
      </w:tcPr>
    </w:tblStylePr>
    <w:tblStylePr w:type="lastRow">
      <w:rPr>
        <w:b/>
        <w:bCs/>
      </w:rPr>
      <w:tblPr/>
      <w:tcPr>
        <w:tcBorders>
          <w:top w:val="sing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0D9D8" w:themeColor="accent5" w:themeTint="99"/>
        </w:tcBorders>
      </w:tcPr>
    </w:tblStylePr>
    <w:tblStylePr w:type="lastRow">
      <w:rPr>
        <w:b/>
        <w:bCs/>
      </w:rPr>
      <w:tblPr/>
      <w:tcPr>
        <w:tcBorders>
          <w:top w:val="sing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2DFFF4" w:themeColor="accent6" w:themeTint="99"/>
        </w:tcBorders>
      </w:tcPr>
    </w:tblStylePr>
    <w:tblStylePr w:type="lastRow">
      <w:rPr>
        <w:b/>
        <w:bCs/>
      </w:rPr>
      <w:tblPr/>
      <w:tcPr>
        <w:tcBorders>
          <w:top w:val="sing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23E2E2" w:themeColor="accent1" w:themeTint="99"/>
        <w:bottom w:val="single" w:sz="4" w:space="0" w:color="23E2E2" w:themeColor="accent1" w:themeTint="99"/>
        <w:insideH w:val="single" w:sz="4" w:space="0" w:color="23E2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30FFBE" w:themeColor="accent2" w:themeTint="99"/>
        <w:bottom w:val="single" w:sz="4" w:space="0" w:color="30FFBE" w:themeColor="accent2" w:themeTint="99"/>
        <w:insideH w:val="single" w:sz="4" w:space="0" w:color="30FFB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FF257E" w:themeColor="accent3" w:themeTint="99"/>
        <w:bottom w:val="single" w:sz="4" w:space="0" w:color="FF257E" w:themeColor="accent3" w:themeTint="99"/>
        <w:insideH w:val="single" w:sz="4" w:space="0" w:color="FF25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E77990" w:themeColor="accent4" w:themeTint="99"/>
        <w:bottom w:val="single" w:sz="4" w:space="0" w:color="E77990" w:themeColor="accent4" w:themeTint="99"/>
        <w:insideH w:val="single" w:sz="4" w:space="0" w:color="E779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A0D9D8" w:themeColor="accent5" w:themeTint="99"/>
        <w:bottom w:val="single" w:sz="4" w:space="0" w:color="A0D9D8" w:themeColor="accent5" w:themeTint="99"/>
        <w:insideH w:val="single" w:sz="4" w:space="0" w:color="A0D9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2DFFF4" w:themeColor="accent6" w:themeTint="99"/>
        <w:bottom w:val="single" w:sz="4" w:space="0" w:color="2DFFF4" w:themeColor="accent6" w:themeTint="99"/>
        <w:insideH w:val="single" w:sz="4" w:space="0" w:color="2DFF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0B5656" w:themeColor="accent1"/>
        <w:left w:val="single" w:sz="4" w:space="0" w:color="0B5656" w:themeColor="accent1"/>
        <w:bottom w:val="single" w:sz="4" w:space="0" w:color="0B5656" w:themeColor="accent1"/>
        <w:right w:val="single" w:sz="4" w:space="0" w:color="0B5656" w:themeColor="accent1"/>
      </w:tblBorders>
    </w:tblPr>
    <w:tblStylePr w:type="firstRow">
      <w:rPr>
        <w:b/>
        <w:bCs/>
        <w:color w:val="FFFFFF" w:themeColor="background1"/>
      </w:rPr>
      <w:tblPr/>
      <w:tcPr>
        <w:shd w:val="clear" w:color="auto" w:fill="0B5656" w:themeFill="accent1"/>
      </w:tcPr>
    </w:tblStylePr>
    <w:tblStylePr w:type="lastRow">
      <w:rPr>
        <w:b/>
        <w:bCs/>
      </w:rPr>
      <w:tblPr/>
      <w:tcPr>
        <w:tcBorders>
          <w:top w:val="double" w:sz="4" w:space="0" w:color="0B565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5656" w:themeColor="accent1"/>
          <w:right w:val="single" w:sz="4" w:space="0" w:color="0B5656" w:themeColor="accent1"/>
        </w:tcBorders>
      </w:tcPr>
    </w:tblStylePr>
    <w:tblStylePr w:type="band1Horz">
      <w:tblPr/>
      <w:tcPr>
        <w:tcBorders>
          <w:top w:val="single" w:sz="4" w:space="0" w:color="0B5656" w:themeColor="accent1"/>
          <w:bottom w:val="single" w:sz="4" w:space="0" w:color="0B565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5656" w:themeColor="accent1"/>
          <w:left w:val="nil"/>
        </w:tcBorders>
      </w:tcPr>
    </w:tblStylePr>
    <w:tblStylePr w:type="swCell">
      <w:tblPr/>
      <w:tcPr>
        <w:tcBorders>
          <w:top w:val="double" w:sz="4" w:space="0" w:color="0B5656"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00A673" w:themeColor="accent2"/>
        <w:left w:val="single" w:sz="4" w:space="0" w:color="00A673" w:themeColor="accent2"/>
        <w:bottom w:val="single" w:sz="4" w:space="0" w:color="00A673" w:themeColor="accent2"/>
        <w:right w:val="single" w:sz="4" w:space="0" w:color="00A673" w:themeColor="accent2"/>
      </w:tblBorders>
    </w:tblPr>
    <w:tblStylePr w:type="firstRow">
      <w:rPr>
        <w:b/>
        <w:bCs/>
        <w:color w:val="FFFFFF" w:themeColor="background1"/>
      </w:rPr>
      <w:tblPr/>
      <w:tcPr>
        <w:shd w:val="clear" w:color="auto" w:fill="00A673" w:themeFill="accent2"/>
      </w:tcPr>
    </w:tblStylePr>
    <w:tblStylePr w:type="lastRow">
      <w:rPr>
        <w:b/>
        <w:bCs/>
      </w:rPr>
      <w:tblPr/>
      <w:tcPr>
        <w:tcBorders>
          <w:top w:val="double" w:sz="4" w:space="0" w:color="00A6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673" w:themeColor="accent2"/>
          <w:right w:val="single" w:sz="4" w:space="0" w:color="00A673" w:themeColor="accent2"/>
        </w:tcBorders>
      </w:tcPr>
    </w:tblStylePr>
    <w:tblStylePr w:type="band1Horz">
      <w:tblPr/>
      <w:tcPr>
        <w:tcBorders>
          <w:top w:val="single" w:sz="4" w:space="0" w:color="00A673" w:themeColor="accent2"/>
          <w:bottom w:val="single" w:sz="4" w:space="0" w:color="00A6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673" w:themeColor="accent2"/>
          <w:left w:val="nil"/>
        </w:tcBorders>
      </w:tcPr>
    </w:tblStylePr>
    <w:tblStylePr w:type="swCell">
      <w:tblPr/>
      <w:tcPr>
        <w:tcBorders>
          <w:top w:val="double" w:sz="4" w:space="0" w:color="00A673"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93003D" w:themeColor="accent3"/>
        <w:left w:val="single" w:sz="4" w:space="0" w:color="93003D" w:themeColor="accent3"/>
        <w:bottom w:val="single" w:sz="4" w:space="0" w:color="93003D" w:themeColor="accent3"/>
        <w:right w:val="single" w:sz="4" w:space="0" w:color="93003D" w:themeColor="accent3"/>
      </w:tblBorders>
    </w:tblPr>
    <w:tblStylePr w:type="firstRow">
      <w:rPr>
        <w:b/>
        <w:bCs/>
        <w:color w:val="FFFFFF" w:themeColor="background1"/>
      </w:rPr>
      <w:tblPr/>
      <w:tcPr>
        <w:shd w:val="clear" w:color="auto" w:fill="93003D" w:themeFill="accent3"/>
      </w:tcPr>
    </w:tblStylePr>
    <w:tblStylePr w:type="lastRow">
      <w:rPr>
        <w:b/>
        <w:bCs/>
      </w:rPr>
      <w:tblPr/>
      <w:tcPr>
        <w:tcBorders>
          <w:top w:val="double" w:sz="4" w:space="0" w:color="9300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003D" w:themeColor="accent3"/>
          <w:right w:val="single" w:sz="4" w:space="0" w:color="93003D" w:themeColor="accent3"/>
        </w:tcBorders>
      </w:tcPr>
    </w:tblStylePr>
    <w:tblStylePr w:type="band1Horz">
      <w:tblPr/>
      <w:tcPr>
        <w:tcBorders>
          <w:top w:val="single" w:sz="4" w:space="0" w:color="93003D" w:themeColor="accent3"/>
          <w:bottom w:val="single" w:sz="4" w:space="0" w:color="9300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003D" w:themeColor="accent3"/>
          <w:left w:val="nil"/>
        </w:tcBorders>
      </w:tcPr>
    </w:tblStylePr>
    <w:tblStylePr w:type="swCell">
      <w:tblPr/>
      <w:tcPr>
        <w:tcBorders>
          <w:top w:val="double" w:sz="4" w:space="0" w:color="93003D"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D3254A" w:themeColor="accent4"/>
        <w:left w:val="single" w:sz="4" w:space="0" w:color="D3254A" w:themeColor="accent4"/>
        <w:bottom w:val="single" w:sz="4" w:space="0" w:color="D3254A" w:themeColor="accent4"/>
        <w:right w:val="single" w:sz="4" w:space="0" w:color="D3254A" w:themeColor="accent4"/>
      </w:tblBorders>
    </w:tblPr>
    <w:tblStylePr w:type="firstRow">
      <w:rPr>
        <w:b/>
        <w:bCs/>
        <w:color w:val="FFFFFF" w:themeColor="background1"/>
      </w:rPr>
      <w:tblPr/>
      <w:tcPr>
        <w:shd w:val="clear" w:color="auto" w:fill="D3254A" w:themeFill="accent4"/>
      </w:tcPr>
    </w:tblStylePr>
    <w:tblStylePr w:type="lastRow">
      <w:rPr>
        <w:b/>
        <w:bCs/>
      </w:rPr>
      <w:tblPr/>
      <w:tcPr>
        <w:tcBorders>
          <w:top w:val="double" w:sz="4" w:space="0" w:color="D3254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254A" w:themeColor="accent4"/>
          <w:right w:val="single" w:sz="4" w:space="0" w:color="D3254A" w:themeColor="accent4"/>
        </w:tcBorders>
      </w:tcPr>
    </w:tblStylePr>
    <w:tblStylePr w:type="band1Horz">
      <w:tblPr/>
      <w:tcPr>
        <w:tcBorders>
          <w:top w:val="single" w:sz="4" w:space="0" w:color="D3254A" w:themeColor="accent4"/>
          <w:bottom w:val="single" w:sz="4" w:space="0" w:color="D3254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254A" w:themeColor="accent4"/>
          <w:left w:val="nil"/>
        </w:tcBorders>
      </w:tcPr>
    </w:tblStylePr>
    <w:tblStylePr w:type="swCell">
      <w:tblPr/>
      <w:tcPr>
        <w:tcBorders>
          <w:top w:val="double" w:sz="4" w:space="0" w:color="D3254A"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61C1BF" w:themeColor="accent5"/>
        <w:left w:val="single" w:sz="4" w:space="0" w:color="61C1BF" w:themeColor="accent5"/>
        <w:bottom w:val="single" w:sz="4" w:space="0" w:color="61C1BF" w:themeColor="accent5"/>
        <w:right w:val="single" w:sz="4" w:space="0" w:color="61C1BF" w:themeColor="accent5"/>
      </w:tblBorders>
    </w:tblPr>
    <w:tblStylePr w:type="firstRow">
      <w:rPr>
        <w:b/>
        <w:bCs/>
        <w:color w:val="FFFFFF" w:themeColor="background1"/>
      </w:rPr>
      <w:tblPr/>
      <w:tcPr>
        <w:shd w:val="clear" w:color="auto" w:fill="61C1BF" w:themeFill="accent5"/>
      </w:tcPr>
    </w:tblStylePr>
    <w:tblStylePr w:type="lastRow">
      <w:rPr>
        <w:b/>
        <w:bCs/>
      </w:rPr>
      <w:tblPr/>
      <w:tcPr>
        <w:tcBorders>
          <w:top w:val="double" w:sz="4" w:space="0" w:color="61C1B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1BF" w:themeColor="accent5"/>
          <w:right w:val="single" w:sz="4" w:space="0" w:color="61C1BF" w:themeColor="accent5"/>
        </w:tcBorders>
      </w:tcPr>
    </w:tblStylePr>
    <w:tblStylePr w:type="band1Horz">
      <w:tblPr/>
      <w:tcPr>
        <w:tcBorders>
          <w:top w:val="single" w:sz="4" w:space="0" w:color="61C1BF" w:themeColor="accent5"/>
          <w:bottom w:val="single" w:sz="4" w:space="0" w:color="61C1B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1BF" w:themeColor="accent5"/>
          <w:left w:val="nil"/>
        </w:tcBorders>
      </w:tcPr>
    </w:tblStylePr>
    <w:tblStylePr w:type="swCell">
      <w:tblPr/>
      <w:tcPr>
        <w:tcBorders>
          <w:top w:val="double" w:sz="4" w:space="0" w:color="61C1BF"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00A098" w:themeColor="accent6"/>
        <w:left w:val="single" w:sz="4" w:space="0" w:color="00A098" w:themeColor="accent6"/>
        <w:bottom w:val="single" w:sz="4" w:space="0" w:color="00A098" w:themeColor="accent6"/>
        <w:right w:val="single" w:sz="4" w:space="0" w:color="00A098" w:themeColor="accent6"/>
      </w:tblBorders>
    </w:tblPr>
    <w:tblStylePr w:type="firstRow">
      <w:rPr>
        <w:b/>
        <w:bCs/>
        <w:color w:val="FFFFFF" w:themeColor="background1"/>
      </w:rPr>
      <w:tblPr/>
      <w:tcPr>
        <w:shd w:val="clear" w:color="auto" w:fill="00A098" w:themeFill="accent6"/>
      </w:tcPr>
    </w:tblStylePr>
    <w:tblStylePr w:type="lastRow">
      <w:rPr>
        <w:b/>
        <w:bCs/>
      </w:rPr>
      <w:tblPr/>
      <w:tcPr>
        <w:tcBorders>
          <w:top w:val="double" w:sz="4" w:space="0" w:color="00A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98" w:themeColor="accent6"/>
          <w:right w:val="single" w:sz="4" w:space="0" w:color="00A098" w:themeColor="accent6"/>
        </w:tcBorders>
      </w:tcPr>
    </w:tblStylePr>
    <w:tblStylePr w:type="band1Horz">
      <w:tblPr/>
      <w:tcPr>
        <w:tcBorders>
          <w:top w:val="single" w:sz="4" w:space="0" w:color="00A098" w:themeColor="accent6"/>
          <w:bottom w:val="single" w:sz="4" w:space="0" w:color="00A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98" w:themeColor="accent6"/>
          <w:left w:val="nil"/>
        </w:tcBorders>
      </w:tcPr>
    </w:tblStylePr>
    <w:tblStylePr w:type="swCell">
      <w:tblPr/>
      <w:tcPr>
        <w:tcBorders>
          <w:top w:val="double" w:sz="4" w:space="0" w:color="00A098"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23E2E2" w:themeColor="accent1" w:themeTint="99"/>
        <w:left w:val="single" w:sz="4" w:space="0" w:color="23E2E2" w:themeColor="accent1" w:themeTint="99"/>
        <w:bottom w:val="single" w:sz="4" w:space="0" w:color="23E2E2" w:themeColor="accent1" w:themeTint="99"/>
        <w:right w:val="single" w:sz="4" w:space="0" w:color="23E2E2" w:themeColor="accent1" w:themeTint="99"/>
        <w:insideH w:val="single" w:sz="4" w:space="0" w:color="23E2E2" w:themeColor="accent1" w:themeTint="99"/>
      </w:tblBorders>
    </w:tblPr>
    <w:tblStylePr w:type="firstRow">
      <w:rPr>
        <w:b/>
        <w:bCs/>
        <w:color w:val="FFFFFF" w:themeColor="background1"/>
      </w:rPr>
      <w:tblPr/>
      <w:tcPr>
        <w:tcBorders>
          <w:top w:val="single" w:sz="4" w:space="0" w:color="0B5656" w:themeColor="accent1"/>
          <w:left w:val="single" w:sz="4" w:space="0" w:color="0B5656" w:themeColor="accent1"/>
          <w:bottom w:val="single" w:sz="4" w:space="0" w:color="0B5656" w:themeColor="accent1"/>
          <w:right w:val="single" w:sz="4" w:space="0" w:color="0B5656" w:themeColor="accent1"/>
          <w:insideH w:val="nil"/>
        </w:tcBorders>
        <w:shd w:val="clear" w:color="auto" w:fill="0B5656" w:themeFill="accent1"/>
      </w:tcPr>
    </w:tblStylePr>
    <w:tblStylePr w:type="lastRow">
      <w:rPr>
        <w:b/>
        <w:bCs/>
      </w:rPr>
      <w:tblPr/>
      <w:tcPr>
        <w:tcBorders>
          <w:top w:val="double" w:sz="4" w:space="0" w:color="23E2E2" w:themeColor="accent1" w:themeTint="99"/>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30FFBE" w:themeColor="accent2" w:themeTint="99"/>
        <w:left w:val="single" w:sz="4" w:space="0" w:color="30FFBE" w:themeColor="accent2" w:themeTint="99"/>
        <w:bottom w:val="single" w:sz="4" w:space="0" w:color="30FFBE" w:themeColor="accent2" w:themeTint="99"/>
        <w:right w:val="single" w:sz="4" w:space="0" w:color="30FFBE" w:themeColor="accent2" w:themeTint="99"/>
        <w:insideH w:val="single" w:sz="4" w:space="0" w:color="30FFBE" w:themeColor="accent2" w:themeTint="99"/>
      </w:tblBorders>
    </w:tblPr>
    <w:tblStylePr w:type="firstRow">
      <w:rPr>
        <w:b/>
        <w:bCs/>
        <w:color w:val="FFFFFF" w:themeColor="background1"/>
      </w:rPr>
      <w:tblPr/>
      <w:tcPr>
        <w:tcBorders>
          <w:top w:val="single" w:sz="4" w:space="0" w:color="00A673" w:themeColor="accent2"/>
          <w:left w:val="single" w:sz="4" w:space="0" w:color="00A673" w:themeColor="accent2"/>
          <w:bottom w:val="single" w:sz="4" w:space="0" w:color="00A673" w:themeColor="accent2"/>
          <w:right w:val="single" w:sz="4" w:space="0" w:color="00A673" w:themeColor="accent2"/>
          <w:insideH w:val="nil"/>
        </w:tcBorders>
        <w:shd w:val="clear" w:color="auto" w:fill="00A673" w:themeFill="accent2"/>
      </w:tcPr>
    </w:tblStylePr>
    <w:tblStylePr w:type="lastRow">
      <w:rPr>
        <w:b/>
        <w:bCs/>
      </w:rPr>
      <w:tblPr/>
      <w:tcPr>
        <w:tcBorders>
          <w:top w:val="double" w:sz="4" w:space="0" w:color="30FFBE" w:themeColor="accent2" w:themeTint="99"/>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FF257E" w:themeColor="accent3" w:themeTint="99"/>
        <w:left w:val="single" w:sz="4" w:space="0" w:color="FF257E" w:themeColor="accent3" w:themeTint="99"/>
        <w:bottom w:val="single" w:sz="4" w:space="0" w:color="FF257E" w:themeColor="accent3" w:themeTint="99"/>
        <w:right w:val="single" w:sz="4" w:space="0" w:color="FF257E" w:themeColor="accent3" w:themeTint="99"/>
        <w:insideH w:val="single" w:sz="4" w:space="0" w:color="FF257E" w:themeColor="accent3" w:themeTint="99"/>
      </w:tblBorders>
    </w:tblPr>
    <w:tblStylePr w:type="firstRow">
      <w:rPr>
        <w:b/>
        <w:bCs/>
        <w:color w:val="FFFFFF" w:themeColor="background1"/>
      </w:rPr>
      <w:tblPr/>
      <w:tcPr>
        <w:tcBorders>
          <w:top w:val="single" w:sz="4" w:space="0" w:color="93003D" w:themeColor="accent3"/>
          <w:left w:val="single" w:sz="4" w:space="0" w:color="93003D" w:themeColor="accent3"/>
          <w:bottom w:val="single" w:sz="4" w:space="0" w:color="93003D" w:themeColor="accent3"/>
          <w:right w:val="single" w:sz="4" w:space="0" w:color="93003D" w:themeColor="accent3"/>
          <w:insideH w:val="nil"/>
        </w:tcBorders>
        <w:shd w:val="clear" w:color="auto" w:fill="93003D" w:themeFill="accent3"/>
      </w:tcPr>
    </w:tblStylePr>
    <w:tblStylePr w:type="lastRow">
      <w:rPr>
        <w:b/>
        <w:bCs/>
      </w:rPr>
      <w:tblPr/>
      <w:tcPr>
        <w:tcBorders>
          <w:top w:val="double" w:sz="4" w:space="0" w:color="FF257E" w:themeColor="accent3" w:themeTint="99"/>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E77990" w:themeColor="accent4" w:themeTint="99"/>
        <w:left w:val="single" w:sz="4" w:space="0" w:color="E77990" w:themeColor="accent4" w:themeTint="99"/>
        <w:bottom w:val="single" w:sz="4" w:space="0" w:color="E77990" w:themeColor="accent4" w:themeTint="99"/>
        <w:right w:val="single" w:sz="4" w:space="0" w:color="E77990" w:themeColor="accent4" w:themeTint="99"/>
        <w:insideH w:val="single" w:sz="4" w:space="0" w:color="E77990" w:themeColor="accent4" w:themeTint="99"/>
      </w:tblBorders>
    </w:tblPr>
    <w:tblStylePr w:type="firstRow">
      <w:rPr>
        <w:b/>
        <w:bCs/>
        <w:color w:val="FFFFFF" w:themeColor="background1"/>
      </w:rPr>
      <w:tblPr/>
      <w:tcPr>
        <w:tcBorders>
          <w:top w:val="single" w:sz="4" w:space="0" w:color="D3254A" w:themeColor="accent4"/>
          <w:left w:val="single" w:sz="4" w:space="0" w:color="D3254A" w:themeColor="accent4"/>
          <w:bottom w:val="single" w:sz="4" w:space="0" w:color="D3254A" w:themeColor="accent4"/>
          <w:right w:val="single" w:sz="4" w:space="0" w:color="D3254A" w:themeColor="accent4"/>
          <w:insideH w:val="nil"/>
        </w:tcBorders>
        <w:shd w:val="clear" w:color="auto" w:fill="D3254A" w:themeFill="accent4"/>
      </w:tcPr>
    </w:tblStylePr>
    <w:tblStylePr w:type="lastRow">
      <w:rPr>
        <w:b/>
        <w:bCs/>
      </w:rPr>
      <w:tblPr/>
      <w:tcPr>
        <w:tcBorders>
          <w:top w:val="double" w:sz="4" w:space="0" w:color="E77990" w:themeColor="accent4" w:themeTint="99"/>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A0D9D8" w:themeColor="accent5" w:themeTint="99"/>
        <w:left w:val="single" w:sz="4" w:space="0" w:color="A0D9D8" w:themeColor="accent5" w:themeTint="99"/>
        <w:bottom w:val="single" w:sz="4" w:space="0" w:color="A0D9D8" w:themeColor="accent5" w:themeTint="99"/>
        <w:right w:val="single" w:sz="4" w:space="0" w:color="A0D9D8" w:themeColor="accent5" w:themeTint="99"/>
        <w:insideH w:val="single" w:sz="4" w:space="0" w:color="A0D9D8" w:themeColor="accent5" w:themeTint="99"/>
      </w:tblBorders>
    </w:tblPr>
    <w:tblStylePr w:type="firstRow">
      <w:rPr>
        <w:b/>
        <w:bCs/>
        <w:color w:val="FFFFFF" w:themeColor="background1"/>
      </w:rPr>
      <w:tblPr/>
      <w:tcPr>
        <w:tcBorders>
          <w:top w:val="single" w:sz="4" w:space="0" w:color="61C1BF" w:themeColor="accent5"/>
          <w:left w:val="single" w:sz="4" w:space="0" w:color="61C1BF" w:themeColor="accent5"/>
          <w:bottom w:val="single" w:sz="4" w:space="0" w:color="61C1BF" w:themeColor="accent5"/>
          <w:right w:val="single" w:sz="4" w:space="0" w:color="61C1BF" w:themeColor="accent5"/>
          <w:insideH w:val="nil"/>
        </w:tcBorders>
        <w:shd w:val="clear" w:color="auto" w:fill="61C1BF" w:themeFill="accent5"/>
      </w:tcPr>
    </w:tblStylePr>
    <w:tblStylePr w:type="lastRow">
      <w:rPr>
        <w:b/>
        <w:bCs/>
      </w:rPr>
      <w:tblPr/>
      <w:tcPr>
        <w:tcBorders>
          <w:top w:val="double" w:sz="4" w:space="0" w:color="A0D9D8" w:themeColor="accent5" w:themeTint="99"/>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2DFFF4" w:themeColor="accent6" w:themeTint="99"/>
        <w:left w:val="single" w:sz="4" w:space="0" w:color="2DFFF4" w:themeColor="accent6" w:themeTint="99"/>
        <w:bottom w:val="single" w:sz="4" w:space="0" w:color="2DFFF4" w:themeColor="accent6" w:themeTint="99"/>
        <w:right w:val="single" w:sz="4" w:space="0" w:color="2DFFF4" w:themeColor="accent6" w:themeTint="99"/>
        <w:insideH w:val="single" w:sz="4" w:space="0" w:color="2DFFF4" w:themeColor="accent6" w:themeTint="99"/>
      </w:tblBorders>
    </w:tblPr>
    <w:tblStylePr w:type="firstRow">
      <w:rPr>
        <w:b/>
        <w:bCs/>
        <w:color w:val="FFFFFF" w:themeColor="background1"/>
      </w:rPr>
      <w:tblPr/>
      <w:tcPr>
        <w:tcBorders>
          <w:top w:val="single" w:sz="4" w:space="0" w:color="00A098" w:themeColor="accent6"/>
          <w:left w:val="single" w:sz="4" w:space="0" w:color="00A098" w:themeColor="accent6"/>
          <w:bottom w:val="single" w:sz="4" w:space="0" w:color="00A098" w:themeColor="accent6"/>
          <w:right w:val="single" w:sz="4" w:space="0" w:color="00A098" w:themeColor="accent6"/>
          <w:insideH w:val="nil"/>
        </w:tcBorders>
        <w:shd w:val="clear" w:color="auto" w:fill="00A098" w:themeFill="accent6"/>
      </w:tcPr>
    </w:tblStylePr>
    <w:tblStylePr w:type="lastRow">
      <w:rPr>
        <w:b/>
        <w:bCs/>
      </w:rPr>
      <w:tblPr/>
      <w:tcPr>
        <w:tcBorders>
          <w:top w:val="double" w:sz="4" w:space="0" w:color="2DFFF4" w:themeColor="accent6" w:themeTint="99"/>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0B5656" w:themeColor="accent1"/>
        <w:left w:val="single" w:sz="24" w:space="0" w:color="0B5656" w:themeColor="accent1"/>
        <w:bottom w:val="single" w:sz="24" w:space="0" w:color="0B5656" w:themeColor="accent1"/>
        <w:right w:val="single" w:sz="24" w:space="0" w:color="0B5656" w:themeColor="accent1"/>
      </w:tblBorders>
    </w:tblPr>
    <w:tcPr>
      <w:shd w:val="clear" w:color="auto" w:fill="0B565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A673" w:themeColor="accent2"/>
        <w:left w:val="single" w:sz="24" w:space="0" w:color="00A673" w:themeColor="accent2"/>
        <w:bottom w:val="single" w:sz="24" w:space="0" w:color="00A673" w:themeColor="accent2"/>
        <w:right w:val="single" w:sz="24" w:space="0" w:color="00A673" w:themeColor="accent2"/>
      </w:tblBorders>
    </w:tblPr>
    <w:tcPr>
      <w:shd w:val="clear" w:color="auto" w:fill="00A6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93003D" w:themeColor="accent3"/>
        <w:left w:val="single" w:sz="24" w:space="0" w:color="93003D" w:themeColor="accent3"/>
        <w:bottom w:val="single" w:sz="24" w:space="0" w:color="93003D" w:themeColor="accent3"/>
        <w:right w:val="single" w:sz="24" w:space="0" w:color="93003D" w:themeColor="accent3"/>
      </w:tblBorders>
    </w:tblPr>
    <w:tcPr>
      <w:shd w:val="clear" w:color="auto" w:fill="9300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D3254A" w:themeColor="accent4"/>
        <w:left w:val="single" w:sz="24" w:space="0" w:color="D3254A" w:themeColor="accent4"/>
        <w:bottom w:val="single" w:sz="24" w:space="0" w:color="D3254A" w:themeColor="accent4"/>
        <w:right w:val="single" w:sz="24" w:space="0" w:color="D3254A" w:themeColor="accent4"/>
      </w:tblBorders>
    </w:tblPr>
    <w:tcPr>
      <w:shd w:val="clear" w:color="auto" w:fill="D3254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61C1BF" w:themeColor="accent5"/>
        <w:left w:val="single" w:sz="24" w:space="0" w:color="61C1BF" w:themeColor="accent5"/>
        <w:bottom w:val="single" w:sz="24" w:space="0" w:color="61C1BF" w:themeColor="accent5"/>
        <w:right w:val="single" w:sz="24" w:space="0" w:color="61C1BF" w:themeColor="accent5"/>
      </w:tblBorders>
    </w:tblPr>
    <w:tcPr>
      <w:shd w:val="clear" w:color="auto" w:fill="61C1B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A098" w:themeColor="accent6"/>
        <w:left w:val="single" w:sz="24" w:space="0" w:color="00A098" w:themeColor="accent6"/>
        <w:bottom w:val="single" w:sz="24" w:space="0" w:color="00A098" w:themeColor="accent6"/>
        <w:right w:val="single" w:sz="24" w:space="0" w:color="00A098" w:themeColor="accent6"/>
      </w:tblBorders>
    </w:tblPr>
    <w:tcPr>
      <w:shd w:val="clear" w:color="auto" w:fill="00A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084040" w:themeColor="accent1" w:themeShade="BF"/>
    </w:rPr>
    <w:tblPr>
      <w:tblStyleRowBandSize w:val="1"/>
      <w:tblStyleColBandSize w:val="1"/>
      <w:tblBorders>
        <w:top w:val="single" w:sz="4" w:space="0" w:color="0B5656" w:themeColor="accent1"/>
        <w:bottom w:val="single" w:sz="4" w:space="0" w:color="0B5656" w:themeColor="accent1"/>
      </w:tblBorders>
    </w:tblPr>
    <w:tblStylePr w:type="firstRow">
      <w:rPr>
        <w:b/>
        <w:bCs/>
      </w:rPr>
      <w:tblPr/>
      <w:tcPr>
        <w:tcBorders>
          <w:bottom w:val="single" w:sz="4" w:space="0" w:color="0B5656" w:themeColor="accent1"/>
        </w:tcBorders>
      </w:tcPr>
    </w:tblStylePr>
    <w:tblStylePr w:type="lastRow">
      <w:rPr>
        <w:b/>
        <w:bCs/>
      </w:rPr>
      <w:tblPr/>
      <w:tcPr>
        <w:tcBorders>
          <w:top w:val="double" w:sz="4" w:space="0" w:color="0B5656" w:themeColor="accent1"/>
        </w:tcBorders>
      </w:tcPr>
    </w:tblStylePr>
    <w:tblStylePr w:type="firstCol">
      <w:rPr>
        <w:b/>
        <w:bCs/>
      </w:rPr>
    </w:tblStylePr>
    <w:tblStylePr w:type="lastCol">
      <w:rPr>
        <w:b/>
        <w:bCs/>
      </w:rPr>
    </w:tblStylePr>
    <w:tblStylePr w:type="band1Vert">
      <w:tblPr/>
      <w:tcPr>
        <w:shd w:val="clear" w:color="auto" w:fill="B5F5F5" w:themeFill="accent1" w:themeFillTint="33"/>
      </w:tcPr>
    </w:tblStylePr>
    <w:tblStylePr w:type="band1Horz">
      <w:tblPr/>
      <w:tcPr>
        <w:shd w:val="clear" w:color="auto" w:fill="B5F5F5"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007C55" w:themeColor="accent2" w:themeShade="BF"/>
    </w:rPr>
    <w:tblPr>
      <w:tblStyleRowBandSize w:val="1"/>
      <w:tblStyleColBandSize w:val="1"/>
      <w:tblBorders>
        <w:top w:val="single" w:sz="4" w:space="0" w:color="00A673" w:themeColor="accent2"/>
        <w:bottom w:val="single" w:sz="4" w:space="0" w:color="00A673" w:themeColor="accent2"/>
      </w:tblBorders>
    </w:tblPr>
    <w:tblStylePr w:type="firstRow">
      <w:rPr>
        <w:b/>
        <w:bCs/>
      </w:rPr>
      <w:tblPr/>
      <w:tcPr>
        <w:tcBorders>
          <w:bottom w:val="single" w:sz="4" w:space="0" w:color="00A673" w:themeColor="accent2"/>
        </w:tcBorders>
      </w:tcPr>
    </w:tblStylePr>
    <w:tblStylePr w:type="lastRow">
      <w:rPr>
        <w:b/>
        <w:bCs/>
      </w:rPr>
      <w:tblPr/>
      <w:tcPr>
        <w:tcBorders>
          <w:top w:val="double" w:sz="4" w:space="0" w:color="00A673" w:themeColor="accent2"/>
        </w:tcBorders>
      </w:tcPr>
    </w:tblStylePr>
    <w:tblStylePr w:type="firstCol">
      <w:rPr>
        <w:b/>
        <w:bCs/>
      </w:rPr>
    </w:tblStylePr>
    <w:tblStylePr w:type="lastCol">
      <w:rPr>
        <w:b/>
        <w:bCs/>
      </w:rPr>
    </w:tblStylePr>
    <w:tblStylePr w:type="band1Vert">
      <w:tblPr/>
      <w:tcPr>
        <w:shd w:val="clear" w:color="auto" w:fill="BAFFE9" w:themeFill="accent2" w:themeFillTint="33"/>
      </w:tcPr>
    </w:tblStylePr>
    <w:tblStylePr w:type="band1Horz">
      <w:tblPr/>
      <w:tcPr>
        <w:shd w:val="clear" w:color="auto" w:fill="BAFFE9"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6E002D" w:themeColor="accent3" w:themeShade="BF"/>
    </w:rPr>
    <w:tblPr>
      <w:tblStyleRowBandSize w:val="1"/>
      <w:tblStyleColBandSize w:val="1"/>
      <w:tblBorders>
        <w:top w:val="single" w:sz="4" w:space="0" w:color="93003D" w:themeColor="accent3"/>
        <w:bottom w:val="single" w:sz="4" w:space="0" w:color="93003D" w:themeColor="accent3"/>
      </w:tblBorders>
    </w:tblPr>
    <w:tblStylePr w:type="firstRow">
      <w:rPr>
        <w:b/>
        <w:bCs/>
      </w:rPr>
      <w:tblPr/>
      <w:tcPr>
        <w:tcBorders>
          <w:bottom w:val="single" w:sz="4" w:space="0" w:color="93003D" w:themeColor="accent3"/>
        </w:tcBorders>
      </w:tcPr>
    </w:tblStylePr>
    <w:tblStylePr w:type="lastRow">
      <w:rPr>
        <w:b/>
        <w:bCs/>
      </w:rPr>
      <w:tblPr/>
      <w:tcPr>
        <w:tcBorders>
          <w:top w:val="double" w:sz="4" w:space="0" w:color="93003D" w:themeColor="accent3"/>
        </w:tcBorders>
      </w:tcPr>
    </w:tblStylePr>
    <w:tblStylePr w:type="firstCol">
      <w:rPr>
        <w:b/>
        <w:bCs/>
      </w:rPr>
    </w:tblStylePr>
    <w:tblStylePr w:type="lastCol">
      <w:rPr>
        <w:b/>
        <w:bCs/>
      </w:rPr>
    </w:tblStylePr>
    <w:tblStylePr w:type="band1Vert">
      <w:tblPr/>
      <w:tcPr>
        <w:shd w:val="clear" w:color="auto" w:fill="FFB6D4" w:themeFill="accent3" w:themeFillTint="33"/>
      </w:tcPr>
    </w:tblStylePr>
    <w:tblStylePr w:type="band1Horz">
      <w:tblPr/>
      <w:tcPr>
        <w:shd w:val="clear" w:color="auto" w:fill="FFB6D4"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9D1B37" w:themeColor="accent4" w:themeShade="BF"/>
    </w:rPr>
    <w:tblPr>
      <w:tblStyleRowBandSize w:val="1"/>
      <w:tblStyleColBandSize w:val="1"/>
      <w:tblBorders>
        <w:top w:val="single" w:sz="4" w:space="0" w:color="D3254A" w:themeColor="accent4"/>
        <w:bottom w:val="single" w:sz="4" w:space="0" w:color="D3254A" w:themeColor="accent4"/>
      </w:tblBorders>
    </w:tblPr>
    <w:tblStylePr w:type="firstRow">
      <w:rPr>
        <w:b/>
        <w:bCs/>
      </w:rPr>
      <w:tblPr/>
      <w:tcPr>
        <w:tcBorders>
          <w:bottom w:val="single" w:sz="4" w:space="0" w:color="D3254A" w:themeColor="accent4"/>
        </w:tcBorders>
      </w:tcPr>
    </w:tblStylePr>
    <w:tblStylePr w:type="lastRow">
      <w:rPr>
        <w:b/>
        <w:bCs/>
      </w:rPr>
      <w:tblPr/>
      <w:tcPr>
        <w:tcBorders>
          <w:top w:val="double" w:sz="4" w:space="0" w:color="D3254A" w:themeColor="accent4"/>
        </w:tcBorders>
      </w:tcPr>
    </w:tblStylePr>
    <w:tblStylePr w:type="firstCol">
      <w:rPr>
        <w:b/>
        <w:bCs/>
      </w:rPr>
    </w:tblStylePr>
    <w:tblStylePr w:type="lastCol">
      <w:rPr>
        <w:b/>
        <w:bCs/>
      </w:rPr>
    </w:tblStylePr>
    <w:tblStylePr w:type="band1Vert">
      <w:tblPr/>
      <w:tcPr>
        <w:shd w:val="clear" w:color="auto" w:fill="F7D2DA" w:themeFill="accent4" w:themeFillTint="33"/>
      </w:tcPr>
    </w:tblStylePr>
    <w:tblStylePr w:type="band1Horz">
      <w:tblPr/>
      <w:tcPr>
        <w:shd w:val="clear" w:color="auto" w:fill="F7D2D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3D9B99" w:themeColor="accent5" w:themeShade="BF"/>
    </w:rPr>
    <w:tblPr>
      <w:tblStyleRowBandSize w:val="1"/>
      <w:tblStyleColBandSize w:val="1"/>
      <w:tblBorders>
        <w:top w:val="single" w:sz="4" w:space="0" w:color="61C1BF" w:themeColor="accent5"/>
        <w:bottom w:val="single" w:sz="4" w:space="0" w:color="61C1BF" w:themeColor="accent5"/>
      </w:tblBorders>
    </w:tblPr>
    <w:tblStylePr w:type="firstRow">
      <w:rPr>
        <w:b/>
        <w:bCs/>
      </w:rPr>
      <w:tblPr/>
      <w:tcPr>
        <w:tcBorders>
          <w:bottom w:val="single" w:sz="4" w:space="0" w:color="61C1BF" w:themeColor="accent5"/>
        </w:tcBorders>
      </w:tcPr>
    </w:tblStylePr>
    <w:tblStylePr w:type="lastRow">
      <w:rPr>
        <w:b/>
        <w:bCs/>
      </w:rPr>
      <w:tblPr/>
      <w:tcPr>
        <w:tcBorders>
          <w:top w:val="double" w:sz="4" w:space="0" w:color="61C1BF" w:themeColor="accent5"/>
        </w:tcBorders>
      </w:tcPr>
    </w:tblStylePr>
    <w:tblStylePr w:type="firstCol">
      <w:rPr>
        <w:b/>
        <w:bCs/>
      </w:rPr>
    </w:tblStylePr>
    <w:tblStylePr w:type="lastCol">
      <w:rPr>
        <w:b/>
        <w:bCs/>
      </w:rPr>
    </w:tblStylePr>
    <w:tblStylePr w:type="band1Vert">
      <w:tblPr/>
      <w:tcPr>
        <w:shd w:val="clear" w:color="auto" w:fill="DFF2F2" w:themeFill="accent5" w:themeFillTint="33"/>
      </w:tcPr>
    </w:tblStylePr>
    <w:tblStylePr w:type="band1Horz">
      <w:tblPr/>
      <w:tcPr>
        <w:shd w:val="clear" w:color="auto" w:fill="DFF2F2"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007771" w:themeColor="accent6" w:themeShade="BF"/>
    </w:rPr>
    <w:tblPr>
      <w:tblStyleRowBandSize w:val="1"/>
      <w:tblStyleColBandSize w:val="1"/>
      <w:tblBorders>
        <w:top w:val="single" w:sz="4" w:space="0" w:color="00A098" w:themeColor="accent6"/>
        <w:bottom w:val="single" w:sz="4" w:space="0" w:color="00A098" w:themeColor="accent6"/>
      </w:tblBorders>
    </w:tblPr>
    <w:tblStylePr w:type="firstRow">
      <w:rPr>
        <w:b/>
        <w:bCs/>
      </w:rPr>
      <w:tblPr/>
      <w:tcPr>
        <w:tcBorders>
          <w:bottom w:val="single" w:sz="4" w:space="0" w:color="00A098" w:themeColor="accent6"/>
        </w:tcBorders>
      </w:tcPr>
    </w:tblStylePr>
    <w:tblStylePr w:type="lastRow">
      <w:rPr>
        <w:b/>
        <w:bCs/>
      </w:rPr>
      <w:tblPr/>
      <w:tcPr>
        <w:tcBorders>
          <w:top w:val="double" w:sz="4" w:space="0" w:color="00A098" w:themeColor="accent6"/>
        </w:tcBorders>
      </w:tcPr>
    </w:tblStylePr>
    <w:tblStylePr w:type="firstCol">
      <w:rPr>
        <w:b/>
        <w:bCs/>
      </w:rPr>
    </w:tblStylePr>
    <w:tblStylePr w:type="lastCol">
      <w:rPr>
        <w:b/>
        <w:bCs/>
      </w:rPr>
    </w:tblStylePr>
    <w:tblStylePr w:type="band1Vert">
      <w:tblPr/>
      <w:tcPr>
        <w:shd w:val="clear" w:color="auto" w:fill="B9FFFB" w:themeFill="accent6" w:themeFillTint="33"/>
      </w:tcPr>
    </w:tblStylePr>
    <w:tblStylePr w:type="band1Horz">
      <w:tblPr/>
      <w:tcPr>
        <w:shd w:val="clear" w:color="auto" w:fill="B9FFFB"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08404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565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565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565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5656" w:themeColor="accent1"/>
        </w:tcBorders>
        <w:shd w:val="clear" w:color="auto" w:fill="FFFFFF" w:themeFill="background1"/>
      </w:tcPr>
    </w:tblStylePr>
    <w:tblStylePr w:type="band1Vert">
      <w:tblPr/>
      <w:tcPr>
        <w:shd w:val="clear" w:color="auto" w:fill="B5F5F5" w:themeFill="accent1" w:themeFillTint="33"/>
      </w:tcPr>
    </w:tblStylePr>
    <w:tblStylePr w:type="band1Horz">
      <w:tblPr/>
      <w:tcPr>
        <w:shd w:val="clear" w:color="auto" w:fill="B5F5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007C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6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6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6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673" w:themeColor="accent2"/>
        </w:tcBorders>
        <w:shd w:val="clear" w:color="auto" w:fill="FFFFFF" w:themeFill="background1"/>
      </w:tcPr>
    </w:tblStylePr>
    <w:tblStylePr w:type="band1Vert">
      <w:tblPr/>
      <w:tcPr>
        <w:shd w:val="clear" w:color="auto" w:fill="BAFFE9" w:themeFill="accent2" w:themeFillTint="33"/>
      </w:tcPr>
    </w:tblStylePr>
    <w:tblStylePr w:type="band1Horz">
      <w:tblPr/>
      <w:tcPr>
        <w:shd w:val="clear" w:color="auto" w:fill="BAFF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6E00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00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00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00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003D" w:themeColor="accent3"/>
        </w:tcBorders>
        <w:shd w:val="clear" w:color="auto" w:fill="FFFFFF" w:themeFill="background1"/>
      </w:tcPr>
    </w:tblStylePr>
    <w:tblStylePr w:type="band1Vert">
      <w:tblPr/>
      <w:tcPr>
        <w:shd w:val="clear" w:color="auto" w:fill="FFB6D4" w:themeFill="accent3" w:themeFillTint="33"/>
      </w:tcPr>
    </w:tblStylePr>
    <w:tblStylePr w:type="band1Horz">
      <w:tblPr/>
      <w:tcPr>
        <w:shd w:val="clear" w:color="auto" w:fill="FFB6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9D1B3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254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254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254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254A" w:themeColor="accent4"/>
        </w:tcBorders>
        <w:shd w:val="clear" w:color="auto" w:fill="FFFFFF" w:themeFill="background1"/>
      </w:tcPr>
    </w:tblStylePr>
    <w:tblStylePr w:type="band1Vert">
      <w:tblPr/>
      <w:tcPr>
        <w:shd w:val="clear" w:color="auto" w:fill="F7D2DA" w:themeFill="accent4" w:themeFillTint="33"/>
      </w:tcPr>
    </w:tblStylePr>
    <w:tblStylePr w:type="band1Horz">
      <w:tblPr/>
      <w:tcPr>
        <w:shd w:val="clear" w:color="auto" w:fill="F7D2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3D9B9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C1B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C1B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C1B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C1BF" w:themeColor="accent5"/>
        </w:tcBorders>
        <w:shd w:val="clear" w:color="auto" w:fill="FFFFFF" w:themeFill="background1"/>
      </w:tcPr>
    </w:tblStylePr>
    <w:tblStylePr w:type="band1Vert">
      <w:tblPr/>
      <w:tcPr>
        <w:shd w:val="clear" w:color="auto" w:fill="DFF2F2" w:themeFill="accent5" w:themeFillTint="33"/>
      </w:tcPr>
    </w:tblStylePr>
    <w:tblStylePr w:type="band1Horz">
      <w:tblPr/>
      <w:tcPr>
        <w:shd w:val="clear" w:color="auto" w:fill="DFF2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0077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98" w:themeColor="accent6"/>
        </w:tcBorders>
        <w:shd w:val="clear" w:color="auto" w:fill="FFFFFF" w:themeFill="background1"/>
      </w:tcPr>
    </w:tblStylePr>
    <w:tblStylePr w:type="band1Vert">
      <w:tblPr/>
      <w:tcPr>
        <w:shd w:val="clear" w:color="auto" w:fill="B9FFFB" w:themeFill="accent6" w:themeFillTint="33"/>
      </w:tcPr>
    </w:tblStylePr>
    <w:tblStylePr w:type="band1Horz">
      <w:tblPr/>
      <w:tcPr>
        <w:shd w:val="clear" w:color="auto" w:fill="B9FF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single" w:sz="8" w:space="0" w:color="16B1B1" w:themeColor="accent1" w:themeTint="BF"/>
        <w:insideV w:val="single" w:sz="8" w:space="0" w:color="16B1B1" w:themeColor="accent1" w:themeTint="BF"/>
      </w:tblBorders>
    </w:tblPr>
    <w:tcPr>
      <w:shd w:val="clear" w:color="auto" w:fill="A4F3F3" w:themeFill="accent1" w:themeFillTint="3F"/>
    </w:tcPr>
    <w:tblStylePr w:type="firstRow">
      <w:rPr>
        <w:b/>
        <w:bCs/>
      </w:rPr>
    </w:tblStylePr>
    <w:tblStylePr w:type="lastRow">
      <w:rPr>
        <w:b/>
        <w:bCs/>
      </w:rPr>
      <w:tblPr/>
      <w:tcPr>
        <w:tcBorders>
          <w:top w:val="single" w:sz="18" w:space="0" w:color="16B1B1" w:themeColor="accent1" w:themeTint="BF"/>
        </w:tcBorders>
      </w:tcPr>
    </w:tblStylePr>
    <w:tblStylePr w:type="firstCol">
      <w:rPr>
        <w:b/>
        <w:bCs/>
      </w:rPr>
    </w:tblStylePr>
    <w:tblStylePr w:type="lastCol">
      <w:rPr>
        <w:b/>
        <w:bCs/>
      </w:rPr>
    </w:tblStylePr>
    <w:tblStylePr w:type="band1Vert">
      <w:tblPr/>
      <w:tcPr>
        <w:shd w:val="clear" w:color="auto" w:fill="48E7E7" w:themeFill="accent1" w:themeFillTint="7F"/>
      </w:tcPr>
    </w:tblStylePr>
    <w:tblStylePr w:type="band1Horz">
      <w:tblPr/>
      <w:tcPr>
        <w:shd w:val="clear" w:color="auto" w:fill="48E7E7"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single" w:sz="8" w:space="0" w:color="00FCAE" w:themeColor="accent2" w:themeTint="BF"/>
        <w:insideV w:val="single" w:sz="8" w:space="0" w:color="00FCAE" w:themeColor="accent2" w:themeTint="BF"/>
      </w:tblBorders>
    </w:tblPr>
    <w:tcPr>
      <w:shd w:val="clear" w:color="auto" w:fill="AAFFE4" w:themeFill="accent2" w:themeFillTint="3F"/>
    </w:tcPr>
    <w:tblStylePr w:type="firstRow">
      <w:rPr>
        <w:b/>
        <w:bCs/>
      </w:rPr>
    </w:tblStylePr>
    <w:tblStylePr w:type="lastRow">
      <w:rPr>
        <w:b/>
        <w:bCs/>
      </w:rPr>
      <w:tblPr/>
      <w:tcPr>
        <w:tcBorders>
          <w:top w:val="single" w:sz="18" w:space="0" w:color="00FCAE" w:themeColor="accent2" w:themeTint="BF"/>
        </w:tcBorders>
      </w:tcPr>
    </w:tblStylePr>
    <w:tblStylePr w:type="firstCol">
      <w:rPr>
        <w:b/>
        <w:bCs/>
      </w:rPr>
    </w:tblStylePr>
    <w:tblStylePr w:type="lastCol">
      <w:rPr>
        <w:b/>
        <w:bCs/>
      </w:rPr>
    </w:tblStylePr>
    <w:tblStylePr w:type="band1Vert">
      <w:tblPr/>
      <w:tcPr>
        <w:shd w:val="clear" w:color="auto" w:fill="53FFC9" w:themeFill="accent2" w:themeFillTint="7F"/>
      </w:tcPr>
    </w:tblStylePr>
    <w:tblStylePr w:type="band1Horz">
      <w:tblPr/>
      <w:tcPr>
        <w:shd w:val="clear" w:color="auto" w:fill="53FFC9"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single" w:sz="8" w:space="0" w:color="EE0062" w:themeColor="accent3" w:themeTint="BF"/>
        <w:insideV w:val="single" w:sz="8" w:space="0" w:color="EE0062" w:themeColor="accent3" w:themeTint="BF"/>
      </w:tblBorders>
    </w:tblPr>
    <w:tcPr>
      <w:shd w:val="clear" w:color="auto" w:fill="FFA5CA" w:themeFill="accent3" w:themeFillTint="3F"/>
    </w:tcPr>
    <w:tblStylePr w:type="firstRow">
      <w:rPr>
        <w:b/>
        <w:bCs/>
      </w:rPr>
    </w:tblStylePr>
    <w:tblStylePr w:type="lastRow">
      <w:rPr>
        <w:b/>
        <w:bCs/>
      </w:rPr>
      <w:tblPr/>
      <w:tcPr>
        <w:tcBorders>
          <w:top w:val="single" w:sz="18" w:space="0" w:color="EE0062" w:themeColor="accent3" w:themeTint="BF"/>
        </w:tcBorders>
      </w:tcPr>
    </w:tblStylePr>
    <w:tblStylePr w:type="firstCol">
      <w:rPr>
        <w:b/>
        <w:bCs/>
      </w:rPr>
    </w:tblStylePr>
    <w:tblStylePr w:type="lastCol">
      <w:rPr>
        <w:b/>
        <w:bCs/>
      </w:rPr>
    </w:tblStylePr>
    <w:tblStylePr w:type="band1Vert">
      <w:tblPr/>
      <w:tcPr>
        <w:shd w:val="clear" w:color="auto" w:fill="FF4A94" w:themeFill="accent3" w:themeFillTint="7F"/>
      </w:tcPr>
    </w:tblStylePr>
    <w:tblStylePr w:type="band1Horz">
      <w:tblPr/>
      <w:tcPr>
        <w:shd w:val="clear" w:color="auto" w:fill="FF4A94"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single" w:sz="8" w:space="0" w:color="E15775" w:themeColor="accent4" w:themeTint="BF"/>
        <w:insideV w:val="single" w:sz="8" w:space="0" w:color="E15775" w:themeColor="accent4" w:themeTint="BF"/>
      </w:tblBorders>
    </w:tblPr>
    <w:tcPr>
      <w:shd w:val="clear" w:color="auto" w:fill="F5C7D1" w:themeFill="accent4" w:themeFillTint="3F"/>
    </w:tcPr>
    <w:tblStylePr w:type="firstRow">
      <w:rPr>
        <w:b/>
        <w:bCs/>
      </w:rPr>
    </w:tblStylePr>
    <w:tblStylePr w:type="lastRow">
      <w:rPr>
        <w:b/>
        <w:bCs/>
      </w:rPr>
      <w:tblPr/>
      <w:tcPr>
        <w:tcBorders>
          <w:top w:val="single" w:sz="18" w:space="0" w:color="E15775" w:themeColor="accent4" w:themeTint="BF"/>
        </w:tcBorders>
      </w:tcPr>
    </w:tblStylePr>
    <w:tblStylePr w:type="firstCol">
      <w:rPr>
        <w:b/>
        <w:bCs/>
      </w:rPr>
    </w:tblStylePr>
    <w:tblStylePr w:type="lastCol">
      <w:rPr>
        <w:b/>
        <w:bCs/>
      </w:rPr>
    </w:tblStylePr>
    <w:tblStylePr w:type="band1Vert">
      <w:tblPr/>
      <w:tcPr>
        <w:shd w:val="clear" w:color="auto" w:fill="EB8FA3" w:themeFill="accent4" w:themeFillTint="7F"/>
      </w:tcPr>
    </w:tblStylePr>
    <w:tblStylePr w:type="band1Horz">
      <w:tblPr/>
      <w:tcPr>
        <w:shd w:val="clear" w:color="auto" w:fill="EB8FA3"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single" w:sz="8" w:space="0" w:color="88D0CE" w:themeColor="accent5" w:themeTint="BF"/>
        <w:insideV w:val="single" w:sz="8" w:space="0" w:color="88D0CE" w:themeColor="accent5" w:themeTint="BF"/>
      </w:tblBorders>
    </w:tblPr>
    <w:tcPr>
      <w:shd w:val="clear" w:color="auto" w:fill="D7EFEF" w:themeFill="accent5" w:themeFillTint="3F"/>
    </w:tcPr>
    <w:tblStylePr w:type="firstRow">
      <w:rPr>
        <w:b/>
        <w:bCs/>
      </w:rPr>
    </w:tblStylePr>
    <w:tblStylePr w:type="lastRow">
      <w:rPr>
        <w:b/>
        <w:bCs/>
      </w:rPr>
      <w:tblPr/>
      <w:tcPr>
        <w:tcBorders>
          <w:top w:val="single" w:sz="18" w:space="0" w:color="88D0CE" w:themeColor="accent5" w:themeTint="BF"/>
        </w:tcBorders>
      </w:tcPr>
    </w:tblStylePr>
    <w:tblStylePr w:type="firstCol">
      <w:rPr>
        <w:b/>
        <w:bCs/>
      </w:rPr>
    </w:tblStylePr>
    <w:tblStylePr w:type="lastCol">
      <w:rPr>
        <w:b/>
        <w:bCs/>
      </w:rPr>
    </w:tblStylePr>
    <w:tblStylePr w:type="band1Vert">
      <w:tblPr/>
      <w:tcPr>
        <w:shd w:val="clear" w:color="auto" w:fill="B0E0DF" w:themeFill="accent5" w:themeFillTint="7F"/>
      </w:tcPr>
    </w:tblStylePr>
    <w:tblStylePr w:type="band1Horz">
      <w:tblPr/>
      <w:tcPr>
        <w:shd w:val="clear" w:color="auto" w:fill="B0E0DF"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single" w:sz="8" w:space="0" w:color="00F7EB" w:themeColor="accent6" w:themeTint="BF"/>
        <w:insideV w:val="single" w:sz="8" w:space="0" w:color="00F7EB" w:themeColor="accent6" w:themeTint="BF"/>
      </w:tblBorders>
    </w:tblPr>
    <w:tcPr>
      <w:shd w:val="clear" w:color="auto" w:fill="A8FFFA" w:themeFill="accent6" w:themeFillTint="3F"/>
    </w:tcPr>
    <w:tblStylePr w:type="firstRow">
      <w:rPr>
        <w:b/>
        <w:bCs/>
      </w:rPr>
    </w:tblStylePr>
    <w:tblStylePr w:type="lastRow">
      <w:rPr>
        <w:b/>
        <w:bCs/>
      </w:rPr>
      <w:tblPr/>
      <w:tcPr>
        <w:tcBorders>
          <w:top w:val="single" w:sz="18" w:space="0" w:color="00F7EB" w:themeColor="accent6" w:themeTint="BF"/>
        </w:tcBorders>
      </w:tcPr>
    </w:tblStylePr>
    <w:tblStylePr w:type="firstCol">
      <w:rPr>
        <w:b/>
        <w:bCs/>
      </w:rPr>
    </w:tblStylePr>
    <w:tblStylePr w:type="lastCol">
      <w:rPr>
        <w:b/>
        <w:bCs/>
      </w:rPr>
    </w:tblStylePr>
    <w:tblStylePr w:type="band1Vert">
      <w:tblPr/>
      <w:tcPr>
        <w:shd w:val="clear" w:color="auto" w:fill="50FFF6" w:themeFill="accent6" w:themeFillTint="7F"/>
      </w:tcPr>
    </w:tblStylePr>
    <w:tblStylePr w:type="band1Horz">
      <w:tblPr/>
      <w:tcPr>
        <w:shd w:val="clear" w:color="auto" w:fill="50FFF6"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insideH w:val="single" w:sz="8" w:space="0" w:color="0B5656" w:themeColor="accent1"/>
        <w:insideV w:val="single" w:sz="8" w:space="0" w:color="0B5656" w:themeColor="accent1"/>
      </w:tblBorders>
    </w:tblPr>
    <w:tcPr>
      <w:shd w:val="clear" w:color="auto" w:fill="A4F3F3" w:themeFill="accent1" w:themeFillTint="3F"/>
    </w:tcPr>
    <w:tblStylePr w:type="firstRow">
      <w:rPr>
        <w:b/>
        <w:bCs/>
        <w:color w:val="000000" w:themeColor="text1"/>
      </w:rPr>
      <w:tblPr/>
      <w:tcPr>
        <w:shd w:val="clear" w:color="auto" w:fill="DAFA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5F5" w:themeFill="accent1" w:themeFillTint="33"/>
      </w:tcPr>
    </w:tblStylePr>
    <w:tblStylePr w:type="band1Vert">
      <w:tblPr/>
      <w:tcPr>
        <w:shd w:val="clear" w:color="auto" w:fill="48E7E7" w:themeFill="accent1" w:themeFillTint="7F"/>
      </w:tcPr>
    </w:tblStylePr>
    <w:tblStylePr w:type="band1Horz">
      <w:tblPr/>
      <w:tcPr>
        <w:tcBorders>
          <w:insideH w:val="single" w:sz="6" w:space="0" w:color="0B5656" w:themeColor="accent1"/>
          <w:insideV w:val="single" w:sz="6" w:space="0" w:color="0B5656" w:themeColor="accent1"/>
        </w:tcBorders>
        <w:shd w:val="clear" w:color="auto" w:fill="48E7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insideH w:val="single" w:sz="8" w:space="0" w:color="00A673" w:themeColor="accent2"/>
        <w:insideV w:val="single" w:sz="8" w:space="0" w:color="00A673" w:themeColor="accent2"/>
      </w:tblBorders>
    </w:tblPr>
    <w:tcPr>
      <w:shd w:val="clear" w:color="auto" w:fill="AAFFE4" w:themeFill="accent2" w:themeFillTint="3F"/>
    </w:tcPr>
    <w:tblStylePr w:type="firstRow">
      <w:rPr>
        <w:b/>
        <w:bCs/>
        <w:color w:val="000000" w:themeColor="text1"/>
      </w:rPr>
      <w:tblPr/>
      <w:tcPr>
        <w:shd w:val="clear" w:color="auto" w:fill="DDFF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9" w:themeFill="accent2" w:themeFillTint="33"/>
      </w:tcPr>
    </w:tblStylePr>
    <w:tblStylePr w:type="band1Vert">
      <w:tblPr/>
      <w:tcPr>
        <w:shd w:val="clear" w:color="auto" w:fill="53FFC9" w:themeFill="accent2" w:themeFillTint="7F"/>
      </w:tcPr>
    </w:tblStylePr>
    <w:tblStylePr w:type="band1Horz">
      <w:tblPr/>
      <w:tcPr>
        <w:tcBorders>
          <w:insideH w:val="single" w:sz="6" w:space="0" w:color="00A673" w:themeColor="accent2"/>
          <w:insideV w:val="single" w:sz="6" w:space="0" w:color="00A673" w:themeColor="accent2"/>
        </w:tcBorders>
        <w:shd w:val="clear" w:color="auto" w:fill="53FFC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insideH w:val="single" w:sz="8" w:space="0" w:color="93003D" w:themeColor="accent3"/>
        <w:insideV w:val="single" w:sz="8" w:space="0" w:color="93003D" w:themeColor="accent3"/>
      </w:tblBorders>
    </w:tblPr>
    <w:tcPr>
      <w:shd w:val="clear" w:color="auto" w:fill="FFA5CA" w:themeFill="accent3" w:themeFillTint="3F"/>
    </w:tcPr>
    <w:tblStylePr w:type="firstRow">
      <w:rPr>
        <w:b/>
        <w:bCs/>
        <w:color w:val="000000" w:themeColor="text1"/>
      </w:rPr>
      <w:tblPr/>
      <w:tcPr>
        <w:shd w:val="clear" w:color="auto" w:fill="FFDB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D4" w:themeFill="accent3" w:themeFillTint="33"/>
      </w:tcPr>
    </w:tblStylePr>
    <w:tblStylePr w:type="band1Vert">
      <w:tblPr/>
      <w:tcPr>
        <w:shd w:val="clear" w:color="auto" w:fill="FF4A94" w:themeFill="accent3" w:themeFillTint="7F"/>
      </w:tcPr>
    </w:tblStylePr>
    <w:tblStylePr w:type="band1Horz">
      <w:tblPr/>
      <w:tcPr>
        <w:tcBorders>
          <w:insideH w:val="single" w:sz="6" w:space="0" w:color="93003D" w:themeColor="accent3"/>
          <w:insideV w:val="single" w:sz="6" w:space="0" w:color="93003D" w:themeColor="accent3"/>
        </w:tcBorders>
        <w:shd w:val="clear" w:color="auto" w:fill="FF4A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insideH w:val="single" w:sz="8" w:space="0" w:color="D3254A" w:themeColor="accent4"/>
        <w:insideV w:val="single" w:sz="8" w:space="0" w:color="D3254A" w:themeColor="accent4"/>
      </w:tblBorders>
    </w:tblPr>
    <w:tcPr>
      <w:shd w:val="clear" w:color="auto" w:fill="F5C7D1" w:themeFill="accent4" w:themeFillTint="3F"/>
    </w:tcPr>
    <w:tblStylePr w:type="firstRow">
      <w:rPr>
        <w:b/>
        <w:bCs/>
        <w:color w:val="000000" w:themeColor="text1"/>
      </w:rPr>
      <w:tblPr/>
      <w:tcPr>
        <w:shd w:val="clear" w:color="auto" w:fill="FBE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2DA" w:themeFill="accent4" w:themeFillTint="33"/>
      </w:tcPr>
    </w:tblStylePr>
    <w:tblStylePr w:type="band1Vert">
      <w:tblPr/>
      <w:tcPr>
        <w:shd w:val="clear" w:color="auto" w:fill="EB8FA3" w:themeFill="accent4" w:themeFillTint="7F"/>
      </w:tcPr>
    </w:tblStylePr>
    <w:tblStylePr w:type="band1Horz">
      <w:tblPr/>
      <w:tcPr>
        <w:tcBorders>
          <w:insideH w:val="single" w:sz="6" w:space="0" w:color="D3254A" w:themeColor="accent4"/>
          <w:insideV w:val="single" w:sz="6" w:space="0" w:color="D3254A" w:themeColor="accent4"/>
        </w:tcBorders>
        <w:shd w:val="clear" w:color="auto" w:fill="EB8F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insideH w:val="single" w:sz="8" w:space="0" w:color="61C1BF" w:themeColor="accent5"/>
        <w:insideV w:val="single" w:sz="8" w:space="0" w:color="61C1BF" w:themeColor="accent5"/>
      </w:tblBorders>
    </w:tblPr>
    <w:tcPr>
      <w:shd w:val="clear" w:color="auto" w:fill="D7EFEF" w:themeFill="accent5" w:themeFillTint="3F"/>
    </w:tcPr>
    <w:tblStylePr w:type="firstRow">
      <w:rPr>
        <w:b/>
        <w:bCs/>
        <w:color w:val="000000" w:themeColor="text1"/>
      </w:rPr>
      <w:tblPr/>
      <w:tcPr>
        <w:shd w:val="clear" w:color="auto" w:fill="EF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2F2" w:themeFill="accent5" w:themeFillTint="33"/>
      </w:tcPr>
    </w:tblStylePr>
    <w:tblStylePr w:type="band1Vert">
      <w:tblPr/>
      <w:tcPr>
        <w:shd w:val="clear" w:color="auto" w:fill="B0E0DF" w:themeFill="accent5" w:themeFillTint="7F"/>
      </w:tcPr>
    </w:tblStylePr>
    <w:tblStylePr w:type="band1Horz">
      <w:tblPr/>
      <w:tcPr>
        <w:tcBorders>
          <w:insideH w:val="single" w:sz="6" w:space="0" w:color="61C1BF" w:themeColor="accent5"/>
          <w:insideV w:val="single" w:sz="6" w:space="0" w:color="61C1BF" w:themeColor="accent5"/>
        </w:tcBorders>
        <w:shd w:val="clear" w:color="auto" w:fill="B0E0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insideH w:val="single" w:sz="8" w:space="0" w:color="00A098" w:themeColor="accent6"/>
        <w:insideV w:val="single" w:sz="8" w:space="0" w:color="00A098" w:themeColor="accent6"/>
      </w:tblBorders>
    </w:tblPr>
    <w:tcPr>
      <w:shd w:val="clear" w:color="auto" w:fill="A8FFFA" w:themeFill="accent6" w:themeFillTint="3F"/>
    </w:tcPr>
    <w:tblStylePr w:type="firstRow">
      <w:rPr>
        <w:b/>
        <w:bCs/>
        <w:color w:val="000000" w:themeColor="text1"/>
      </w:rPr>
      <w:tblPr/>
      <w:tcPr>
        <w:shd w:val="clear" w:color="auto" w:fill="DCFF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B" w:themeFill="accent6" w:themeFillTint="33"/>
      </w:tcPr>
    </w:tblStylePr>
    <w:tblStylePr w:type="band1Vert">
      <w:tblPr/>
      <w:tcPr>
        <w:shd w:val="clear" w:color="auto" w:fill="50FFF6" w:themeFill="accent6" w:themeFillTint="7F"/>
      </w:tcPr>
    </w:tblStylePr>
    <w:tblStylePr w:type="band1Horz">
      <w:tblPr/>
      <w:tcPr>
        <w:tcBorders>
          <w:insideH w:val="single" w:sz="6" w:space="0" w:color="00A098" w:themeColor="accent6"/>
          <w:insideV w:val="single" w:sz="6" w:space="0" w:color="00A098" w:themeColor="accent6"/>
        </w:tcBorders>
        <w:shd w:val="clear" w:color="auto" w:fill="50FF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3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565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565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565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565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E7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E7E7"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7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7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7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7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C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C9"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00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00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00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00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A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A94"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7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254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254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254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254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F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FA3"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F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C1B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C1B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C1B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C1B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0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0DF"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F6"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0B5656" w:themeColor="accent1"/>
        <w:bottom w:val="single" w:sz="8" w:space="0" w:color="0B5656" w:themeColor="accent1"/>
      </w:tblBorders>
    </w:tblPr>
    <w:tblStylePr w:type="firstRow">
      <w:rPr>
        <w:rFonts w:asciiTheme="majorHAnsi" w:eastAsiaTheme="majorEastAsia" w:hAnsiTheme="majorHAnsi" w:cstheme="majorBidi"/>
      </w:rPr>
      <w:tblPr/>
      <w:tcPr>
        <w:tcBorders>
          <w:top w:val="nil"/>
          <w:bottom w:val="single" w:sz="8" w:space="0" w:color="0B5656" w:themeColor="accent1"/>
        </w:tcBorders>
      </w:tcPr>
    </w:tblStylePr>
    <w:tblStylePr w:type="lastRow">
      <w:rPr>
        <w:b/>
        <w:bCs/>
        <w:color w:val="001C3A" w:themeColor="text2"/>
      </w:rPr>
      <w:tblPr/>
      <w:tcPr>
        <w:tcBorders>
          <w:top w:val="single" w:sz="8" w:space="0" w:color="0B5656" w:themeColor="accent1"/>
          <w:bottom w:val="single" w:sz="8" w:space="0" w:color="0B5656" w:themeColor="accent1"/>
        </w:tcBorders>
      </w:tcPr>
    </w:tblStylePr>
    <w:tblStylePr w:type="firstCol">
      <w:rPr>
        <w:b/>
        <w:bCs/>
      </w:rPr>
    </w:tblStylePr>
    <w:tblStylePr w:type="lastCol">
      <w:rPr>
        <w:b/>
        <w:bCs/>
      </w:rPr>
      <w:tblPr/>
      <w:tcPr>
        <w:tcBorders>
          <w:top w:val="single" w:sz="8" w:space="0" w:color="0B5656" w:themeColor="accent1"/>
          <w:bottom w:val="single" w:sz="8" w:space="0" w:color="0B5656" w:themeColor="accent1"/>
        </w:tcBorders>
      </w:tcPr>
    </w:tblStylePr>
    <w:tblStylePr w:type="band1Vert">
      <w:tblPr/>
      <w:tcPr>
        <w:shd w:val="clear" w:color="auto" w:fill="A4F3F3" w:themeFill="accent1" w:themeFillTint="3F"/>
      </w:tcPr>
    </w:tblStylePr>
    <w:tblStylePr w:type="band1Horz">
      <w:tblPr/>
      <w:tcPr>
        <w:shd w:val="clear" w:color="auto" w:fill="A4F3F3"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00A673" w:themeColor="accent2"/>
        <w:bottom w:val="single" w:sz="8" w:space="0" w:color="00A673" w:themeColor="accent2"/>
      </w:tblBorders>
    </w:tblPr>
    <w:tblStylePr w:type="firstRow">
      <w:rPr>
        <w:rFonts w:asciiTheme="majorHAnsi" w:eastAsiaTheme="majorEastAsia" w:hAnsiTheme="majorHAnsi" w:cstheme="majorBidi"/>
      </w:rPr>
      <w:tblPr/>
      <w:tcPr>
        <w:tcBorders>
          <w:top w:val="nil"/>
          <w:bottom w:val="single" w:sz="8" w:space="0" w:color="00A673" w:themeColor="accent2"/>
        </w:tcBorders>
      </w:tcPr>
    </w:tblStylePr>
    <w:tblStylePr w:type="lastRow">
      <w:rPr>
        <w:b/>
        <w:bCs/>
        <w:color w:val="001C3A" w:themeColor="text2"/>
      </w:rPr>
      <w:tblPr/>
      <w:tcPr>
        <w:tcBorders>
          <w:top w:val="single" w:sz="8" w:space="0" w:color="00A673" w:themeColor="accent2"/>
          <w:bottom w:val="single" w:sz="8" w:space="0" w:color="00A673" w:themeColor="accent2"/>
        </w:tcBorders>
      </w:tcPr>
    </w:tblStylePr>
    <w:tblStylePr w:type="firstCol">
      <w:rPr>
        <w:b/>
        <w:bCs/>
      </w:rPr>
    </w:tblStylePr>
    <w:tblStylePr w:type="lastCol">
      <w:rPr>
        <w:b/>
        <w:bCs/>
      </w:rPr>
      <w:tblPr/>
      <w:tcPr>
        <w:tcBorders>
          <w:top w:val="single" w:sz="8" w:space="0" w:color="00A673" w:themeColor="accent2"/>
          <w:bottom w:val="single" w:sz="8" w:space="0" w:color="00A673" w:themeColor="accent2"/>
        </w:tcBorders>
      </w:tcPr>
    </w:tblStylePr>
    <w:tblStylePr w:type="band1Vert">
      <w:tblPr/>
      <w:tcPr>
        <w:shd w:val="clear" w:color="auto" w:fill="AAFFE4" w:themeFill="accent2" w:themeFillTint="3F"/>
      </w:tcPr>
    </w:tblStylePr>
    <w:tblStylePr w:type="band1Horz">
      <w:tblPr/>
      <w:tcPr>
        <w:shd w:val="clear" w:color="auto" w:fill="AAFFE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93003D" w:themeColor="accent3"/>
        <w:bottom w:val="single" w:sz="8" w:space="0" w:color="93003D" w:themeColor="accent3"/>
      </w:tblBorders>
    </w:tblPr>
    <w:tblStylePr w:type="firstRow">
      <w:rPr>
        <w:rFonts w:asciiTheme="majorHAnsi" w:eastAsiaTheme="majorEastAsia" w:hAnsiTheme="majorHAnsi" w:cstheme="majorBidi"/>
      </w:rPr>
      <w:tblPr/>
      <w:tcPr>
        <w:tcBorders>
          <w:top w:val="nil"/>
          <w:bottom w:val="single" w:sz="8" w:space="0" w:color="93003D" w:themeColor="accent3"/>
        </w:tcBorders>
      </w:tcPr>
    </w:tblStylePr>
    <w:tblStylePr w:type="lastRow">
      <w:rPr>
        <w:b/>
        <w:bCs/>
        <w:color w:val="001C3A" w:themeColor="text2"/>
      </w:rPr>
      <w:tblPr/>
      <w:tcPr>
        <w:tcBorders>
          <w:top w:val="single" w:sz="8" w:space="0" w:color="93003D" w:themeColor="accent3"/>
          <w:bottom w:val="single" w:sz="8" w:space="0" w:color="93003D" w:themeColor="accent3"/>
        </w:tcBorders>
      </w:tcPr>
    </w:tblStylePr>
    <w:tblStylePr w:type="firstCol">
      <w:rPr>
        <w:b/>
        <w:bCs/>
      </w:rPr>
    </w:tblStylePr>
    <w:tblStylePr w:type="lastCol">
      <w:rPr>
        <w:b/>
        <w:bCs/>
      </w:rPr>
      <w:tblPr/>
      <w:tcPr>
        <w:tcBorders>
          <w:top w:val="single" w:sz="8" w:space="0" w:color="93003D" w:themeColor="accent3"/>
          <w:bottom w:val="single" w:sz="8" w:space="0" w:color="93003D" w:themeColor="accent3"/>
        </w:tcBorders>
      </w:tcPr>
    </w:tblStylePr>
    <w:tblStylePr w:type="band1Vert">
      <w:tblPr/>
      <w:tcPr>
        <w:shd w:val="clear" w:color="auto" w:fill="FFA5CA" w:themeFill="accent3" w:themeFillTint="3F"/>
      </w:tcPr>
    </w:tblStylePr>
    <w:tblStylePr w:type="band1Horz">
      <w:tblPr/>
      <w:tcPr>
        <w:shd w:val="clear" w:color="auto" w:fill="FFA5CA"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3254A" w:themeColor="accent4"/>
        <w:bottom w:val="single" w:sz="8" w:space="0" w:color="D3254A" w:themeColor="accent4"/>
      </w:tblBorders>
    </w:tblPr>
    <w:tblStylePr w:type="firstRow">
      <w:rPr>
        <w:rFonts w:asciiTheme="majorHAnsi" w:eastAsiaTheme="majorEastAsia" w:hAnsiTheme="majorHAnsi" w:cstheme="majorBidi"/>
      </w:rPr>
      <w:tblPr/>
      <w:tcPr>
        <w:tcBorders>
          <w:top w:val="nil"/>
          <w:bottom w:val="single" w:sz="8" w:space="0" w:color="D3254A" w:themeColor="accent4"/>
        </w:tcBorders>
      </w:tcPr>
    </w:tblStylePr>
    <w:tblStylePr w:type="lastRow">
      <w:rPr>
        <w:b/>
        <w:bCs/>
        <w:color w:val="001C3A" w:themeColor="text2"/>
      </w:rPr>
      <w:tblPr/>
      <w:tcPr>
        <w:tcBorders>
          <w:top w:val="single" w:sz="8" w:space="0" w:color="D3254A" w:themeColor="accent4"/>
          <w:bottom w:val="single" w:sz="8" w:space="0" w:color="D3254A" w:themeColor="accent4"/>
        </w:tcBorders>
      </w:tcPr>
    </w:tblStylePr>
    <w:tblStylePr w:type="firstCol">
      <w:rPr>
        <w:b/>
        <w:bCs/>
      </w:rPr>
    </w:tblStylePr>
    <w:tblStylePr w:type="lastCol">
      <w:rPr>
        <w:b/>
        <w:bCs/>
      </w:rPr>
      <w:tblPr/>
      <w:tcPr>
        <w:tcBorders>
          <w:top w:val="single" w:sz="8" w:space="0" w:color="D3254A" w:themeColor="accent4"/>
          <w:bottom w:val="single" w:sz="8" w:space="0" w:color="D3254A" w:themeColor="accent4"/>
        </w:tcBorders>
      </w:tcPr>
    </w:tblStylePr>
    <w:tblStylePr w:type="band1Vert">
      <w:tblPr/>
      <w:tcPr>
        <w:shd w:val="clear" w:color="auto" w:fill="F5C7D1" w:themeFill="accent4" w:themeFillTint="3F"/>
      </w:tcPr>
    </w:tblStylePr>
    <w:tblStylePr w:type="band1Horz">
      <w:tblPr/>
      <w:tcPr>
        <w:shd w:val="clear" w:color="auto" w:fill="F5C7D1"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61C1BF" w:themeColor="accent5"/>
        <w:bottom w:val="single" w:sz="8" w:space="0" w:color="61C1BF" w:themeColor="accent5"/>
      </w:tblBorders>
    </w:tblPr>
    <w:tblStylePr w:type="firstRow">
      <w:rPr>
        <w:rFonts w:asciiTheme="majorHAnsi" w:eastAsiaTheme="majorEastAsia" w:hAnsiTheme="majorHAnsi" w:cstheme="majorBidi"/>
      </w:rPr>
      <w:tblPr/>
      <w:tcPr>
        <w:tcBorders>
          <w:top w:val="nil"/>
          <w:bottom w:val="single" w:sz="8" w:space="0" w:color="61C1BF" w:themeColor="accent5"/>
        </w:tcBorders>
      </w:tcPr>
    </w:tblStylePr>
    <w:tblStylePr w:type="lastRow">
      <w:rPr>
        <w:b/>
        <w:bCs/>
        <w:color w:val="001C3A" w:themeColor="text2"/>
      </w:rPr>
      <w:tblPr/>
      <w:tcPr>
        <w:tcBorders>
          <w:top w:val="single" w:sz="8" w:space="0" w:color="61C1BF" w:themeColor="accent5"/>
          <w:bottom w:val="single" w:sz="8" w:space="0" w:color="61C1BF" w:themeColor="accent5"/>
        </w:tcBorders>
      </w:tcPr>
    </w:tblStylePr>
    <w:tblStylePr w:type="firstCol">
      <w:rPr>
        <w:b/>
        <w:bCs/>
      </w:rPr>
    </w:tblStylePr>
    <w:tblStylePr w:type="lastCol">
      <w:rPr>
        <w:b/>
        <w:bCs/>
      </w:rPr>
      <w:tblPr/>
      <w:tcPr>
        <w:tcBorders>
          <w:top w:val="single" w:sz="8" w:space="0" w:color="61C1BF" w:themeColor="accent5"/>
          <w:bottom w:val="single" w:sz="8" w:space="0" w:color="61C1BF" w:themeColor="accent5"/>
        </w:tcBorders>
      </w:tcPr>
    </w:tblStylePr>
    <w:tblStylePr w:type="band1Vert">
      <w:tblPr/>
      <w:tcPr>
        <w:shd w:val="clear" w:color="auto" w:fill="D7EFEF" w:themeFill="accent5" w:themeFillTint="3F"/>
      </w:tcPr>
    </w:tblStylePr>
    <w:tblStylePr w:type="band1Horz">
      <w:tblPr/>
      <w:tcPr>
        <w:shd w:val="clear" w:color="auto" w:fill="D7EFEF"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00A098" w:themeColor="accent6"/>
        <w:bottom w:val="single" w:sz="8" w:space="0" w:color="00A098" w:themeColor="accent6"/>
      </w:tblBorders>
    </w:tblPr>
    <w:tblStylePr w:type="firstRow">
      <w:rPr>
        <w:rFonts w:asciiTheme="majorHAnsi" w:eastAsiaTheme="majorEastAsia" w:hAnsiTheme="majorHAnsi" w:cstheme="majorBidi"/>
      </w:rPr>
      <w:tblPr/>
      <w:tcPr>
        <w:tcBorders>
          <w:top w:val="nil"/>
          <w:bottom w:val="single" w:sz="8" w:space="0" w:color="00A098" w:themeColor="accent6"/>
        </w:tcBorders>
      </w:tcPr>
    </w:tblStylePr>
    <w:tblStylePr w:type="lastRow">
      <w:rPr>
        <w:b/>
        <w:bCs/>
        <w:color w:val="001C3A" w:themeColor="text2"/>
      </w:rPr>
      <w:tblPr/>
      <w:tcPr>
        <w:tcBorders>
          <w:top w:val="single" w:sz="8" w:space="0" w:color="00A098" w:themeColor="accent6"/>
          <w:bottom w:val="single" w:sz="8" w:space="0" w:color="00A098" w:themeColor="accent6"/>
        </w:tcBorders>
      </w:tcPr>
    </w:tblStylePr>
    <w:tblStylePr w:type="firstCol">
      <w:rPr>
        <w:b/>
        <w:bCs/>
      </w:rPr>
    </w:tblStylePr>
    <w:tblStylePr w:type="lastCol">
      <w:rPr>
        <w:b/>
        <w:bCs/>
      </w:rPr>
      <w:tblPr/>
      <w:tcPr>
        <w:tcBorders>
          <w:top w:val="single" w:sz="8" w:space="0" w:color="00A098" w:themeColor="accent6"/>
          <w:bottom w:val="single" w:sz="8" w:space="0" w:color="00A098" w:themeColor="accent6"/>
        </w:tcBorders>
      </w:tcPr>
    </w:tblStylePr>
    <w:tblStylePr w:type="band1Vert">
      <w:tblPr/>
      <w:tcPr>
        <w:shd w:val="clear" w:color="auto" w:fill="A8FFFA" w:themeFill="accent6" w:themeFillTint="3F"/>
      </w:tcPr>
    </w:tblStylePr>
    <w:tblStylePr w:type="band1Horz">
      <w:tblPr/>
      <w:tcPr>
        <w:shd w:val="clear" w:color="auto" w:fill="A8FFFA"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B5656" w:themeColor="accent1"/>
        <w:left w:val="single" w:sz="8" w:space="0" w:color="0B5656" w:themeColor="accent1"/>
        <w:bottom w:val="single" w:sz="8" w:space="0" w:color="0B5656" w:themeColor="accent1"/>
        <w:right w:val="single" w:sz="8" w:space="0" w:color="0B5656" w:themeColor="accent1"/>
      </w:tblBorders>
    </w:tblPr>
    <w:tblStylePr w:type="firstRow">
      <w:rPr>
        <w:sz w:val="24"/>
        <w:szCs w:val="24"/>
      </w:rPr>
      <w:tblPr/>
      <w:tcPr>
        <w:tcBorders>
          <w:top w:val="nil"/>
          <w:left w:val="nil"/>
          <w:bottom w:val="single" w:sz="24" w:space="0" w:color="0B5656" w:themeColor="accent1"/>
          <w:right w:val="nil"/>
          <w:insideH w:val="nil"/>
          <w:insideV w:val="nil"/>
        </w:tcBorders>
        <w:shd w:val="clear" w:color="auto" w:fill="FFFFFF" w:themeFill="background1"/>
      </w:tcPr>
    </w:tblStylePr>
    <w:tblStylePr w:type="lastRow">
      <w:tblPr/>
      <w:tcPr>
        <w:tcBorders>
          <w:top w:val="single" w:sz="8" w:space="0" w:color="0B565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5656" w:themeColor="accent1"/>
          <w:insideH w:val="nil"/>
          <w:insideV w:val="nil"/>
        </w:tcBorders>
        <w:shd w:val="clear" w:color="auto" w:fill="FFFFFF" w:themeFill="background1"/>
      </w:tcPr>
    </w:tblStylePr>
    <w:tblStylePr w:type="lastCol">
      <w:tblPr/>
      <w:tcPr>
        <w:tcBorders>
          <w:top w:val="nil"/>
          <w:left w:val="single" w:sz="8" w:space="0" w:color="0B565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3F3" w:themeFill="accent1" w:themeFillTint="3F"/>
      </w:tcPr>
    </w:tblStylePr>
    <w:tblStylePr w:type="band1Horz">
      <w:tblPr/>
      <w:tcPr>
        <w:tcBorders>
          <w:top w:val="nil"/>
          <w:bottom w:val="nil"/>
          <w:insideH w:val="nil"/>
          <w:insideV w:val="nil"/>
        </w:tcBorders>
        <w:shd w:val="clear" w:color="auto" w:fill="A4F3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A673" w:themeColor="accent2"/>
        <w:left w:val="single" w:sz="8" w:space="0" w:color="00A673" w:themeColor="accent2"/>
        <w:bottom w:val="single" w:sz="8" w:space="0" w:color="00A673" w:themeColor="accent2"/>
        <w:right w:val="single" w:sz="8" w:space="0" w:color="00A673" w:themeColor="accent2"/>
      </w:tblBorders>
    </w:tblPr>
    <w:tblStylePr w:type="firstRow">
      <w:rPr>
        <w:sz w:val="24"/>
        <w:szCs w:val="24"/>
      </w:rPr>
      <w:tblPr/>
      <w:tcPr>
        <w:tcBorders>
          <w:top w:val="nil"/>
          <w:left w:val="nil"/>
          <w:bottom w:val="single" w:sz="24" w:space="0" w:color="00A673" w:themeColor="accent2"/>
          <w:right w:val="nil"/>
          <w:insideH w:val="nil"/>
          <w:insideV w:val="nil"/>
        </w:tcBorders>
        <w:shd w:val="clear" w:color="auto" w:fill="FFFFFF" w:themeFill="background1"/>
      </w:tcPr>
    </w:tblStylePr>
    <w:tblStylePr w:type="lastRow">
      <w:tblPr/>
      <w:tcPr>
        <w:tcBorders>
          <w:top w:val="single" w:sz="8" w:space="0" w:color="00A6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73" w:themeColor="accent2"/>
          <w:insideH w:val="nil"/>
          <w:insideV w:val="nil"/>
        </w:tcBorders>
        <w:shd w:val="clear" w:color="auto" w:fill="FFFFFF" w:themeFill="background1"/>
      </w:tcPr>
    </w:tblStylePr>
    <w:tblStylePr w:type="lastCol">
      <w:tblPr/>
      <w:tcPr>
        <w:tcBorders>
          <w:top w:val="nil"/>
          <w:left w:val="single" w:sz="8" w:space="0" w:color="00A6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4" w:themeFill="accent2" w:themeFillTint="3F"/>
      </w:tcPr>
    </w:tblStylePr>
    <w:tblStylePr w:type="band1Horz">
      <w:tblPr/>
      <w:tcPr>
        <w:tcBorders>
          <w:top w:val="nil"/>
          <w:bottom w:val="nil"/>
          <w:insideH w:val="nil"/>
          <w:insideV w:val="nil"/>
        </w:tcBorders>
        <w:shd w:val="clear" w:color="auto" w:fill="AAFF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3003D" w:themeColor="accent3"/>
        <w:left w:val="single" w:sz="8" w:space="0" w:color="93003D" w:themeColor="accent3"/>
        <w:bottom w:val="single" w:sz="8" w:space="0" w:color="93003D" w:themeColor="accent3"/>
        <w:right w:val="single" w:sz="8" w:space="0" w:color="93003D" w:themeColor="accent3"/>
      </w:tblBorders>
    </w:tblPr>
    <w:tblStylePr w:type="firstRow">
      <w:rPr>
        <w:sz w:val="24"/>
        <w:szCs w:val="24"/>
      </w:rPr>
      <w:tblPr/>
      <w:tcPr>
        <w:tcBorders>
          <w:top w:val="nil"/>
          <w:left w:val="nil"/>
          <w:bottom w:val="single" w:sz="24" w:space="0" w:color="93003D" w:themeColor="accent3"/>
          <w:right w:val="nil"/>
          <w:insideH w:val="nil"/>
          <w:insideV w:val="nil"/>
        </w:tcBorders>
        <w:shd w:val="clear" w:color="auto" w:fill="FFFFFF" w:themeFill="background1"/>
      </w:tcPr>
    </w:tblStylePr>
    <w:tblStylePr w:type="lastRow">
      <w:tblPr/>
      <w:tcPr>
        <w:tcBorders>
          <w:top w:val="single" w:sz="8" w:space="0" w:color="9300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003D" w:themeColor="accent3"/>
          <w:insideH w:val="nil"/>
          <w:insideV w:val="nil"/>
        </w:tcBorders>
        <w:shd w:val="clear" w:color="auto" w:fill="FFFFFF" w:themeFill="background1"/>
      </w:tcPr>
    </w:tblStylePr>
    <w:tblStylePr w:type="lastCol">
      <w:tblPr/>
      <w:tcPr>
        <w:tcBorders>
          <w:top w:val="nil"/>
          <w:left w:val="single" w:sz="8" w:space="0" w:color="9300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CA" w:themeFill="accent3" w:themeFillTint="3F"/>
      </w:tcPr>
    </w:tblStylePr>
    <w:tblStylePr w:type="band1Horz">
      <w:tblPr/>
      <w:tcPr>
        <w:tcBorders>
          <w:top w:val="nil"/>
          <w:bottom w:val="nil"/>
          <w:insideH w:val="nil"/>
          <w:insideV w:val="nil"/>
        </w:tcBorders>
        <w:shd w:val="clear" w:color="auto" w:fill="FFA5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3254A" w:themeColor="accent4"/>
        <w:left w:val="single" w:sz="8" w:space="0" w:color="D3254A" w:themeColor="accent4"/>
        <w:bottom w:val="single" w:sz="8" w:space="0" w:color="D3254A" w:themeColor="accent4"/>
        <w:right w:val="single" w:sz="8" w:space="0" w:color="D3254A" w:themeColor="accent4"/>
      </w:tblBorders>
    </w:tblPr>
    <w:tblStylePr w:type="firstRow">
      <w:rPr>
        <w:sz w:val="24"/>
        <w:szCs w:val="24"/>
      </w:rPr>
      <w:tblPr/>
      <w:tcPr>
        <w:tcBorders>
          <w:top w:val="nil"/>
          <w:left w:val="nil"/>
          <w:bottom w:val="single" w:sz="24" w:space="0" w:color="D3254A" w:themeColor="accent4"/>
          <w:right w:val="nil"/>
          <w:insideH w:val="nil"/>
          <w:insideV w:val="nil"/>
        </w:tcBorders>
        <w:shd w:val="clear" w:color="auto" w:fill="FFFFFF" w:themeFill="background1"/>
      </w:tcPr>
    </w:tblStylePr>
    <w:tblStylePr w:type="lastRow">
      <w:tblPr/>
      <w:tcPr>
        <w:tcBorders>
          <w:top w:val="single" w:sz="8" w:space="0" w:color="D3254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254A" w:themeColor="accent4"/>
          <w:insideH w:val="nil"/>
          <w:insideV w:val="nil"/>
        </w:tcBorders>
        <w:shd w:val="clear" w:color="auto" w:fill="FFFFFF" w:themeFill="background1"/>
      </w:tcPr>
    </w:tblStylePr>
    <w:tblStylePr w:type="lastCol">
      <w:tblPr/>
      <w:tcPr>
        <w:tcBorders>
          <w:top w:val="nil"/>
          <w:left w:val="single" w:sz="8" w:space="0" w:color="D3254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7D1" w:themeFill="accent4" w:themeFillTint="3F"/>
      </w:tcPr>
    </w:tblStylePr>
    <w:tblStylePr w:type="band1Horz">
      <w:tblPr/>
      <w:tcPr>
        <w:tcBorders>
          <w:top w:val="nil"/>
          <w:bottom w:val="nil"/>
          <w:insideH w:val="nil"/>
          <w:insideV w:val="nil"/>
        </w:tcBorders>
        <w:shd w:val="clear" w:color="auto" w:fill="F5C7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61C1BF" w:themeColor="accent5"/>
        <w:left w:val="single" w:sz="8" w:space="0" w:color="61C1BF" w:themeColor="accent5"/>
        <w:bottom w:val="single" w:sz="8" w:space="0" w:color="61C1BF" w:themeColor="accent5"/>
        <w:right w:val="single" w:sz="8" w:space="0" w:color="61C1BF" w:themeColor="accent5"/>
      </w:tblBorders>
    </w:tblPr>
    <w:tblStylePr w:type="firstRow">
      <w:rPr>
        <w:sz w:val="24"/>
        <w:szCs w:val="24"/>
      </w:rPr>
      <w:tblPr/>
      <w:tcPr>
        <w:tcBorders>
          <w:top w:val="nil"/>
          <w:left w:val="nil"/>
          <w:bottom w:val="single" w:sz="24" w:space="0" w:color="61C1BF" w:themeColor="accent5"/>
          <w:right w:val="nil"/>
          <w:insideH w:val="nil"/>
          <w:insideV w:val="nil"/>
        </w:tcBorders>
        <w:shd w:val="clear" w:color="auto" w:fill="FFFFFF" w:themeFill="background1"/>
      </w:tcPr>
    </w:tblStylePr>
    <w:tblStylePr w:type="lastRow">
      <w:tblPr/>
      <w:tcPr>
        <w:tcBorders>
          <w:top w:val="single" w:sz="8" w:space="0" w:color="61C1B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C1BF" w:themeColor="accent5"/>
          <w:insideH w:val="nil"/>
          <w:insideV w:val="nil"/>
        </w:tcBorders>
        <w:shd w:val="clear" w:color="auto" w:fill="FFFFFF" w:themeFill="background1"/>
      </w:tcPr>
    </w:tblStylePr>
    <w:tblStylePr w:type="lastCol">
      <w:tblPr/>
      <w:tcPr>
        <w:tcBorders>
          <w:top w:val="nil"/>
          <w:left w:val="single" w:sz="8" w:space="0" w:color="61C1B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FEF" w:themeFill="accent5" w:themeFillTint="3F"/>
      </w:tcPr>
    </w:tblStylePr>
    <w:tblStylePr w:type="band1Horz">
      <w:tblPr/>
      <w:tcPr>
        <w:tcBorders>
          <w:top w:val="nil"/>
          <w:bottom w:val="nil"/>
          <w:insideH w:val="nil"/>
          <w:insideV w:val="nil"/>
        </w:tcBorders>
        <w:shd w:val="clear" w:color="auto" w:fill="D7EF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A098" w:themeColor="accent6"/>
        <w:left w:val="single" w:sz="8" w:space="0" w:color="00A098" w:themeColor="accent6"/>
        <w:bottom w:val="single" w:sz="8" w:space="0" w:color="00A098" w:themeColor="accent6"/>
        <w:right w:val="single" w:sz="8" w:space="0" w:color="00A098" w:themeColor="accent6"/>
      </w:tblBorders>
    </w:tblPr>
    <w:tblStylePr w:type="firstRow">
      <w:rPr>
        <w:sz w:val="24"/>
        <w:szCs w:val="24"/>
      </w:rPr>
      <w:tblPr/>
      <w:tcPr>
        <w:tcBorders>
          <w:top w:val="nil"/>
          <w:left w:val="nil"/>
          <w:bottom w:val="single" w:sz="24" w:space="0" w:color="00A098" w:themeColor="accent6"/>
          <w:right w:val="nil"/>
          <w:insideH w:val="nil"/>
          <w:insideV w:val="nil"/>
        </w:tcBorders>
        <w:shd w:val="clear" w:color="auto" w:fill="FFFFFF" w:themeFill="background1"/>
      </w:tcPr>
    </w:tblStylePr>
    <w:tblStylePr w:type="lastRow">
      <w:tblPr/>
      <w:tcPr>
        <w:tcBorders>
          <w:top w:val="single" w:sz="8" w:space="0" w:color="00A0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98" w:themeColor="accent6"/>
          <w:insideH w:val="nil"/>
          <w:insideV w:val="nil"/>
        </w:tcBorders>
        <w:shd w:val="clear" w:color="auto" w:fill="FFFFFF" w:themeFill="background1"/>
      </w:tcPr>
    </w:tblStylePr>
    <w:tblStylePr w:type="lastCol">
      <w:tblPr/>
      <w:tcPr>
        <w:tcBorders>
          <w:top w:val="nil"/>
          <w:left w:val="single" w:sz="8" w:space="0" w:color="00A0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A" w:themeFill="accent6" w:themeFillTint="3F"/>
      </w:tcPr>
    </w:tblStylePr>
    <w:tblStylePr w:type="band1Horz">
      <w:tblPr/>
      <w:tcPr>
        <w:tcBorders>
          <w:top w:val="nil"/>
          <w:bottom w:val="nil"/>
          <w:insideH w:val="nil"/>
          <w:insideV w:val="nil"/>
        </w:tcBorders>
        <w:shd w:val="clear" w:color="auto" w:fill="A8FF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single" w:sz="8" w:space="0" w:color="16B1B1" w:themeColor="accent1" w:themeTint="BF"/>
      </w:tblBorders>
    </w:tblPr>
    <w:tblStylePr w:type="firstRow">
      <w:pPr>
        <w:spacing w:before="0" w:after="0" w:line="240" w:lineRule="auto"/>
      </w:pPr>
      <w:rPr>
        <w:b/>
        <w:bCs/>
        <w:color w:val="FFFFFF" w:themeColor="background1"/>
      </w:rPr>
      <w:tblPr/>
      <w:tcPr>
        <w:tcBorders>
          <w:top w:val="single" w:sz="8"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nil"/>
          <w:insideV w:val="nil"/>
        </w:tcBorders>
        <w:shd w:val="clear" w:color="auto" w:fill="0B5656" w:themeFill="accent1"/>
      </w:tcPr>
    </w:tblStylePr>
    <w:tblStylePr w:type="lastRow">
      <w:pPr>
        <w:spacing w:before="0" w:after="0" w:line="240" w:lineRule="auto"/>
      </w:pPr>
      <w:rPr>
        <w:b/>
        <w:bCs/>
      </w:rPr>
      <w:tblPr/>
      <w:tcPr>
        <w:tcBorders>
          <w:top w:val="double" w:sz="6" w:space="0" w:color="16B1B1" w:themeColor="accent1" w:themeTint="BF"/>
          <w:left w:val="single" w:sz="8" w:space="0" w:color="16B1B1" w:themeColor="accent1" w:themeTint="BF"/>
          <w:bottom w:val="single" w:sz="8" w:space="0" w:color="16B1B1" w:themeColor="accent1" w:themeTint="BF"/>
          <w:right w:val="single" w:sz="8" w:space="0" w:color="16B1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F3F3" w:themeFill="accent1" w:themeFillTint="3F"/>
      </w:tcPr>
    </w:tblStylePr>
    <w:tblStylePr w:type="band1Horz">
      <w:tblPr/>
      <w:tcPr>
        <w:tcBorders>
          <w:insideH w:val="nil"/>
          <w:insideV w:val="nil"/>
        </w:tcBorders>
        <w:shd w:val="clear" w:color="auto" w:fill="A4F3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single" w:sz="8" w:space="0" w:color="00FCAE" w:themeColor="accent2" w:themeTint="BF"/>
      </w:tblBorders>
    </w:tblPr>
    <w:tblStylePr w:type="firstRow">
      <w:pPr>
        <w:spacing w:before="0" w:after="0" w:line="240" w:lineRule="auto"/>
      </w:pPr>
      <w:rPr>
        <w:b/>
        <w:bCs/>
        <w:color w:val="FFFFFF" w:themeColor="background1"/>
      </w:rPr>
      <w:tblPr/>
      <w:tcPr>
        <w:tcBorders>
          <w:top w:val="single" w:sz="8"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nil"/>
          <w:insideV w:val="nil"/>
        </w:tcBorders>
        <w:shd w:val="clear" w:color="auto" w:fill="00A673" w:themeFill="accent2"/>
      </w:tcPr>
    </w:tblStylePr>
    <w:tblStylePr w:type="lastRow">
      <w:pPr>
        <w:spacing w:before="0" w:after="0" w:line="240" w:lineRule="auto"/>
      </w:pPr>
      <w:rPr>
        <w:b/>
        <w:bCs/>
      </w:rPr>
      <w:tblPr/>
      <w:tcPr>
        <w:tcBorders>
          <w:top w:val="double" w:sz="6" w:space="0" w:color="00FCAE" w:themeColor="accent2" w:themeTint="BF"/>
          <w:left w:val="single" w:sz="8" w:space="0" w:color="00FCAE" w:themeColor="accent2" w:themeTint="BF"/>
          <w:bottom w:val="single" w:sz="8" w:space="0" w:color="00FCAE" w:themeColor="accent2" w:themeTint="BF"/>
          <w:right w:val="single" w:sz="8" w:space="0" w:color="00FC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FFE4" w:themeFill="accent2" w:themeFillTint="3F"/>
      </w:tcPr>
    </w:tblStylePr>
    <w:tblStylePr w:type="band1Horz">
      <w:tblPr/>
      <w:tcPr>
        <w:tcBorders>
          <w:insideH w:val="nil"/>
          <w:insideV w:val="nil"/>
        </w:tcBorders>
        <w:shd w:val="clear" w:color="auto" w:fill="AAFFE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single" w:sz="8" w:space="0" w:color="EE0062" w:themeColor="accent3" w:themeTint="BF"/>
      </w:tblBorders>
    </w:tblPr>
    <w:tblStylePr w:type="firstRow">
      <w:pPr>
        <w:spacing w:before="0" w:after="0" w:line="240" w:lineRule="auto"/>
      </w:pPr>
      <w:rPr>
        <w:b/>
        <w:bCs/>
        <w:color w:val="FFFFFF" w:themeColor="background1"/>
      </w:rPr>
      <w:tblPr/>
      <w:tcPr>
        <w:tcBorders>
          <w:top w:val="single" w:sz="8"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nil"/>
          <w:insideV w:val="nil"/>
        </w:tcBorders>
        <w:shd w:val="clear" w:color="auto" w:fill="93003D" w:themeFill="accent3"/>
      </w:tcPr>
    </w:tblStylePr>
    <w:tblStylePr w:type="lastRow">
      <w:pPr>
        <w:spacing w:before="0" w:after="0" w:line="240" w:lineRule="auto"/>
      </w:pPr>
      <w:rPr>
        <w:b/>
        <w:bCs/>
      </w:rPr>
      <w:tblPr/>
      <w:tcPr>
        <w:tcBorders>
          <w:top w:val="double" w:sz="6" w:space="0" w:color="EE0062" w:themeColor="accent3" w:themeTint="BF"/>
          <w:left w:val="single" w:sz="8" w:space="0" w:color="EE0062" w:themeColor="accent3" w:themeTint="BF"/>
          <w:bottom w:val="single" w:sz="8" w:space="0" w:color="EE0062" w:themeColor="accent3" w:themeTint="BF"/>
          <w:right w:val="single" w:sz="8" w:space="0" w:color="EE006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5CA" w:themeFill="accent3" w:themeFillTint="3F"/>
      </w:tcPr>
    </w:tblStylePr>
    <w:tblStylePr w:type="band1Horz">
      <w:tblPr/>
      <w:tcPr>
        <w:tcBorders>
          <w:insideH w:val="nil"/>
          <w:insideV w:val="nil"/>
        </w:tcBorders>
        <w:shd w:val="clear" w:color="auto" w:fill="FFA5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single" w:sz="8" w:space="0" w:color="E15775" w:themeColor="accent4" w:themeTint="BF"/>
      </w:tblBorders>
    </w:tblPr>
    <w:tblStylePr w:type="firstRow">
      <w:pPr>
        <w:spacing w:before="0" w:after="0" w:line="240" w:lineRule="auto"/>
      </w:pPr>
      <w:rPr>
        <w:b/>
        <w:bCs/>
        <w:color w:val="FFFFFF" w:themeColor="background1"/>
      </w:rPr>
      <w:tblPr/>
      <w:tcPr>
        <w:tcBorders>
          <w:top w:val="single" w:sz="8"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nil"/>
          <w:insideV w:val="nil"/>
        </w:tcBorders>
        <w:shd w:val="clear" w:color="auto" w:fill="D3254A" w:themeFill="accent4"/>
      </w:tcPr>
    </w:tblStylePr>
    <w:tblStylePr w:type="lastRow">
      <w:pPr>
        <w:spacing w:before="0" w:after="0" w:line="240" w:lineRule="auto"/>
      </w:pPr>
      <w:rPr>
        <w:b/>
        <w:bCs/>
      </w:rPr>
      <w:tblPr/>
      <w:tcPr>
        <w:tcBorders>
          <w:top w:val="double" w:sz="6" w:space="0" w:color="E15775" w:themeColor="accent4" w:themeTint="BF"/>
          <w:left w:val="single" w:sz="8" w:space="0" w:color="E15775" w:themeColor="accent4" w:themeTint="BF"/>
          <w:bottom w:val="single" w:sz="8" w:space="0" w:color="E15775" w:themeColor="accent4" w:themeTint="BF"/>
          <w:right w:val="single" w:sz="8" w:space="0" w:color="E157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7D1" w:themeFill="accent4" w:themeFillTint="3F"/>
      </w:tcPr>
    </w:tblStylePr>
    <w:tblStylePr w:type="band1Horz">
      <w:tblPr/>
      <w:tcPr>
        <w:tcBorders>
          <w:insideH w:val="nil"/>
          <w:insideV w:val="nil"/>
        </w:tcBorders>
        <w:shd w:val="clear" w:color="auto" w:fill="F5C7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single" w:sz="8" w:space="0" w:color="88D0CE" w:themeColor="accent5" w:themeTint="BF"/>
      </w:tblBorders>
    </w:tblPr>
    <w:tblStylePr w:type="firstRow">
      <w:pPr>
        <w:spacing w:before="0" w:after="0" w:line="240" w:lineRule="auto"/>
      </w:pPr>
      <w:rPr>
        <w:b/>
        <w:bCs/>
        <w:color w:val="FFFFFF" w:themeColor="background1"/>
      </w:rPr>
      <w:tblPr/>
      <w:tcPr>
        <w:tcBorders>
          <w:top w:val="single" w:sz="8"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nil"/>
          <w:insideV w:val="nil"/>
        </w:tcBorders>
        <w:shd w:val="clear" w:color="auto" w:fill="61C1BF" w:themeFill="accent5"/>
      </w:tcPr>
    </w:tblStylePr>
    <w:tblStylePr w:type="lastRow">
      <w:pPr>
        <w:spacing w:before="0" w:after="0" w:line="240" w:lineRule="auto"/>
      </w:pPr>
      <w:rPr>
        <w:b/>
        <w:bCs/>
      </w:rPr>
      <w:tblPr/>
      <w:tcPr>
        <w:tcBorders>
          <w:top w:val="double" w:sz="6" w:space="0" w:color="88D0CE" w:themeColor="accent5" w:themeTint="BF"/>
          <w:left w:val="single" w:sz="8" w:space="0" w:color="88D0CE" w:themeColor="accent5" w:themeTint="BF"/>
          <w:bottom w:val="single" w:sz="8" w:space="0" w:color="88D0CE" w:themeColor="accent5" w:themeTint="BF"/>
          <w:right w:val="single" w:sz="8" w:space="0" w:color="88D0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FEF" w:themeFill="accent5" w:themeFillTint="3F"/>
      </w:tcPr>
    </w:tblStylePr>
    <w:tblStylePr w:type="band1Horz">
      <w:tblPr/>
      <w:tcPr>
        <w:tcBorders>
          <w:insideH w:val="nil"/>
          <w:insideV w:val="nil"/>
        </w:tcBorders>
        <w:shd w:val="clear" w:color="auto" w:fill="D7EF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single" w:sz="8" w:space="0" w:color="00F7EB" w:themeColor="accent6" w:themeTint="BF"/>
      </w:tblBorders>
    </w:tblPr>
    <w:tblStylePr w:type="firstRow">
      <w:pPr>
        <w:spacing w:before="0" w:after="0" w:line="240" w:lineRule="auto"/>
      </w:pPr>
      <w:rPr>
        <w:b/>
        <w:bCs/>
        <w:color w:val="FFFFFF" w:themeColor="background1"/>
      </w:rPr>
      <w:tblPr/>
      <w:tcPr>
        <w:tcBorders>
          <w:top w:val="single" w:sz="8"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nil"/>
          <w:insideV w:val="nil"/>
        </w:tcBorders>
        <w:shd w:val="clear" w:color="auto" w:fill="00A098" w:themeFill="accent6"/>
      </w:tcPr>
    </w:tblStylePr>
    <w:tblStylePr w:type="lastRow">
      <w:pPr>
        <w:spacing w:before="0" w:after="0" w:line="240" w:lineRule="auto"/>
      </w:pPr>
      <w:rPr>
        <w:b/>
        <w:bCs/>
      </w:rPr>
      <w:tblPr/>
      <w:tcPr>
        <w:tcBorders>
          <w:top w:val="double" w:sz="6" w:space="0" w:color="00F7EB" w:themeColor="accent6" w:themeTint="BF"/>
          <w:left w:val="single" w:sz="8" w:space="0" w:color="00F7EB" w:themeColor="accent6" w:themeTint="BF"/>
          <w:bottom w:val="single" w:sz="8" w:space="0" w:color="00F7EB" w:themeColor="accent6" w:themeTint="BF"/>
          <w:right w:val="single" w:sz="8" w:space="0" w:color="00F7EB"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FFFA" w:themeFill="accent6" w:themeFillTint="3F"/>
      </w:tcPr>
    </w:tblStylePr>
    <w:tblStylePr w:type="band1Horz">
      <w:tblPr/>
      <w:tcPr>
        <w:tcBorders>
          <w:insideH w:val="nil"/>
          <w:insideV w:val="nil"/>
        </w:tcBorders>
        <w:shd w:val="clear" w:color="auto" w:fill="A8FF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565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5656" w:themeFill="accent1"/>
      </w:tcPr>
    </w:tblStylePr>
    <w:tblStylePr w:type="lastCol">
      <w:rPr>
        <w:b/>
        <w:bCs/>
        <w:color w:val="FFFFFF" w:themeColor="background1"/>
      </w:rPr>
      <w:tblPr/>
      <w:tcPr>
        <w:tcBorders>
          <w:left w:val="nil"/>
          <w:right w:val="nil"/>
          <w:insideH w:val="nil"/>
          <w:insideV w:val="nil"/>
        </w:tcBorders>
        <w:shd w:val="clear" w:color="auto" w:fill="0B565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67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73" w:themeFill="accent2"/>
      </w:tcPr>
    </w:tblStylePr>
    <w:tblStylePr w:type="lastCol">
      <w:rPr>
        <w:b/>
        <w:bCs/>
        <w:color w:val="FFFFFF" w:themeColor="background1"/>
      </w:rPr>
      <w:tblPr/>
      <w:tcPr>
        <w:tcBorders>
          <w:left w:val="nil"/>
          <w:right w:val="nil"/>
          <w:insideH w:val="nil"/>
          <w:insideV w:val="nil"/>
        </w:tcBorders>
        <w:shd w:val="clear" w:color="auto" w:fill="00A67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00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003D" w:themeFill="accent3"/>
      </w:tcPr>
    </w:tblStylePr>
    <w:tblStylePr w:type="lastCol">
      <w:rPr>
        <w:b/>
        <w:bCs/>
        <w:color w:val="FFFFFF" w:themeColor="background1"/>
      </w:rPr>
      <w:tblPr/>
      <w:tcPr>
        <w:tcBorders>
          <w:left w:val="nil"/>
          <w:right w:val="nil"/>
          <w:insideH w:val="nil"/>
          <w:insideV w:val="nil"/>
        </w:tcBorders>
        <w:shd w:val="clear" w:color="auto" w:fill="9300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254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254A" w:themeFill="accent4"/>
      </w:tcPr>
    </w:tblStylePr>
    <w:tblStylePr w:type="lastCol">
      <w:rPr>
        <w:b/>
        <w:bCs/>
        <w:color w:val="FFFFFF" w:themeColor="background1"/>
      </w:rPr>
      <w:tblPr/>
      <w:tcPr>
        <w:tcBorders>
          <w:left w:val="nil"/>
          <w:right w:val="nil"/>
          <w:insideH w:val="nil"/>
          <w:insideV w:val="nil"/>
        </w:tcBorders>
        <w:shd w:val="clear" w:color="auto" w:fill="D3254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C1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C1BF" w:themeFill="accent5"/>
      </w:tcPr>
    </w:tblStylePr>
    <w:tblStylePr w:type="lastCol">
      <w:rPr>
        <w:b/>
        <w:bCs/>
        <w:color w:val="FFFFFF" w:themeColor="background1"/>
      </w:rPr>
      <w:tblPr/>
      <w:tcPr>
        <w:tcBorders>
          <w:left w:val="nil"/>
          <w:right w:val="nil"/>
          <w:insideH w:val="nil"/>
          <w:insideV w:val="nil"/>
        </w:tcBorders>
        <w:shd w:val="clear" w:color="auto" w:fill="61C1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98" w:themeFill="accent6"/>
      </w:tcPr>
    </w:tblStylePr>
    <w:tblStylePr w:type="lastCol">
      <w:rPr>
        <w:b/>
        <w:bCs/>
        <w:color w:val="FFFFFF" w:themeColor="background1"/>
      </w:rPr>
      <w:tblPr/>
      <w:tcPr>
        <w:tcBorders>
          <w:left w:val="nil"/>
          <w:right w:val="nil"/>
          <w:insideH w:val="nil"/>
          <w:insideV w:val="nil"/>
        </w:tcBorders>
        <w:shd w:val="clear" w:color="auto" w:fill="00A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2"/>
    <w:rsid w:val="000724F2"/>
    <w:rPr>
      <w:sz w:val="17"/>
    </w:rPr>
  </w:style>
  <w:style w:type="character" w:customStyle="1" w:styleId="TOC1Char">
    <w:name w:val="TOC 1 Char"/>
    <w:basedOn w:val="DefaultParagraphFont"/>
    <w:link w:val="TOC1"/>
    <w:uiPriority w:val="39"/>
    <w:rsid w:val="003F3E28"/>
    <w:rPr>
      <w:rFonts w:asciiTheme="majorHAnsi" w:eastAsiaTheme="minorEastAsia" w:hAnsiTheme="majorHAnsi" w:cstheme="minorBidi"/>
      <w:b/>
      <w:noProof/>
      <w:color w:val="000000" w:themeColor="text1"/>
      <w:szCs w:val="2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ind w:left="1814"/>
    </w:pPr>
  </w:style>
  <w:style w:type="paragraph" w:styleId="ListContinue5">
    <w:name w:val="List Continue 5"/>
    <w:basedOn w:val="Normal"/>
    <w:semiHidden/>
    <w:rsid w:val="0058629F"/>
    <w:pPr>
      <w:ind w:left="2268"/>
    </w:pPr>
  </w:style>
  <w:style w:type="paragraph" w:customStyle="1" w:styleId="AttachmentHeading2">
    <w:name w:val="Attachment Heading 2"/>
    <w:basedOn w:val="Normal"/>
    <w:next w:val="BodyText"/>
    <w:uiPriority w:val="2"/>
    <w:qFormat/>
    <w:rsid w:val="001D2137"/>
    <w:pPr>
      <w:keepNext/>
      <w:keepLines/>
      <w:numPr>
        <w:ilvl w:val="1"/>
        <w:numId w:val="10"/>
      </w:numPr>
      <w:spacing w:before="240" w:after="180"/>
    </w:pPr>
    <w:rPr>
      <w:rFonts w:asciiTheme="majorHAnsi" w:eastAsiaTheme="majorEastAsia" w:hAnsiTheme="majorHAnsi" w:cs="Arial"/>
      <w:b/>
      <w:bCs/>
      <w:spacing w:val="-2"/>
      <w:sz w:val="26"/>
      <w:szCs w:val="40"/>
    </w:rPr>
  </w:style>
  <w:style w:type="paragraph" w:customStyle="1" w:styleId="AttachmentHeading3">
    <w:name w:val="Attachment Heading 3"/>
    <w:basedOn w:val="AttachmentHeading2"/>
    <w:next w:val="BodyText"/>
    <w:uiPriority w:val="2"/>
    <w:qFormat/>
    <w:rsid w:val="001D2137"/>
    <w:pPr>
      <w:numPr>
        <w:ilvl w:val="2"/>
      </w:numPr>
    </w:pPr>
    <w:rPr>
      <w:caps/>
      <w:sz w:val="20"/>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uiPriority w:val="1"/>
    <w:rsid w:val="00D02AB1"/>
    <w:pPr>
      <w:spacing w:before="60" w:after="80"/>
    </w:pPr>
    <w:tblPr>
      <w:tblBorders>
        <w:top w:val="single" w:sz="4" w:space="0" w:color="0B5656" w:themeColor="accent1"/>
        <w:bottom w:val="single" w:sz="4" w:space="0" w:color="0B5656" w:themeColor="accent1"/>
        <w:insideH w:val="single" w:sz="4" w:space="0" w:color="E8E8E8" w:themeColor="background2"/>
      </w:tblBorders>
      <w:tblCellMar>
        <w:left w:w="85" w:type="dxa"/>
        <w:right w:w="85" w:type="dxa"/>
      </w:tblCellMar>
    </w:tblPr>
    <w:tblStylePr w:type="firstRow">
      <w:pPr>
        <w:jc w:val="left"/>
      </w:pPr>
      <w:rPr>
        <w:b/>
        <w:color w:val="FFFFFF" w:themeColor="background1"/>
      </w:rPr>
      <w:tblPr/>
      <w:tcPr>
        <w:shd w:val="clear" w:color="auto" w:fill="0B5656" w:themeFill="accent1"/>
        <w:vAlign w:val="bottom"/>
      </w:tcPr>
    </w:tblStylePr>
  </w:style>
  <w:style w:type="paragraph" w:customStyle="1" w:styleId="Introduction">
    <w:name w:val="Introduction"/>
    <w:basedOn w:val="Normal"/>
    <w:next w:val="Normal"/>
    <w:qFormat/>
    <w:rsid w:val="00552E3E"/>
    <w:pPr>
      <w:spacing w:before="0" w:after="140" w:line="260" w:lineRule="atLeast"/>
    </w:pPr>
    <w:rPr>
      <w:b/>
      <w:color w:val="000000" w:themeColor="text1"/>
      <w:kern w:val="22"/>
      <w:sz w:val="21"/>
    </w:rPr>
  </w:style>
  <w:style w:type="paragraph" w:styleId="ListNumber4">
    <w:name w:val="List Number 4"/>
    <w:basedOn w:val="Normal"/>
    <w:unhideWhenUsed/>
    <w:rsid w:val="001369F7"/>
    <w:pPr>
      <w:numPr>
        <w:ilvl w:val="3"/>
        <w:numId w:val="9"/>
      </w:numPr>
    </w:pPr>
  </w:style>
  <w:style w:type="paragraph" w:styleId="ListNumber5">
    <w:name w:val="List Number 5"/>
    <w:basedOn w:val="Normal"/>
    <w:unhideWhenUsed/>
    <w:rsid w:val="001369F7"/>
    <w:pPr>
      <w:numPr>
        <w:ilvl w:val="4"/>
        <w:numId w:val="9"/>
      </w:numPr>
    </w:pPr>
  </w:style>
  <w:style w:type="paragraph" w:styleId="Subtitle">
    <w:name w:val="Subtitle"/>
    <w:basedOn w:val="Normal"/>
    <w:link w:val="SubtitleChar"/>
    <w:uiPriority w:val="2"/>
    <w:rsid w:val="00BE5AD3"/>
    <w:pPr>
      <w:framePr w:hSpace="181" w:wrap="around" w:vAnchor="page" w:hAnchor="page" w:x="3913" w:y="3857"/>
      <w:numPr>
        <w:ilvl w:val="1"/>
      </w:numPr>
      <w:spacing w:before="540" w:after="0" w:line="336" w:lineRule="exact"/>
      <w:suppressOverlap/>
    </w:pPr>
    <w:rPr>
      <w:rFonts w:asciiTheme="majorHAnsi" w:eastAsiaTheme="minorEastAsia" w:hAnsiTheme="majorHAnsi" w:cstheme="minorBidi"/>
      <w:b/>
      <w:color w:val="FFFFFF" w:themeColor="background1"/>
      <w:sz w:val="28"/>
      <w:szCs w:val="28"/>
    </w:rPr>
  </w:style>
  <w:style w:type="character" w:customStyle="1" w:styleId="SubtitleChar">
    <w:name w:val="Subtitle Char"/>
    <w:basedOn w:val="DefaultParagraphFont"/>
    <w:link w:val="Subtitle"/>
    <w:uiPriority w:val="2"/>
    <w:rsid w:val="00BE5AD3"/>
    <w:rPr>
      <w:rFonts w:asciiTheme="majorHAnsi" w:eastAsiaTheme="minorEastAsia" w:hAnsiTheme="majorHAnsi" w:cstheme="minorBidi"/>
      <w:b/>
      <w:color w:val="FFFFFF" w:themeColor="background1"/>
      <w:sz w:val="28"/>
      <w:szCs w:val="28"/>
    </w:rPr>
  </w:style>
  <w:style w:type="paragraph" w:customStyle="1" w:styleId="AttachmentHeading1">
    <w:name w:val="Attachment Heading 1"/>
    <w:basedOn w:val="Normal"/>
    <w:next w:val="BodyText"/>
    <w:uiPriority w:val="2"/>
    <w:qFormat/>
    <w:rsid w:val="00A67E0E"/>
    <w:pPr>
      <w:keepNext/>
      <w:keepLines/>
      <w:pageBreakBefore/>
      <w:numPr>
        <w:numId w:val="10"/>
      </w:numPr>
      <w:spacing w:before="0" w:after="180" w:line="240" w:lineRule="auto"/>
      <w:outlineLvl w:val="0"/>
    </w:pPr>
    <w:rPr>
      <w:rFonts w:asciiTheme="majorHAnsi" w:hAnsiTheme="majorHAnsi" w:cs="Arial"/>
      <w:b/>
      <w:color w:val="000000" w:themeColor="text1"/>
      <w:spacing w:val="-2"/>
      <w:sz w:val="26"/>
    </w:rPr>
  </w:style>
  <w:style w:type="paragraph" w:customStyle="1" w:styleId="TableText">
    <w:name w:val="Table Text"/>
    <w:basedOn w:val="Normal"/>
    <w:qFormat/>
    <w:rsid w:val="00C22921"/>
    <w:pPr>
      <w:spacing w:before="60" w:after="80"/>
    </w:pPr>
  </w:style>
  <w:style w:type="character" w:styleId="PlaceholderText">
    <w:name w:val="Placeholder Text"/>
    <w:basedOn w:val="DefaultParagraphFont"/>
    <w:uiPriority w:val="99"/>
    <w:rsid w:val="0078560F"/>
    <w:rPr>
      <w:color w:val="FF3399"/>
    </w:rPr>
  </w:style>
  <w:style w:type="paragraph" w:styleId="Caption">
    <w:name w:val="caption"/>
    <w:basedOn w:val="Normal"/>
    <w:next w:val="Normal"/>
    <w:uiPriority w:val="1"/>
    <w:qFormat/>
    <w:rsid w:val="00033980"/>
    <w:pPr>
      <w:tabs>
        <w:tab w:val="left" w:pos="964"/>
      </w:tabs>
      <w:spacing w:before="240"/>
    </w:pPr>
    <w:rPr>
      <w:rFonts w:asciiTheme="majorHAnsi" w:hAnsiTheme="majorHAnsi"/>
      <w:b/>
    </w:rPr>
  </w:style>
  <w:style w:type="paragraph" w:styleId="NormalWeb">
    <w:name w:val="Normal (Web)"/>
    <w:basedOn w:val="Normal"/>
    <w:uiPriority w:val="1"/>
    <w:semiHidden/>
    <w:rsid w:val="005F5B06"/>
    <w:pPr>
      <w:spacing w:before="0" w:after="0"/>
    </w:pPr>
    <w:rPr>
      <w:szCs w:val="24"/>
    </w:rPr>
  </w:style>
  <w:style w:type="paragraph" w:customStyle="1" w:styleId="AttachmentHeading4">
    <w:name w:val="Attachment Heading 4"/>
    <w:basedOn w:val="Normal"/>
    <w:next w:val="BodyText"/>
    <w:uiPriority w:val="2"/>
    <w:qFormat/>
    <w:rsid w:val="00033980"/>
    <w:pPr>
      <w:spacing w:before="240" w:after="180"/>
    </w:pPr>
    <w:rPr>
      <w:b/>
      <w:color w:val="00A673" w:themeColor="accent2"/>
    </w:rPr>
  </w:style>
  <w:style w:type="paragraph" w:styleId="TOC3">
    <w:name w:val="toc 3"/>
    <w:basedOn w:val="Normal"/>
    <w:next w:val="Normal"/>
    <w:autoRedefine/>
    <w:uiPriority w:val="39"/>
    <w:rsid w:val="003F3E28"/>
    <w:pPr>
      <w:tabs>
        <w:tab w:val="left" w:pos="992"/>
        <w:tab w:val="right" w:leader="dot" w:pos="9611"/>
      </w:tabs>
      <w:spacing w:before="70" w:after="70"/>
      <w:ind w:left="1587" w:right="567" w:hanging="595"/>
    </w:pPr>
    <w:rPr>
      <w:noProof/>
    </w:rPr>
  </w:style>
  <w:style w:type="paragraph" w:customStyle="1" w:styleId="FooterPageNumber">
    <w:name w:val="Footer Page Number"/>
    <w:basedOn w:val="Footer"/>
    <w:next w:val="Footer"/>
    <w:uiPriority w:val="99"/>
    <w:rsid w:val="005464A9"/>
    <w:pPr>
      <w:framePr w:w="851" w:hSpace="340" w:vSpace="340" w:wrap="around" w:vAnchor="text" w:hAnchor="margin" w:xAlign="right" w:y="1"/>
    </w:pPr>
    <w:rPr>
      <w:b/>
      <w:noProof/>
      <w:color w:val="0B5656" w:themeColor="accent1"/>
    </w:rPr>
  </w:style>
  <w:style w:type="paragraph" w:customStyle="1" w:styleId="HeaderwithLine">
    <w:name w:val="Header with Line"/>
    <w:basedOn w:val="Header"/>
    <w:next w:val="Header"/>
    <w:uiPriority w:val="99"/>
    <w:semiHidden/>
    <w:rsid w:val="005560C0"/>
    <w:pPr>
      <w:pBdr>
        <w:bottom w:val="single" w:sz="4" w:space="8" w:color="0079C1"/>
      </w:pBdr>
      <w:tabs>
        <w:tab w:val="clear" w:pos="2730"/>
        <w:tab w:val="left" w:pos="3583"/>
      </w:tabs>
    </w:p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HighlightBoxHeading">
    <w:name w:val="Highlight Box Heading"/>
    <w:basedOn w:val="HighlightBoxText"/>
    <w:next w:val="HighlightBoxText"/>
    <w:qFormat/>
    <w:rsid w:val="00552E3E"/>
    <w:rPr>
      <w:b/>
      <w:sz w:val="26"/>
    </w:rPr>
  </w:style>
  <w:style w:type="paragraph" w:customStyle="1" w:styleId="HighlightBoxText">
    <w:name w:val="Highlight Box Text"/>
    <w:basedOn w:val="BodyText"/>
    <w:qFormat/>
    <w:rsid w:val="00710345"/>
    <w:pPr>
      <w:pBdr>
        <w:top w:val="single" w:sz="4" w:space="11" w:color="E8E8E8" w:themeColor="background2"/>
        <w:left w:val="single" w:sz="4" w:space="10" w:color="E8E8E8" w:themeColor="background2"/>
        <w:bottom w:val="single" w:sz="4" w:space="17" w:color="E8E8E8" w:themeColor="background2"/>
        <w:right w:val="single" w:sz="4" w:space="10" w:color="E8E8E8" w:themeColor="background2"/>
      </w:pBdr>
      <w:shd w:val="clear" w:color="auto" w:fill="E8E8E8" w:themeFill="background2"/>
      <w:tabs>
        <w:tab w:val="left" w:pos="2268"/>
        <w:tab w:val="left" w:pos="4536"/>
        <w:tab w:val="left" w:pos="6804"/>
        <w:tab w:val="right" w:pos="9638"/>
      </w:tabs>
      <w:spacing w:before="150" w:after="150"/>
      <w:ind w:left="283" w:right="283"/>
    </w:pPr>
    <w:rPr>
      <w:color w:val="000000" w:themeColor="text1"/>
      <w:spacing w:val="2"/>
      <w:kern w:val="20"/>
      <w:szCs w:val="20"/>
      <w:lang w:eastAsia="fr-CA"/>
    </w:rPr>
  </w:style>
  <w:style w:type="paragraph" w:customStyle="1" w:styleId="SmallText">
    <w:name w:val="Small Text"/>
    <w:basedOn w:val="TableText"/>
    <w:next w:val="Normal"/>
    <w:qFormat/>
    <w:rsid w:val="00C22921"/>
    <w:pPr>
      <w:spacing w:before="130" w:after="130" w:line="180" w:lineRule="exact"/>
    </w:pPr>
    <w:rPr>
      <w:sz w:val="14"/>
    </w:rPr>
  </w:style>
  <w:style w:type="table" w:customStyle="1" w:styleId="TableGridColourful">
    <w:name w:val="Table Grid Colourful"/>
    <w:basedOn w:val="TableNormal"/>
    <w:uiPriority w:val="99"/>
    <w:rsid w:val="002C6B67"/>
    <w:pPr>
      <w:spacing w:before="60" w:after="80"/>
    </w:pPr>
    <w:tblPr>
      <w:tblBorders>
        <w:top w:val="single" w:sz="4" w:space="0" w:color="0B5656" w:themeColor="accent1"/>
        <w:bottom w:val="single" w:sz="4" w:space="0" w:color="0B5656" w:themeColor="accent1"/>
        <w:insideH w:val="single" w:sz="4" w:space="0" w:color="FFFFFF" w:themeColor="background1"/>
      </w:tblBorders>
      <w:tblCellMar>
        <w:left w:w="85" w:type="dxa"/>
        <w:right w:w="85" w:type="dxa"/>
      </w:tblCellMar>
    </w:tblPr>
    <w:tcPr>
      <w:shd w:val="clear" w:color="auto" w:fill="E8E8E8" w:themeFill="background2"/>
    </w:tcPr>
    <w:tblStylePr w:type="firstRow">
      <w:pPr>
        <w:jc w:val="left"/>
      </w:pPr>
      <w:rPr>
        <w:b/>
        <w:color w:val="FFFFFF" w:themeColor="background1"/>
      </w:rPr>
      <w:tblPr/>
      <w:tcPr>
        <w:shd w:val="clear" w:color="auto" w:fill="0B5656" w:themeFill="accent1"/>
        <w:vAlign w:val="bottom"/>
      </w:tcPr>
    </w:tblStylePr>
  </w:style>
  <w:style w:type="paragraph" w:customStyle="1" w:styleId="BackPageTextboxText">
    <w:name w:val="Back Page Textbox Text"/>
    <w:basedOn w:val="Normal"/>
    <w:uiPriority w:val="2"/>
    <w:semiHidden/>
    <w:rsid w:val="00A70FCF"/>
    <w:pPr>
      <w:spacing w:after="0"/>
      <w:contextualSpacing/>
    </w:pPr>
    <w:rPr>
      <w:color w:val="FFFFFF" w:themeColor="background1"/>
    </w:rPr>
  </w:style>
  <w:style w:type="paragraph" w:customStyle="1" w:styleId="BackPageTextboxHeading">
    <w:name w:val="Back Page Textbox Heading"/>
    <w:basedOn w:val="BackPageTextboxText"/>
    <w:next w:val="BackPageTextboxText"/>
    <w:uiPriority w:val="2"/>
    <w:semiHidden/>
    <w:rsid w:val="00A70FCF"/>
    <w:rPr>
      <w:rFonts w:asciiTheme="majorHAnsi" w:hAnsiTheme="majorHAnsi"/>
      <w:b/>
    </w:rPr>
  </w:style>
  <w:style w:type="paragraph" w:customStyle="1" w:styleId="FooterFirstPage">
    <w:name w:val="Footer First Page"/>
    <w:basedOn w:val="Footer"/>
    <w:uiPriority w:val="99"/>
    <w:qFormat/>
    <w:rsid w:val="00C76BBF"/>
    <w:rPr>
      <w:lang w:val="en-US"/>
    </w:rPr>
  </w:style>
  <w:style w:type="paragraph" w:customStyle="1" w:styleId="Subtitle2">
    <w:name w:val="Subtitle 2"/>
    <w:basedOn w:val="Subtitle"/>
    <w:uiPriority w:val="2"/>
    <w:qFormat/>
    <w:rsid w:val="00BE5AD3"/>
    <w:pPr>
      <w:framePr w:wrap="around"/>
      <w:spacing w:before="0"/>
    </w:pPr>
    <w:rPr>
      <w:rFonts w:asciiTheme="minorHAnsi" w:hAnsiTheme="minorHAnsi"/>
      <w:b w:val="0"/>
    </w:rPr>
  </w:style>
  <w:style w:type="paragraph" w:customStyle="1" w:styleId="HeaderRight">
    <w:name w:val="Header Right"/>
    <w:basedOn w:val="Header"/>
    <w:uiPriority w:val="99"/>
    <w:rsid w:val="009712C8"/>
    <w:pPr>
      <w:jc w:val="left"/>
    </w:pPr>
    <w:rPr>
      <w:noProof/>
    </w:rPr>
  </w:style>
  <w:style w:type="paragraph" w:customStyle="1" w:styleId="FooterEven">
    <w:name w:val="Footer Even"/>
    <w:basedOn w:val="Footer"/>
    <w:uiPriority w:val="99"/>
    <w:qFormat/>
    <w:rsid w:val="00B76D3B"/>
    <w:pPr>
      <w:jc w:val="left"/>
    </w:pPr>
  </w:style>
  <w:style w:type="paragraph" w:styleId="Quote">
    <w:name w:val="Quote"/>
    <w:basedOn w:val="Normal"/>
    <w:next w:val="Normal"/>
    <w:link w:val="QuoteChar"/>
    <w:rsid w:val="0023025F"/>
    <w:pPr>
      <w:spacing w:before="120" w:after="120"/>
      <w:ind w:left="397" w:right="397"/>
      <w:jc w:val="both"/>
    </w:pPr>
    <w:rPr>
      <w:i/>
      <w:iCs/>
      <w:color w:val="404040" w:themeColor="text1" w:themeTint="BF"/>
    </w:rPr>
  </w:style>
  <w:style w:type="character" w:customStyle="1" w:styleId="QuoteChar">
    <w:name w:val="Quote Char"/>
    <w:basedOn w:val="DefaultParagraphFont"/>
    <w:link w:val="Quote"/>
    <w:rsid w:val="0023025F"/>
    <w:rPr>
      <w:i/>
      <w:iCs/>
      <w:color w:val="404040" w:themeColor="text1" w:themeTint="BF"/>
    </w:rPr>
  </w:style>
  <w:style w:type="paragraph" w:customStyle="1" w:styleId="TableTextWhiteBold">
    <w:name w:val="Table Text White Bold"/>
    <w:basedOn w:val="Normal"/>
    <w:qFormat/>
    <w:rsid w:val="00C22921"/>
    <w:pPr>
      <w:spacing w:before="60" w:after="80"/>
    </w:pPr>
    <w:rPr>
      <w:b/>
      <w:color w:val="FFFFFF" w:themeColor="background1"/>
    </w:rPr>
  </w:style>
  <w:style w:type="paragraph" w:customStyle="1" w:styleId="TableTextBold">
    <w:name w:val="Table Text Bold"/>
    <w:basedOn w:val="TableText"/>
    <w:qFormat/>
    <w:rsid w:val="00C22921"/>
    <w:rPr>
      <w:b/>
    </w:rPr>
  </w:style>
  <w:style w:type="paragraph" w:styleId="ListParagraph">
    <w:name w:val="List Paragraph"/>
    <w:basedOn w:val="Normal"/>
    <w:uiPriority w:val="34"/>
    <w:qFormat/>
    <w:rsid w:val="001A56EB"/>
    <w:pPr>
      <w:spacing w:before="0" w:after="160" w:line="259" w:lineRule="auto"/>
      <w:ind w:left="720"/>
      <w:contextualSpacing/>
    </w:pPr>
    <w:rPr>
      <w:rFonts w:eastAsia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62328592">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4fb\AppData\Local\Microsoft\Windows\INetCache\Content.Outlook\065H0P0K\CSV%20Report%20Templat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E523F3E4B47EDB87BC91378982824"/>
        <w:category>
          <w:name w:val="General"/>
          <w:gallery w:val="placeholder"/>
        </w:category>
        <w:types>
          <w:type w:val="bbPlcHdr"/>
        </w:types>
        <w:behaviors>
          <w:behavior w:val="content"/>
        </w:behaviors>
        <w:guid w:val="{A83B8363-7BB4-4082-BD57-F6F24110960D}"/>
      </w:docPartPr>
      <w:docPartBody>
        <w:p w:rsidR="0016737B" w:rsidRDefault="0016737B">
          <w:pPr>
            <w:pStyle w:val="C90E523F3E4B47EDB87BC91378982824"/>
          </w:pPr>
          <w:r w:rsidRPr="002845AB">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7B"/>
    <w:rsid w:val="0016737B"/>
    <w:rsid w:val="001F495E"/>
    <w:rsid w:val="005E73EF"/>
    <w:rsid w:val="00673743"/>
    <w:rsid w:val="00760FC3"/>
    <w:rsid w:val="008B0A99"/>
    <w:rsid w:val="00AE3F1E"/>
    <w:rsid w:val="00B05768"/>
    <w:rsid w:val="00D1389D"/>
    <w:rsid w:val="00DF66EA"/>
    <w:rsid w:val="00ED5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3399"/>
    </w:rPr>
  </w:style>
  <w:style w:type="paragraph" w:customStyle="1" w:styleId="C90E523F3E4B47EDB87BC91378982824">
    <w:name w:val="C90E523F3E4B47EDB87BC91378982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onsdale">
  <a:themeElements>
    <a:clrScheme name="Court Services Victoria">
      <a:dk1>
        <a:srgbClr val="000000"/>
      </a:dk1>
      <a:lt1>
        <a:srgbClr val="FFFFFF"/>
      </a:lt1>
      <a:dk2>
        <a:srgbClr val="001C3A"/>
      </a:dk2>
      <a:lt2>
        <a:srgbClr val="E8E8E8"/>
      </a:lt2>
      <a:accent1>
        <a:srgbClr val="0B5656"/>
      </a:accent1>
      <a:accent2>
        <a:srgbClr val="00A673"/>
      </a:accent2>
      <a:accent3>
        <a:srgbClr val="93003D"/>
      </a:accent3>
      <a:accent4>
        <a:srgbClr val="D3254A"/>
      </a:accent4>
      <a:accent5>
        <a:srgbClr val="61C1BF"/>
      </a:accent5>
      <a:accent6>
        <a:srgbClr val="00A098"/>
      </a:accent6>
      <a:hlink>
        <a:srgbClr val="00000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FD5D65EDA3896418CAE06DE8154E474" ma:contentTypeVersion="11" ma:contentTypeDescription="Create a new document." ma:contentTypeScope="" ma:versionID="212d6acf9df378c31eabde40027fc765">
  <xsd:schema xmlns:xsd="http://www.w3.org/2001/XMLSchema" xmlns:xs="http://www.w3.org/2001/XMLSchema" xmlns:p="http://schemas.microsoft.com/office/2006/metadata/properties" xmlns:ns2="370c71ca-81d4-4996-9618-9854091502d0" xmlns:ns3="e6e5fc63-5e84-447a-849c-c6c81ab05098" targetNamespace="http://schemas.microsoft.com/office/2006/metadata/properties" ma:root="true" ma:fieldsID="70172fff757b021988e137afc9d06dcb" ns2:_="" ns3:_="">
    <xsd:import namespace="370c71ca-81d4-4996-9618-9854091502d0"/>
    <xsd:import namespace="e6e5fc63-5e84-447a-849c-c6c81ab05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c71ca-81d4-4996-9618-985409150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5fc63-5e84-447a-849c-c6c81ab05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8AAE8-B727-4F48-A290-9EB519FB1B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FAC0C5D-CE8D-4BE6-9B36-FA2F42FC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c71ca-81d4-4996-9618-9854091502d0"/>
    <ds:schemaRef ds:uri="e6e5fc63-5e84-447a-849c-c6c81ab0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795E9-077E-4558-9297-536ACA4D1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CSV Report Template (external).dotx</Template>
  <TotalTime>8</TotalTime>
  <Pages>27</Pages>
  <Words>9703</Words>
  <Characters>55312</Characters>
  <Application>Microsoft Office Word</Application>
  <DocSecurity>8</DocSecurity>
  <Lines>460</Lines>
  <Paragraphs>129</Paragraphs>
  <ScaleCrop>false</ScaleCrop>
  <HeadingPairs>
    <vt:vector size="2" baseType="variant">
      <vt:variant>
        <vt:lpstr>Title</vt:lpstr>
      </vt:variant>
      <vt:variant>
        <vt:i4>1</vt:i4>
      </vt:variant>
    </vt:vector>
  </HeadingPairs>
  <TitlesOfParts>
    <vt:vector size="1" baseType="lpstr">
      <vt:lpstr>Title line 1</vt:lpstr>
    </vt:vector>
  </TitlesOfParts>
  <Company/>
  <LinksUpToDate>false</LinksUpToDate>
  <CharactersWithSpaces>64886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line 1</dc:title>
  <dc:subject>Subtitle</dc:subject>
  <dc:creator>Leanne Westell (CSV)</dc:creator>
  <cp:keywords/>
  <dc:description/>
  <cp:lastModifiedBy>Marcel Ianno (CSV)</cp:lastModifiedBy>
  <cp:revision>9</cp:revision>
  <cp:lastPrinted>2022-02-28T05:25:00Z</cp:lastPrinted>
  <dcterms:created xsi:type="dcterms:W3CDTF">2024-12-09T02:59:00Z</dcterms:created>
  <dcterms:modified xsi:type="dcterms:W3CDTF">2024-12-09T03:16:00Z</dcterms:modified>
  <cp:category>November 2024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0x010100EFD5D65EDA3896418CAE06DE8154E474</vt:lpwstr>
  </property>
</Properties>
</file>