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E09A" w14:textId="77777777" w:rsidR="00EE5532" w:rsidRDefault="006746F3" w:rsidP="0026743D">
      <w:pPr>
        <w:spacing w:after="2640"/>
        <w:jc w:val="right"/>
      </w:pPr>
      <w:r>
        <w:rPr>
          <w:noProof/>
        </w:rPr>
        <w:drawing>
          <wp:inline distT="0" distB="0" distL="0" distR="0" wp14:anchorId="40ADCB8F" wp14:editId="6666FA0C">
            <wp:extent cx="2084832" cy="938784"/>
            <wp:effectExtent l="0" t="0" r="0" b="0"/>
            <wp:docPr id="2" name="Picture 2" descr="Court Service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0">
                      <a:extLst>
                        <a:ext uri="{28A0092B-C50C-407E-A947-70E740481C1C}">
                          <a14:useLocalDpi xmlns:a14="http://schemas.microsoft.com/office/drawing/2010/main" val="0"/>
                        </a:ext>
                      </a:extLst>
                    </a:blip>
                    <a:stretch>
                      <a:fillRect/>
                    </a:stretch>
                  </pic:blipFill>
                  <pic:spPr>
                    <a:xfrm>
                      <a:off x="0" y="0"/>
                      <a:ext cx="2084832" cy="938784"/>
                    </a:xfrm>
                    <a:prstGeom prst="rect">
                      <a:avLst/>
                    </a:prstGeom>
                  </pic:spPr>
                </pic:pic>
              </a:graphicData>
            </a:graphic>
          </wp:inline>
        </w:drawing>
      </w:r>
    </w:p>
    <w:sdt>
      <w:sdtPr>
        <w:alias w:val="Title"/>
        <w:tag w:val=""/>
        <w:id w:val="299888721"/>
        <w:placeholder>
          <w:docPart w:val="58572B108AC84C4DBA090C94C083F8EB"/>
        </w:placeholder>
        <w:dataBinding w:prefixMappings="xmlns:ns0='http://purl.org/dc/elements/1.1/' xmlns:ns1='http://schemas.openxmlformats.org/package/2006/metadata/core-properties' " w:xpath="/ns1:coreProperties[1]/ns0:title[1]" w:storeItemID="{6C3C8BC8-F283-45AE-878A-BAB7291924A1}"/>
        <w:text/>
      </w:sdtPr>
      <w:sdtEndPr/>
      <w:sdtContent>
        <w:p w14:paraId="7E996349" w14:textId="58613F55" w:rsidR="00B21199" w:rsidRDefault="00CC6300" w:rsidP="0026743D">
          <w:pPr>
            <w:pStyle w:val="Title"/>
          </w:pPr>
          <w:r>
            <w:t>Gender Equality Action Plan</w:t>
          </w:r>
        </w:p>
      </w:sdtContent>
    </w:sdt>
    <w:p w14:paraId="0187BB64" w14:textId="77777777" w:rsidR="00ED2096" w:rsidRPr="00891721" w:rsidRDefault="00ED2096" w:rsidP="00ED2096">
      <w:pPr>
        <w:pStyle w:val="TOCHeading"/>
      </w:pPr>
      <w:r w:rsidRPr="00B461C9">
        <w:lastRenderedPageBreak/>
        <w:t>Contents</w:t>
      </w:r>
    </w:p>
    <w:p w14:paraId="0DAA15E5" w14:textId="383C65CB" w:rsidR="00561567" w:rsidRDefault="002E5B3F">
      <w:pPr>
        <w:pStyle w:val="TOC1"/>
        <w:rPr>
          <w:rFonts w:eastAsiaTheme="minorEastAsia" w:cstheme="minorBidi"/>
          <w:color w:val="auto"/>
        </w:rPr>
      </w:pPr>
      <w:r>
        <w:rPr>
          <w:b/>
        </w:rPr>
        <w:fldChar w:fldCharType="begin"/>
      </w:r>
      <w:r>
        <w:instrText xml:space="preserve"> TOC \o "1-2" \h \z \u </w:instrText>
      </w:r>
      <w:r>
        <w:rPr>
          <w:b/>
        </w:rPr>
        <w:fldChar w:fldCharType="separate"/>
      </w:r>
      <w:hyperlink w:anchor="_Toc110508760" w:history="1">
        <w:r w:rsidR="00561567" w:rsidRPr="00B00086">
          <w:rPr>
            <w:rStyle w:val="Hyperlink"/>
          </w:rPr>
          <w:t>1.</w:t>
        </w:r>
        <w:r w:rsidR="00561567">
          <w:rPr>
            <w:rFonts w:eastAsiaTheme="minorEastAsia" w:cstheme="minorBidi"/>
            <w:color w:val="auto"/>
          </w:rPr>
          <w:tab/>
        </w:r>
        <w:r w:rsidR="00561567" w:rsidRPr="00B00086">
          <w:rPr>
            <w:rStyle w:val="Hyperlink"/>
          </w:rPr>
          <w:t>Foreword</w:t>
        </w:r>
        <w:r w:rsidR="00561567">
          <w:rPr>
            <w:webHidden/>
          </w:rPr>
          <w:tab/>
        </w:r>
        <w:r w:rsidR="00561567">
          <w:rPr>
            <w:webHidden/>
          </w:rPr>
          <w:fldChar w:fldCharType="begin"/>
        </w:r>
        <w:r w:rsidR="00561567">
          <w:rPr>
            <w:webHidden/>
          </w:rPr>
          <w:instrText xml:space="preserve"> PAGEREF _Toc110508760 \h </w:instrText>
        </w:r>
        <w:r w:rsidR="00561567">
          <w:rPr>
            <w:webHidden/>
          </w:rPr>
        </w:r>
        <w:r w:rsidR="00561567">
          <w:rPr>
            <w:webHidden/>
          </w:rPr>
          <w:fldChar w:fldCharType="separate"/>
        </w:r>
        <w:r w:rsidR="00561567">
          <w:rPr>
            <w:webHidden/>
          </w:rPr>
          <w:t>4</w:t>
        </w:r>
        <w:r w:rsidR="00561567">
          <w:rPr>
            <w:webHidden/>
          </w:rPr>
          <w:fldChar w:fldCharType="end"/>
        </w:r>
      </w:hyperlink>
    </w:p>
    <w:p w14:paraId="5116A6DE" w14:textId="0AF175CE" w:rsidR="00561567" w:rsidRDefault="00E80FBE">
      <w:pPr>
        <w:pStyle w:val="TOC1"/>
        <w:rPr>
          <w:rFonts w:eastAsiaTheme="minorEastAsia" w:cstheme="minorBidi"/>
          <w:color w:val="auto"/>
        </w:rPr>
      </w:pPr>
      <w:hyperlink w:anchor="_Toc110508761" w:history="1">
        <w:r w:rsidR="00561567" w:rsidRPr="00B00086">
          <w:rPr>
            <w:rStyle w:val="Hyperlink"/>
          </w:rPr>
          <w:t>2.</w:t>
        </w:r>
        <w:r w:rsidR="00561567">
          <w:rPr>
            <w:rFonts w:eastAsiaTheme="minorEastAsia" w:cstheme="minorBidi"/>
            <w:color w:val="auto"/>
          </w:rPr>
          <w:tab/>
        </w:r>
        <w:r w:rsidR="00561567" w:rsidRPr="00B00086">
          <w:rPr>
            <w:rStyle w:val="Hyperlink"/>
          </w:rPr>
          <w:t>Introduction</w:t>
        </w:r>
        <w:r w:rsidR="00561567">
          <w:rPr>
            <w:webHidden/>
          </w:rPr>
          <w:tab/>
        </w:r>
        <w:r w:rsidR="00561567">
          <w:rPr>
            <w:webHidden/>
          </w:rPr>
          <w:fldChar w:fldCharType="begin"/>
        </w:r>
        <w:r w:rsidR="00561567">
          <w:rPr>
            <w:webHidden/>
          </w:rPr>
          <w:instrText xml:space="preserve"> PAGEREF _Toc110508761 \h </w:instrText>
        </w:r>
        <w:r w:rsidR="00561567">
          <w:rPr>
            <w:webHidden/>
          </w:rPr>
        </w:r>
        <w:r w:rsidR="00561567">
          <w:rPr>
            <w:webHidden/>
          </w:rPr>
          <w:fldChar w:fldCharType="separate"/>
        </w:r>
        <w:r w:rsidR="00561567">
          <w:rPr>
            <w:webHidden/>
          </w:rPr>
          <w:t>6</w:t>
        </w:r>
        <w:r w:rsidR="00561567">
          <w:rPr>
            <w:webHidden/>
          </w:rPr>
          <w:fldChar w:fldCharType="end"/>
        </w:r>
      </w:hyperlink>
    </w:p>
    <w:p w14:paraId="6D0C60B9" w14:textId="198B7ED9" w:rsidR="00561567" w:rsidRDefault="00E80FBE">
      <w:pPr>
        <w:pStyle w:val="TOC1"/>
        <w:rPr>
          <w:rFonts w:eastAsiaTheme="minorEastAsia" w:cstheme="minorBidi"/>
          <w:color w:val="auto"/>
        </w:rPr>
      </w:pPr>
      <w:hyperlink w:anchor="_Toc110508762" w:history="1">
        <w:r w:rsidR="00561567" w:rsidRPr="00B00086">
          <w:rPr>
            <w:rStyle w:val="Hyperlink"/>
          </w:rPr>
          <w:t>3.</w:t>
        </w:r>
        <w:r w:rsidR="00561567">
          <w:rPr>
            <w:rFonts w:eastAsiaTheme="minorEastAsia" w:cstheme="minorBidi"/>
            <w:color w:val="auto"/>
          </w:rPr>
          <w:tab/>
        </w:r>
        <w:r w:rsidR="00561567" w:rsidRPr="00B00086">
          <w:rPr>
            <w:rStyle w:val="Hyperlink"/>
          </w:rPr>
          <w:t>Case for Change</w:t>
        </w:r>
        <w:r w:rsidR="00561567">
          <w:rPr>
            <w:webHidden/>
          </w:rPr>
          <w:tab/>
        </w:r>
        <w:r w:rsidR="00561567">
          <w:rPr>
            <w:webHidden/>
          </w:rPr>
          <w:fldChar w:fldCharType="begin"/>
        </w:r>
        <w:r w:rsidR="00561567">
          <w:rPr>
            <w:webHidden/>
          </w:rPr>
          <w:instrText xml:space="preserve"> PAGEREF _Toc110508762 \h </w:instrText>
        </w:r>
        <w:r w:rsidR="00561567">
          <w:rPr>
            <w:webHidden/>
          </w:rPr>
        </w:r>
        <w:r w:rsidR="00561567">
          <w:rPr>
            <w:webHidden/>
          </w:rPr>
          <w:fldChar w:fldCharType="separate"/>
        </w:r>
        <w:r w:rsidR="00561567">
          <w:rPr>
            <w:webHidden/>
          </w:rPr>
          <w:t>8</w:t>
        </w:r>
        <w:r w:rsidR="00561567">
          <w:rPr>
            <w:webHidden/>
          </w:rPr>
          <w:fldChar w:fldCharType="end"/>
        </w:r>
      </w:hyperlink>
    </w:p>
    <w:p w14:paraId="0EE77D64" w14:textId="3D3F6FEC" w:rsidR="00561567" w:rsidRDefault="00E80FBE">
      <w:pPr>
        <w:pStyle w:val="TOC2"/>
        <w:rPr>
          <w:rFonts w:eastAsiaTheme="minorEastAsia" w:cstheme="minorBidi"/>
          <w:color w:val="auto"/>
        </w:rPr>
      </w:pPr>
      <w:hyperlink w:anchor="_Toc110508763" w:history="1">
        <w:r w:rsidR="00561567" w:rsidRPr="00B00086">
          <w:rPr>
            <w:rStyle w:val="Hyperlink"/>
          </w:rPr>
          <w:t>Vision</w:t>
        </w:r>
        <w:r w:rsidR="00561567">
          <w:rPr>
            <w:webHidden/>
          </w:rPr>
          <w:tab/>
        </w:r>
        <w:r w:rsidR="00561567">
          <w:rPr>
            <w:webHidden/>
          </w:rPr>
          <w:fldChar w:fldCharType="begin"/>
        </w:r>
        <w:r w:rsidR="00561567">
          <w:rPr>
            <w:webHidden/>
          </w:rPr>
          <w:instrText xml:space="preserve"> PAGEREF _Toc110508763 \h </w:instrText>
        </w:r>
        <w:r w:rsidR="00561567">
          <w:rPr>
            <w:webHidden/>
          </w:rPr>
        </w:r>
        <w:r w:rsidR="00561567">
          <w:rPr>
            <w:webHidden/>
          </w:rPr>
          <w:fldChar w:fldCharType="separate"/>
        </w:r>
        <w:r w:rsidR="00561567">
          <w:rPr>
            <w:webHidden/>
          </w:rPr>
          <w:t>8</w:t>
        </w:r>
        <w:r w:rsidR="00561567">
          <w:rPr>
            <w:webHidden/>
          </w:rPr>
          <w:fldChar w:fldCharType="end"/>
        </w:r>
      </w:hyperlink>
    </w:p>
    <w:p w14:paraId="61C21342" w14:textId="622A28B5" w:rsidR="00561567" w:rsidRDefault="00E80FBE">
      <w:pPr>
        <w:pStyle w:val="TOC1"/>
        <w:rPr>
          <w:rFonts w:eastAsiaTheme="minorEastAsia" w:cstheme="minorBidi"/>
          <w:color w:val="auto"/>
        </w:rPr>
      </w:pPr>
      <w:hyperlink w:anchor="_Toc110508764" w:history="1">
        <w:r w:rsidR="00561567" w:rsidRPr="00B00086">
          <w:rPr>
            <w:rStyle w:val="Hyperlink"/>
          </w:rPr>
          <w:t>4.</w:t>
        </w:r>
        <w:r w:rsidR="00561567">
          <w:rPr>
            <w:rFonts w:eastAsiaTheme="minorEastAsia" w:cstheme="minorBidi"/>
            <w:color w:val="auto"/>
          </w:rPr>
          <w:tab/>
        </w:r>
        <w:r w:rsidR="00561567" w:rsidRPr="00B00086">
          <w:rPr>
            <w:rStyle w:val="Hyperlink"/>
          </w:rPr>
          <w:t>Strategies and Measures</w:t>
        </w:r>
        <w:r w:rsidR="00561567">
          <w:rPr>
            <w:webHidden/>
          </w:rPr>
          <w:tab/>
        </w:r>
        <w:r w:rsidR="00561567">
          <w:rPr>
            <w:webHidden/>
          </w:rPr>
          <w:fldChar w:fldCharType="begin"/>
        </w:r>
        <w:r w:rsidR="00561567">
          <w:rPr>
            <w:webHidden/>
          </w:rPr>
          <w:instrText xml:space="preserve"> PAGEREF _Toc110508764 \h </w:instrText>
        </w:r>
        <w:r w:rsidR="00561567">
          <w:rPr>
            <w:webHidden/>
          </w:rPr>
        </w:r>
        <w:r w:rsidR="00561567">
          <w:rPr>
            <w:webHidden/>
          </w:rPr>
          <w:fldChar w:fldCharType="separate"/>
        </w:r>
        <w:r w:rsidR="00561567">
          <w:rPr>
            <w:webHidden/>
          </w:rPr>
          <w:t>12</w:t>
        </w:r>
        <w:r w:rsidR="00561567">
          <w:rPr>
            <w:webHidden/>
          </w:rPr>
          <w:fldChar w:fldCharType="end"/>
        </w:r>
      </w:hyperlink>
    </w:p>
    <w:p w14:paraId="6D69B213" w14:textId="76794543" w:rsidR="00561567" w:rsidRDefault="00E80FBE">
      <w:pPr>
        <w:pStyle w:val="TOC2"/>
        <w:rPr>
          <w:rFonts w:eastAsiaTheme="minorEastAsia" w:cstheme="minorBidi"/>
          <w:color w:val="auto"/>
        </w:rPr>
      </w:pPr>
      <w:hyperlink w:anchor="_Toc110508765" w:history="1">
        <w:r w:rsidR="00561567" w:rsidRPr="00B00086">
          <w:rPr>
            <w:rStyle w:val="Hyperlink"/>
          </w:rPr>
          <w:t>4.1 Enable our employees to achieve their full potential by improving development opportunities and support practices</w:t>
        </w:r>
        <w:r w:rsidR="00561567">
          <w:rPr>
            <w:webHidden/>
          </w:rPr>
          <w:tab/>
        </w:r>
        <w:r w:rsidR="00561567">
          <w:rPr>
            <w:webHidden/>
          </w:rPr>
          <w:fldChar w:fldCharType="begin"/>
        </w:r>
        <w:r w:rsidR="00561567">
          <w:rPr>
            <w:webHidden/>
          </w:rPr>
          <w:instrText xml:space="preserve"> PAGEREF _Toc110508765 \h </w:instrText>
        </w:r>
        <w:r w:rsidR="00561567">
          <w:rPr>
            <w:webHidden/>
          </w:rPr>
        </w:r>
        <w:r w:rsidR="00561567">
          <w:rPr>
            <w:webHidden/>
          </w:rPr>
          <w:fldChar w:fldCharType="separate"/>
        </w:r>
        <w:r w:rsidR="00561567">
          <w:rPr>
            <w:webHidden/>
          </w:rPr>
          <w:t>13</w:t>
        </w:r>
        <w:r w:rsidR="00561567">
          <w:rPr>
            <w:webHidden/>
          </w:rPr>
          <w:fldChar w:fldCharType="end"/>
        </w:r>
      </w:hyperlink>
    </w:p>
    <w:p w14:paraId="0AE180B6" w14:textId="63D44FE2" w:rsidR="00561567" w:rsidRDefault="00E80FBE">
      <w:pPr>
        <w:pStyle w:val="TOC2"/>
        <w:rPr>
          <w:rFonts w:eastAsiaTheme="minorEastAsia" w:cstheme="minorBidi"/>
          <w:color w:val="auto"/>
        </w:rPr>
      </w:pPr>
      <w:hyperlink w:anchor="_Toc110508766" w:history="1">
        <w:r w:rsidR="00561567" w:rsidRPr="00B00086">
          <w:rPr>
            <w:rStyle w:val="Hyperlink"/>
          </w:rPr>
          <w:t>4.2 Foster a culture that supports a harassment</w:t>
        </w:r>
        <w:r w:rsidR="00561567" w:rsidRPr="00B00086">
          <w:rPr>
            <w:rStyle w:val="Hyperlink"/>
            <w:rFonts w:ascii="Cambria Math" w:hAnsi="Cambria Math" w:cs="Cambria Math"/>
          </w:rPr>
          <w:t>‑</w:t>
        </w:r>
        <w:r w:rsidR="00561567" w:rsidRPr="00B00086">
          <w:rPr>
            <w:rStyle w:val="Hyperlink"/>
          </w:rPr>
          <w:t>free workplace by responding to and preventing sexual harassment and other inappropriate behaviours</w:t>
        </w:r>
        <w:r w:rsidR="00561567">
          <w:rPr>
            <w:webHidden/>
          </w:rPr>
          <w:tab/>
        </w:r>
        <w:r w:rsidR="00561567">
          <w:rPr>
            <w:webHidden/>
          </w:rPr>
          <w:fldChar w:fldCharType="begin"/>
        </w:r>
        <w:r w:rsidR="00561567">
          <w:rPr>
            <w:webHidden/>
          </w:rPr>
          <w:instrText xml:space="preserve"> PAGEREF _Toc110508766 \h </w:instrText>
        </w:r>
        <w:r w:rsidR="00561567">
          <w:rPr>
            <w:webHidden/>
          </w:rPr>
        </w:r>
        <w:r w:rsidR="00561567">
          <w:rPr>
            <w:webHidden/>
          </w:rPr>
          <w:fldChar w:fldCharType="separate"/>
        </w:r>
        <w:r w:rsidR="00561567">
          <w:rPr>
            <w:webHidden/>
          </w:rPr>
          <w:t>16</w:t>
        </w:r>
        <w:r w:rsidR="00561567">
          <w:rPr>
            <w:webHidden/>
          </w:rPr>
          <w:fldChar w:fldCharType="end"/>
        </w:r>
      </w:hyperlink>
    </w:p>
    <w:p w14:paraId="081378B3" w14:textId="7D103D6F" w:rsidR="00561567" w:rsidRDefault="00E80FBE">
      <w:pPr>
        <w:pStyle w:val="TOC2"/>
        <w:rPr>
          <w:rFonts w:eastAsiaTheme="minorEastAsia" w:cstheme="minorBidi"/>
          <w:color w:val="auto"/>
        </w:rPr>
      </w:pPr>
      <w:hyperlink w:anchor="_Toc110508767" w:history="1">
        <w:r w:rsidR="00561567" w:rsidRPr="00B00086">
          <w:rPr>
            <w:rStyle w:val="Hyperlink"/>
          </w:rPr>
          <w:t>4.3 Enhance objectivity and transparency in recruitment and promotion practices</w:t>
        </w:r>
        <w:r w:rsidR="00561567">
          <w:rPr>
            <w:webHidden/>
          </w:rPr>
          <w:tab/>
        </w:r>
        <w:r w:rsidR="00561567">
          <w:rPr>
            <w:webHidden/>
          </w:rPr>
          <w:fldChar w:fldCharType="begin"/>
        </w:r>
        <w:r w:rsidR="00561567">
          <w:rPr>
            <w:webHidden/>
          </w:rPr>
          <w:instrText xml:space="preserve"> PAGEREF _Toc110508767 \h </w:instrText>
        </w:r>
        <w:r w:rsidR="00561567">
          <w:rPr>
            <w:webHidden/>
          </w:rPr>
        </w:r>
        <w:r w:rsidR="00561567">
          <w:rPr>
            <w:webHidden/>
          </w:rPr>
          <w:fldChar w:fldCharType="separate"/>
        </w:r>
        <w:r w:rsidR="00561567">
          <w:rPr>
            <w:webHidden/>
          </w:rPr>
          <w:t>18</w:t>
        </w:r>
        <w:r w:rsidR="00561567">
          <w:rPr>
            <w:webHidden/>
          </w:rPr>
          <w:fldChar w:fldCharType="end"/>
        </w:r>
      </w:hyperlink>
    </w:p>
    <w:p w14:paraId="6E0A0F71" w14:textId="0A27897C" w:rsidR="00561567" w:rsidRDefault="00E80FBE">
      <w:pPr>
        <w:pStyle w:val="TOC2"/>
        <w:rPr>
          <w:rFonts w:eastAsiaTheme="minorEastAsia" w:cstheme="minorBidi"/>
          <w:color w:val="auto"/>
        </w:rPr>
      </w:pPr>
      <w:hyperlink w:anchor="_Toc110508768" w:history="1">
        <w:r w:rsidR="00561567" w:rsidRPr="00B00086">
          <w:rPr>
            <w:rStyle w:val="Hyperlink"/>
          </w:rPr>
          <w:t>4.4 Enable full participation of our employees by regularising flexible working arrangements for all</w:t>
        </w:r>
        <w:r w:rsidR="00561567">
          <w:rPr>
            <w:webHidden/>
          </w:rPr>
          <w:tab/>
        </w:r>
        <w:r w:rsidR="00561567">
          <w:rPr>
            <w:webHidden/>
          </w:rPr>
          <w:fldChar w:fldCharType="begin"/>
        </w:r>
        <w:r w:rsidR="00561567">
          <w:rPr>
            <w:webHidden/>
          </w:rPr>
          <w:instrText xml:space="preserve"> PAGEREF _Toc110508768 \h </w:instrText>
        </w:r>
        <w:r w:rsidR="00561567">
          <w:rPr>
            <w:webHidden/>
          </w:rPr>
        </w:r>
        <w:r w:rsidR="00561567">
          <w:rPr>
            <w:webHidden/>
          </w:rPr>
          <w:fldChar w:fldCharType="separate"/>
        </w:r>
        <w:r w:rsidR="00561567">
          <w:rPr>
            <w:webHidden/>
          </w:rPr>
          <w:t>22</w:t>
        </w:r>
        <w:r w:rsidR="00561567">
          <w:rPr>
            <w:webHidden/>
          </w:rPr>
          <w:fldChar w:fldCharType="end"/>
        </w:r>
      </w:hyperlink>
    </w:p>
    <w:p w14:paraId="12FF4688" w14:textId="7A18A274" w:rsidR="00561567" w:rsidRDefault="00E80FBE">
      <w:pPr>
        <w:pStyle w:val="TOC2"/>
        <w:rPr>
          <w:rFonts w:eastAsiaTheme="minorEastAsia" w:cstheme="minorBidi"/>
          <w:color w:val="auto"/>
        </w:rPr>
      </w:pPr>
      <w:hyperlink w:anchor="_Toc110508769" w:history="1">
        <w:r w:rsidR="00561567" w:rsidRPr="00B00086">
          <w:rPr>
            <w:rStyle w:val="Hyperlink"/>
          </w:rPr>
          <w:t>4.5 Achieve equal pay for equal work by understanding and addressing factors contributing to our gender pay gap</w:t>
        </w:r>
        <w:r w:rsidR="00561567">
          <w:rPr>
            <w:webHidden/>
          </w:rPr>
          <w:tab/>
        </w:r>
        <w:r w:rsidR="00561567">
          <w:rPr>
            <w:webHidden/>
          </w:rPr>
          <w:fldChar w:fldCharType="begin"/>
        </w:r>
        <w:r w:rsidR="00561567">
          <w:rPr>
            <w:webHidden/>
          </w:rPr>
          <w:instrText xml:space="preserve"> PAGEREF _Toc110508769 \h </w:instrText>
        </w:r>
        <w:r w:rsidR="00561567">
          <w:rPr>
            <w:webHidden/>
          </w:rPr>
        </w:r>
        <w:r w:rsidR="00561567">
          <w:rPr>
            <w:webHidden/>
          </w:rPr>
          <w:fldChar w:fldCharType="separate"/>
        </w:r>
        <w:r w:rsidR="00561567">
          <w:rPr>
            <w:webHidden/>
          </w:rPr>
          <w:t>23</w:t>
        </w:r>
        <w:r w:rsidR="00561567">
          <w:rPr>
            <w:webHidden/>
          </w:rPr>
          <w:fldChar w:fldCharType="end"/>
        </w:r>
      </w:hyperlink>
    </w:p>
    <w:p w14:paraId="66419935" w14:textId="6022AA6D" w:rsidR="00561567" w:rsidRDefault="00E80FBE">
      <w:pPr>
        <w:pStyle w:val="TOC2"/>
        <w:rPr>
          <w:rFonts w:eastAsiaTheme="minorEastAsia" w:cstheme="minorBidi"/>
          <w:color w:val="auto"/>
        </w:rPr>
      </w:pPr>
      <w:hyperlink w:anchor="_Toc110508770" w:history="1">
        <w:r w:rsidR="00561567" w:rsidRPr="00B00086">
          <w:rPr>
            <w:rStyle w:val="Hyperlink"/>
          </w:rPr>
          <w:t>4.6 Effectively measure and monitor gender equality outcomes through improved data and insights</w:t>
        </w:r>
        <w:r w:rsidR="00561567">
          <w:rPr>
            <w:webHidden/>
          </w:rPr>
          <w:tab/>
        </w:r>
        <w:r w:rsidR="00561567">
          <w:rPr>
            <w:webHidden/>
          </w:rPr>
          <w:fldChar w:fldCharType="begin"/>
        </w:r>
        <w:r w:rsidR="00561567">
          <w:rPr>
            <w:webHidden/>
          </w:rPr>
          <w:instrText xml:space="preserve"> PAGEREF _Toc110508770 \h </w:instrText>
        </w:r>
        <w:r w:rsidR="00561567">
          <w:rPr>
            <w:webHidden/>
          </w:rPr>
        </w:r>
        <w:r w:rsidR="00561567">
          <w:rPr>
            <w:webHidden/>
          </w:rPr>
          <w:fldChar w:fldCharType="separate"/>
        </w:r>
        <w:r w:rsidR="00561567">
          <w:rPr>
            <w:webHidden/>
          </w:rPr>
          <w:t>24</w:t>
        </w:r>
        <w:r w:rsidR="00561567">
          <w:rPr>
            <w:webHidden/>
          </w:rPr>
          <w:fldChar w:fldCharType="end"/>
        </w:r>
      </w:hyperlink>
    </w:p>
    <w:p w14:paraId="7D9F833B" w14:textId="32850632" w:rsidR="00561567" w:rsidRDefault="00E80FBE">
      <w:pPr>
        <w:pStyle w:val="TOC1"/>
        <w:rPr>
          <w:rFonts w:eastAsiaTheme="minorEastAsia" w:cstheme="minorBidi"/>
          <w:color w:val="auto"/>
        </w:rPr>
      </w:pPr>
      <w:hyperlink w:anchor="_Toc110508771" w:history="1">
        <w:r w:rsidR="00561567" w:rsidRPr="00B00086">
          <w:rPr>
            <w:rStyle w:val="Hyperlink"/>
          </w:rPr>
          <w:t>5.</w:t>
        </w:r>
        <w:r w:rsidR="00561567">
          <w:rPr>
            <w:rFonts w:eastAsiaTheme="minorEastAsia" w:cstheme="minorBidi"/>
            <w:color w:val="auto"/>
          </w:rPr>
          <w:tab/>
        </w:r>
        <w:r w:rsidR="00561567" w:rsidRPr="00B00086">
          <w:rPr>
            <w:rStyle w:val="Hyperlink"/>
          </w:rPr>
          <w:t>Resourcing our Gender Equality Action Plan</w:t>
        </w:r>
        <w:r w:rsidR="00561567">
          <w:rPr>
            <w:webHidden/>
          </w:rPr>
          <w:tab/>
        </w:r>
        <w:r w:rsidR="00561567">
          <w:rPr>
            <w:webHidden/>
          </w:rPr>
          <w:fldChar w:fldCharType="begin"/>
        </w:r>
        <w:r w:rsidR="00561567">
          <w:rPr>
            <w:webHidden/>
          </w:rPr>
          <w:instrText xml:space="preserve"> PAGEREF _Toc110508771 \h </w:instrText>
        </w:r>
        <w:r w:rsidR="00561567">
          <w:rPr>
            <w:webHidden/>
          </w:rPr>
        </w:r>
        <w:r w:rsidR="00561567">
          <w:rPr>
            <w:webHidden/>
          </w:rPr>
          <w:fldChar w:fldCharType="separate"/>
        </w:r>
        <w:r w:rsidR="00561567">
          <w:rPr>
            <w:webHidden/>
          </w:rPr>
          <w:t>27</w:t>
        </w:r>
        <w:r w:rsidR="00561567">
          <w:rPr>
            <w:webHidden/>
          </w:rPr>
          <w:fldChar w:fldCharType="end"/>
        </w:r>
      </w:hyperlink>
    </w:p>
    <w:p w14:paraId="6B7A6DBC" w14:textId="5080449D" w:rsidR="00561567" w:rsidRDefault="00E80FBE">
      <w:pPr>
        <w:pStyle w:val="TOC1"/>
        <w:rPr>
          <w:rFonts w:eastAsiaTheme="minorEastAsia" w:cstheme="minorBidi"/>
          <w:color w:val="auto"/>
        </w:rPr>
      </w:pPr>
      <w:hyperlink w:anchor="_Toc110508772" w:history="1">
        <w:r w:rsidR="00561567" w:rsidRPr="00B00086">
          <w:rPr>
            <w:rStyle w:val="Hyperlink"/>
          </w:rPr>
          <w:t>6.</w:t>
        </w:r>
        <w:r w:rsidR="00561567">
          <w:rPr>
            <w:rFonts w:eastAsiaTheme="minorEastAsia" w:cstheme="minorBidi"/>
            <w:color w:val="auto"/>
          </w:rPr>
          <w:tab/>
        </w:r>
        <w:r w:rsidR="00561567" w:rsidRPr="00B00086">
          <w:rPr>
            <w:rStyle w:val="Hyperlink"/>
          </w:rPr>
          <w:t>Governance and Monitoring Progress</w:t>
        </w:r>
        <w:r w:rsidR="00561567">
          <w:rPr>
            <w:webHidden/>
          </w:rPr>
          <w:tab/>
        </w:r>
        <w:r w:rsidR="00561567">
          <w:rPr>
            <w:webHidden/>
          </w:rPr>
          <w:fldChar w:fldCharType="begin"/>
        </w:r>
        <w:r w:rsidR="00561567">
          <w:rPr>
            <w:webHidden/>
          </w:rPr>
          <w:instrText xml:space="preserve"> PAGEREF _Toc110508772 \h </w:instrText>
        </w:r>
        <w:r w:rsidR="00561567">
          <w:rPr>
            <w:webHidden/>
          </w:rPr>
        </w:r>
        <w:r w:rsidR="00561567">
          <w:rPr>
            <w:webHidden/>
          </w:rPr>
          <w:fldChar w:fldCharType="separate"/>
        </w:r>
        <w:r w:rsidR="00561567">
          <w:rPr>
            <w:webHidden/>
          </w:rPr>
          <w:t>28</w:t>
        </w:r>
        <w:r w:rsidR="00561567">
          <w:rPr>
            <w:webHidden/>
          </w:rPr>
          <w:fldChar w:fldCharType="end"/>
        </w:r>
      </w:hyperlink>
    </w:p>
    <w:p w14:paraId="52D0B683" w14:textId="7F7213D9" w:rsidR="00561567" w:rsidRDefault="00E80FBE">
      <w:pPr>
        <w:pStyle w:val="TOC1"/>
        <w:rPr>
          <w:rFonts w:eastAsiaTheme="minorEastAsia" w:cstheme="minorBidi"/>
          <w:color w:val="auto"/>
        </w:rPr>
      </w:pPr>
      <w:hyperlink w:anchor="_Toc110508773" w:history="1">
        <w:r w:rsidR="00561567" w:rsidRPr="00B00086">
          <w:rPr>
            <w:rStyle w:val="Hyperlink"/>
          </w:rPr>
          <w:t>7.</w:t>
        </w:r>
        <w:r w:rsidR="00561567">
          <w:rPr>
            <w:rFonts w:eastAsiaTheme="minorEastAsia" w:cstheme="minorBidi"/>
            <w:color w:val="auto"/>
          </w:rPr>
          <w:tab/>
        </w:r>
        <w:r w:rsidR="00561567" w:rsidRPr="00B00086">
          <w:rPr>
            <w:rStyle w:val="Hyperlink"/>
          </w:rPr>
          <w:t>Glossary</w:t>
        </w:r>
        <w:r w:rsidR="00561567">
          <w:rPr>
            <w:webHidden/>
          </w:rPr>
          <w:tab/>
        </w:r>
        <w:r w:rsidR="00561567">
          <w:rPr>
            <w:webHidden/>
          </w:rPr>
          <w:fldChar w:fldCharType="begin"/>
        </w:r>
        <w:r w:rsidR="00561567">
          <w:rPr>
            <w:webHidden/>
          </w:rPr>
          <w:instrText xml:space="preserve"> PAGEREF _Toc110508773 \h </w:instrText>
        </w:r>
        <w:r w:rsidR="00561567">
          <w:rPr>
            <w:webHidden/>
          </w:rPr>
        </w:r>
        <w:r w:rsidR="00561567">
          <w:rPr>
            <w:webHidden/>
          </w:rPr>
          <w:fldChar w:fldCharType="separate"/>
        </w:r>
        <w:r w:rsidR="00561567">
          <w:rPr>
            <w:webHidden/>
          </w:rPr>
          <w:t>29</w:t>
        </w:r>
        <w:r w:rsidR="00561567">
          <w:rPr>
            <w:webHidden/>
          </w:rPr>
          <w:fldChar w:fldCharType="end"/>
        </w:r>
      </w:hyperlink>
    </w:p>
    <w:p w14:paraId="2BF6AB1D" w14:textId="2FC2A00D" w:rsidR="00561567" w:rsidRDefault="00E80FBE">
      <w:pPr>
        <w:pStyle w:val="TOC1"/>
        <w:rPr>
          <w:rFonts w:eastAsiaTheme="minorEastAsia" w:cstheme="minorBidi"/>
          <w:color w:val="auto"/>
        </w:rPr>
      </w:pPr>
      <w:hyperlink w:anchor="_Toc110508774" w:history="1">
        <w:r w:rsidR="00561567" w:rsidRPr="00B00086">
          <w:rPr>
            <w:rStyle w:val="Hyperlink"/>
          </w:rPr>
          <w:t>Appendix 1 - Court Services Victoria Workplace Gender Audit</w:t>
        </w:r>
        <w:r w:rsidR="00561567">
          <w:rPr>
            <w:webHidden/>
          </w:rPr>
          <w:tab/>
        </w:r>
        <w:r w:rsidR="00561567">
          <w:rPr>
            <w:webHidden/>
          </w:rPr>
          <w:fldChar w:fldCharType="begin"/>
        </w:r>
        <w:r w:rsidR="00561567">
          <w:rPr>
            <w:webHidden/>
          </w:rPr>
          <w:instrText xml:space="preserve"> PAGEREF _Toc110508774 \h </w:instrText>
        </w:r>
        <w:r w:rsidR="00561567">
          <w:rPr>
            <w:webHidden/>
          </w:rPr>
        </w:r>
        <w:r w:rsidR="00561567">
          <w:rPr>
            <w:webHidden/>
          </w:rPr>
          <w:fldChar w:fldCharType="separate"/>
        </w:r>
        <w:r w:rsidR="00561567">
          <w:rPr>
            <w:webHidden/>
          </w:rPr>
          <w:t>31</w:t>
        </w:r>
        <w:r w:rsidR="00561567">
          <w:rPr>
            <w:webHidden/>
          </w:rPr>
          <w:fldChar w:fldCharType="end"/>
        </w:r>
      </w:hyperlink>
    </w:p>
    <w:p w14:paraId="310F441D" w14:textId="3235BC6D" w:rsidR="00561567" w:rsidRDefault="00E80FBE">
      <w:pPr>
        <w:pStyle w:val="TOC2"/>
        <w:rPr>
          <w:rFonts w:eastAsiaTheme="minorEastAsia" w:cstheme="minorBidi"/>
          <w:color w:val="auto"/>
        </w:rPr>
      </w:pPr>
      <w:hyperlink w:anchor="_Toc110508775" w:history="1">
        <w:r w:rsidR="00561567" w:rsidRPr="00B00086">
          <w:rPr>
            <w:rStyle w:val="Hyperlink"/>
          </w:rPr>
          <w:t>Indicator 1 - Gender composition of the workforce</w:t>
        </w:r>
        <w:r w:rsidR="00561567">
          <w:rPr>
            <w:webHidden/>
          </w:rPr>
          <w:tab/>
        </w:r>
        <w:r w:rsidR="00561567">
          <w:rPr>
            <w:webHidden/>
          </w:rPr>
          <w:fldChar w:fldCharType="begin"/>
        </w:r>
        <w:r w:rsidR="00561567">
          <w:rPr>
            <w:webHidden/>
          </w:rPr>
          <w:instrText xml:space="preserve"> PAGEREF _Toc110508775 \h </w:instrText>
        </w:r>
        <w:r w:rsidR="00561567">
          <w:rPr>
            <w:webHidden/>
          </w:rPr>
        </w:r>
        <w:r w:rsidR="00561567">
          <w:rPr>
            <w:webHidden/>
          </w:rPr>
          <w:fldChar w:fldCharType="separate"/>
        </w:r>
        <w:r w:rsidR="00561567">
          <w:rPr>
            <w:webHidden/>
          </w:rPr>
          <w:t>31</w:t>
        </w:r>
        <w:r w:rsidR="00561567">
          <w:rPr>
            <w:webHidden/>
          </w:rPr>
          <w:fldChar w:fldCharType="end"/>
        </w:r>
      </w:hyperlink>
    </w:p>
    <w:p w14:paraId="31B4D870" w14:textId="220DD322" w:rsidR="00561567" w:rsidRDefault="00E80FBE">
      <w:pPr>
        <w:pStyle w:val="TOC2"/>
        <w:rPr>
          <w:rFonts w:eastAsiaTheme="minorEastAsia" w:cstheme="minorBidi"/>
          <w:color w:val="auto"/>
        </w:rPr>
      </w:pPr>
      <w:hyperlink w:anchor="_Toc110508776" w:history="1">
        <w:r w:rsidR="00561567" w:rsidRPr="00B00086">
          <w:rPr>
            <w:rStyle w:val="Hyperlink"/>
          </w:rPr>
          <w:t>Indicator 2 - Gender composition of governing body</w:t>
        </w:r>
        <w:r w:rsidR="00561567">
          <w:rPr>
            <w:webHidden/>
          </w:rPr>
          <w:tab/>
        </w:r>
        <w:r w:rsidR="00561567">
          <w:rPr>
            <w:webHidden/>
          </w:rPr>
          <w:fldChar w:fldCharType="begin"/>
        </w:r>
        <w:r w:rsidR="00561567">
          <w:rPr>
            <w:webHidden/>
          </w:rPr>
          <w:instrText xml:space="preserve"> PAGEREF _Toc110508776 \h </w:instrText>
        </w:r>
        <w:r w:rsidR="00561567">
          <w:rPr>
            <w:webHidden/>
          </w:rPr>
        </w:r>
        <w:r w:rsidR="00561567">
          <w:rPr>
            <w:webHidden/>
          </w:rPr>
          <w:fldChar w:fldCharType="separate"/>
        </w:r>
        <w:r w:rsidR="00561567">
          <w:rPr>
            <w:webHidden/>
          </w:rPr>
          <w:t>32</w:t>
        </w:r>
        <w:r w:rsidR="00561567">
          <w:rPr>
            <w:webHidden/>
          </w:rPr>
          <w:fldChar w:fldCharType="end"/>
        </w:r>
      </w:hyperlink>
    </w:p>
    <w:p w14:paraId="01E01A9B" w14:textId="7757F34B" w:rsidR="00561567" w:rsidRDefault="00E80FBE">
      <w:pPr>
        <w:pStyle w:val="TOC2"/>
        <w:rPr>
          <w:rFonts w:eastAsiaTheme="minorEastAsia" w:cstheme="minorBidi"/>
          <w:color w:val="auto"/>
        </w:rPr>
      </w:pPr>
      <w:hyperlink w:anchor="_Toc110508777" w:history="1">
        <w:r w:rsidR="00561567" w:rsidRPr="00B00086">
          <w:rPr>
            <w:rStyle w:val="Hyperlink"/>
          </w:rPr>
          <w:t>Indicator 3 - Equal remuneration for work of equal or comparable value</w:t>
        </w:r>
        <w:r w:rsidR="00561567">
          <w:rPr>
            <w:webHidden/>
          </w:rPr>
          <w:tab/>
        </w:r>
        <w:r w:rsidR="00561567">
          <w:rPr>
            <w:webHidden/>
          </w:rPr>
          <w:fldChar w:fldCharType="begin"/>
        </w:r>
        <w:r w:rsidR="00561567">
          <w:rPr>
            <w:webHidden/>
          </w:rPr>
          <w:instrText xml:space="preserve"> PAGEREF _Toc110508777 \h </w:instrText>
        </w:r>
        <w:r w:rsidR="00561567">
          <w:rPr>
            <w:webHidden/>
          </w:rPr>
        </w:r>
        <w:r w:rsidR="00561567">
          <w:rPr>
            <w:webHidden/>
          </w:rPr>
          <w:fldChar w:fldCharType="separate"/>
        </w:r>
        <w:r w:rsidR="00561567">
          <w:rPr>
            <w:webHidden/>
          </w:rPr>
          <w:t>33</w:t>
        </w:r>
        <w:r w:rsidR="00561567">
          <w:rPr>
            <w:webHidden/>
          </w:rPr>
          <w:fldChar w:fldCharType="end"/>
        </w:r>
      </w:hyperlink>
    </w:p>
    <w:p w14:paraId="0D695E97" w14:textId="775010E9" w:rsidR="00561567" w:rsidRDefault="00E80FBE">
      <w:pPr>
        <w:pStyle w:val="TOC2"/>
        <w:rPr>
          <w:rFonts w:eastAsiaTheme="minorEastAsia" w:cstheme="minorBidi"/>
          <w:color w:val="auto"/>
        </w:rPr>
      </w:pPr>
      <w:hyperlink w:anchor="_Toc110508778" w:history="1">
        <w:r w:rsidR="00561567" w:rsidRPr="00B00086">
          <w:rPr>
            <w:rStyle w:val="Hyperlink"/>
          </w:rPr>
          <w:t>Indicator 4 - Workplace sexual harassment</w:t>
        </w:r>
        <w:r w:rsidR="00561567">
          <w:rPr>
            <w:webHidden/>
          </w:rPr>
          <w:tab/>
        </w:r>
        <w:r w:rsidR="00561567">
          <w:rPr>
            <w:webHidden/>
          </w:rPr>
          <w:fldChar w:fldCharType="begin"/>
        </w:r>
        <w:r w:rsidR="00561567">
          <w:rPr>
            <w:webHidden/>
          </w:rPr>
          <w:instrText xml:space="preserve"> PAGEREF _Toc110508778 \h </w:instrText>
        </w:r>
        <w:r w:rsidR="00561567">
          <w:rPr>
            <w:webHidden/>
          </w:rPr>
        </w:r>
        <w:r w:rsidR="00561567">
          <w:rPr>
            <w:webHidden/>
          </w:rPr>
          <w:fldChar w:fldCharType="separate"/>
        </w:r>
        <w:r w:rsidR="00561567">
          <w:rPr>
            <w:webHidden/>
          </w:rPr>
          <w:t>33</w:t>
        </w:r>
        <w:r w:rsidR="00561567">
          <w:rPr>
            <w:webHidden/>
          </w:rPr>
          <w:fldChar w:fldCharType="end"/>
        </w:r>
      </w:hyperlink>
    </w:p>
    <w:p w14:paraId="1E5E75C4" w14:textId="4E9CAF95" w:rsidR="00561567" w:rsidRDefault="00E80FBE">
      <w:pPr>
        <w:pStyle w:val="TOC2"/>
        <w:rPr>
          <w:rFonts w:eastAsiaTheme="minorEastAsia" w:cstheme="minorBidi"/>
          <w:color w:val="auto"/>
        </w:rPr>
      </w:pPr>
      <w:hyperlink w:anchor="_Toc110508779" w:history="1">
        <w:r w:rsidR="00561567" w:rsidRPr="00B00086">
          <w:rPr>
            <w:rStyle w:val="Hyperlink"/>
          </w:rPr>
          <w:t>Indicator 5 - Recruitment and promotion practices</w:t>
        </w:r>
        <w:r w:rsidR="00561567">
          <w:rPr>
            <w:webHidden/>
          </w:rPr>
          <w:tab/>
        </w:r>
        <w:r w:rsidR="00561567">
          <w:rPr>
            <w:webHidden/>
          </w:rPr>
          <w:fldChar w:fldCharType="begin"/>
        </w:r>
        <w:r w:rsidR="00561567">
          <w:rPr>
            <w:webHidden/>
          </w:rPr>
          <w:instrText xml:space="preserve"> PAGEREF _Toc110508779 \h </w:instrText>
        </w:r>
        <w:r w:rsidR="00561567">
          <w:rPr>
            <w:webHidden/>
          </w:rPr>
        </w:r>
        <w:r w:rsidR="00561567">
          <w:rPr>
            <w:webHidden/>
          </w:rPr>
          <w:fldChar w:fldCharType="separate"/>
        </w:r>
        <w:r w:rsidR="00561567">
          <w:rPr>
            <w:webHidden/>
          </w:rPr>
          <w:t>34</w:t>
        </w:r>
        <w:r w:rsidR="00561567">
          <w:rPr>
            <w:webHidden/>
          </w:rPr>
          <w:fldChar w:fldCharType="end"/>
        </w:r>
      </w:hyperlink>
    </w:p>
    <w:p w14:paraId="28D89F72" w14:textId="2510F097" w:rsidR="00561567" w:rsidRDefault="00E80FBE">
      <w:pPr>
        <w:pStyle w:val="TOC2"/>
        <w:rPr>
          <w:rFonts w:eastAsiaTheme="minorEastAsia" w:cstheme="minorBidi"/>
          <w:color w:val="auto"/>
        </w:rPr>
      </w:pPr>
      <w:hyperlink w:anchor="_Toc110508780" w:history="1">
        <w:r w:rsidR="00561567" w:rsidRPr="00B00086">
          <w:rPr>
            <w:rStyle w:val="Hyperlink"/>
          </w:rPr>
          <w:t>Indicator 6 - Leave and flexible working arrangements</w:t>
        </w:r>
        <w:r w:rsidR="00561567">
          <w:rPr>
            <w:webHidden/>
          </w:rPr>
          <w:tab/>
        </w:r>
        <w:r w:rsidR="00561567">
          <w:rPr>
            <w:webHidden/>
          </w:rPr>
          <w:fldChar w:fldCharType="begin"/>
        </w:r>
        <w:r w:rsidR="00561567">
          <w:rPr>
            <w:webHidden/>
          </w:rPr>
          <w:instrText xml:space="preserve"> PAGEREF _Toc110508780 \h </w:instrText>
        </w:r>
        <w:r w:rsidR="00561567">
          <w:rPr>
            <w:webHidden/>
          </w:rPr>
        </w:r>
        <w:r w:rsidR="00561567">
          <w:rPr>
            <w:webHidden/>
          </w:rPr>
          <w:fldChar w:fldCharType="separate"/>
        </w:r>
        <w:r w:rsidR="00561567">
          <w:rPr>
            <w:webHidden/>
          </w:rPr>
          <w:t>35</w:t>
        </w:r>
        <w:r w:rsidR="00561567">
          <w:rPr>
            <w:webHidden/>
          </w:rPr>
          <w:fldChar w:fldCharType="end"/>
        </w:r>
      </w:hyperlink>
    </w:p>
    <w:p w14:paraId="19699795" w14:textId="62872FAB" w:rsidR="00561567" w:rsidRDefault="00E80FBE">
      <w:pPr>
        <w:pStyle w:val="TOC2"/>
        <w:rPr>
          <w:rFonts w:eastAsiaTheme="minorEastAsia" w:cstheme="minorBidi"/>
          <w:color w:val="auto"/>
        </w:rPr>
      </w:pPr>
      <w:hyperlink w:anchor="_Toc110508781" w:history="1">
        <w:r w:rsidR="00561567" w:rsidRPr="00B00086">
          <w:rPr>
            <w:rStyle w:val="Hyperlink"/>
          </w:rPr>
          <w:t>Indicator 7 - Gendered work segregation</w:t>
        </w:r>
        <w:r w:rsidR="00561567">
          <w:rPr>
            <w:webHidden/>
          </w:rPr>
          <w:tab/>
        </w:r>
        <w:r w:rsidR="00561567">
          <w:rPr>
            <w:webHidden/>
          </w:rPr>
          <w:fldChar w:fldCharType="begin"/>
        </w:r>
        <w:r w:rsidR="00561567">
          <w:rPr>
            <w:webHidden/>
          </w:rPr>
          <w:instrText xml:space="preserve"> PAGEREF _Toc110508781 \h </w:instrText>
        </w:r>
        <w:r w:rsidR="00561567">
          <w:rPr>
            <w:webHidden/>
          </w:rPr>
        </w:r>
        <w:r w:rsidR="00561567">
          <w:rPr>
            <w:webHidden/>
          </w:rPr>
          <w:fldChar w:fldCharType="separate"/>
        </w:r>
        <w:r w:rsidR="00561567">
          <w:rPr>
            <w:webHidden/>
          </w:rPr>
          <w:t>36</w:t>
        </w:r>
        <w:r w:rsidR="00561567">
          <w:rPr>
            <w:webHidden/>
          </w:rPr>
          <w:fldChar w:fldCharType="end"/>
        </w:r>
      </w:hyperlink>
    </w:p>
    <w:p w14:paraId="25DA58D5" w14:textId="02E8E754" w:rsidR="001A02D7" w:rsidRDefault="002E5B3F" w:rsidP="005B4B4D">
      <w:pPr>
        <w:pStyle w:val="NoSpacing"/>
        <w:spacing w:before="360"/>
        <w:rPr>
          <w:rFonts w:eastAsia="Arial" w:cs="Times New Roman"/>
          <w:b/>
          <w:noProof/>
        </w:rPr>
        <w:sectPr w:rsidR="001A02D7" w:rsidSect="0091654B">
          <w:pgSz w:w="11907" w:h="16839" w:code="9"/>
          <w:pgMar w:top="1134" w:right="1134" w:bottom="1134" w:left="1134" w:header="567" w:footer="567" w:gutter="0"/>
          <w:cols w:space="720"/>
          <w:docGrid w:linePitch="299"/>
        </w:sectPr>
      </w:pPr>
      <w:r>
        <w:rPr>
          <w:rFonts w:eastAsia="Arial" w:cs="Times New Roman"/>
          <w:noProof/>
          <w:sz w:val="20"/>
        </w:rPr>
        <w:fldChar w:fldCharType="end"/>
      </w:r>
    </w:p>
    <w:p w14:paraId="7715194E" w14:textId="77777777" w:rsidR="008905F0" w:rsidRPr="007B0087" w:rsidRDefault="008905F0" w:rsidP="007B0087">
      <w:pPr>
        <w:pStyle w:val="BodyText"/>
        <w:rPr>
          <w:rStyle w:val="Bold"/>
        </w:rPr>
      </w:pPr>
      <w:r w:rsidRPr="007B0087">
        <w:rPr>
          <w:rStyle w:val="Bold"/>
        </w:rPr>
        <w:lastRenderedPageBreak/>
        <w:t>Acknowledgement</w:t>
      </w:r>
    </w:p>
    <w:p w14:paraId="7F78B7E6" w14:textId="77777777" w:rsidR="008905F0" w:rsidRPr="00D835EA" w:rsidRDefault="008905F0" w:rsidP="008905F0">
      <w:pPr>
        <w:pStyle w:val="BodyText"/>
      </w:pPr>
      <w:r w:rsidRPr="00D835EA">
        <w:t>Court Services Victoria acknowledges Aboriginal and Torres Strait Islander peoples as the First Peoples and Traditional Owners and Custodians of the land and waterways upon which our lives depend. Court Services Victoria acknowledges and pays respects to ancestors of this country, Elders, knowledge holders and leaders – past and</w:t>
      </w:r>
    </w:p>
    <w:p w14:paraId="5533E86A" w14:textId="77777777" w:rsidR="008905F0" w:rsidRPr="00D835EA" w:rsidRDefault="008905F0" w:rsidP="008905F0">
      <w:pPr>
        <w:pStyle w:val="BodyText"/>
      </w:pPr>
      <w:r w:rsidRPr="00D835EA">
        <w:t>present. Court Services Victoria extends that respect to all Aboriginal and Torres Strait Islander peoples. Court Services Victoria acknowledges the ongoing leadership of Aboriginal communities across Victoria</w:t>
      </w:r>
    </w:p>
    <w:p w14:paraId="0CA32C28" w14:textId="1593FECF" w:rsidR="008905F0" w:rsidRDefault="008905F0" w:rsidP="008905F0">
      <w:pPr>
        <w:pStyle w:val="BodyText"/>
      </w:pPr>
      <w:r w:rsidRPr="00D835EA">
        <w:t>in striving to build on these strengths to address inequalities and improve Aboriginal justice outcomes.</w:t>
      </w:r>
    </w:p>
    <w:p w14:paraId="6AE1B74C" w14:textId="77777777" w:rsidR="008905F0" w:rsidRPr="00C45D79" w:rsidRDefault="008905F0" w:rsidP="00C45D79">
      <w:pPr>
        <w:pStyle w:val="Heading1"/>
      </w:pPr>
      <w:bookmarkStart w:id="0" w:name="_Toc110508760"/>
      <w:r w:rsidRPr="00C45D79">
        <w:lastRenderedPageBreak/>
        <w:t>Foreword</w:t>
      </w:r>
      <w:bookmarkEnd w:id="0"/>
    </w:p>
    <w:p w14:paraId="7041C45C" w14:textId="77777777" w:rsidR="008905F0" w:rsidRPr="00A2753D" w:rsidRDefault="008905F0" w:rsidP="00F50D09">
      <w:pPr>
        <w:pStyle w:val="BodyText"/>
      </w:pPr>
      <w:r w:rsidRPr="00A2753D">
        <w:t xml:space="preserve">Court Services Victoria’s Gender Equality Action Plan 2021-2025 demonstrates Courts Council’s and Court Services Victoria’s commitment to building an inclusive, </w:t>
      </w:r>
      <w:proofErr w:type="gramStart"/>
      <w:r w:rsidRPr="00A2753D">
        <w:t>responsive</w:t>
      </w:r>
      <w:proofErr w:type="gramEnd"/>
      <w:r w:rsidRPr="00A2753D">
        <w:t xml:space="preserve"> and accessible workplace.</w:t>
      </w:r>
    </w:p>
    <w:p w14:paraId="2616F10A" w14:textId="77777777" w:rsidR="008905F0" w:rsidRPr="00D835EA" w:rsidRDefault="008905F0" w:rsidP="008905F0">
      <w:pPr>
        <w:pStyle w:val="BodyText"/>
      </w:pPr>
      <w:r w:rsidRPr="00D835EA">
        <w:t>Court Services Victoria recognises that gender equality contributes to significant economic, social and health benefits for all Victorians and the Plan provides Court Services Victoria with a clear road map as to how to achieve this.</w:t>
      </w:r>
    </w:p>
    <w:p w14:paraId="5929CA99" w14:textId="77777777" w:rsidR="008905F0" w:rsidRPr="00D835EA" w:rsidRDefault="008905F0" w:rsidP="008905F0">
      <w:pPr>
        <w:pStyle w:val="BodyText"/>
      </w:pPr>
      <w:r w:rsidRPr="00D835EA">
        <w:t xml:space="preserve">The Plan was developed over many hours with a high level of consultation across the Victorian Courts, the Victorian Civil and Administrative Tribunal, the Judicial College of Victoria, the Judicial Commission of </w:t>
      </w:r>
      <w:proofErr w:type="gramStart"/>
      <w:r w:rsidRPr="00D835EA">
        <w:t>Victoria</w:t>
      </w:r>
      <w:proofErr w:type="gramEnd"/>
      <w:r w:rsidRPr="00D835EA">
        <w:t xml:space="preserve"> and Corporate Services. It builds on the key themes outlined by those who work at Court Services Victoria when asked what gender equality means to them:</w:t>
      </w:r>
    </w:p>
    <w:p w14:paraId="334E31BD" w14:textId="77777777" w:rsidR="008905F0" w:rsidRDefault="008905F0" w:rsidP="0031147C">
      <w:pPr>
        <w:pStyle w:val="ListBullet"/>
      </w:pPr>
      <w:r w:rsidRPr="00D835EA">
        <w:t>Equal opportunities for all, regardless of gender or gender identity</w:t>
      </w:r>
    </w:p>
    <w:p w14:paraId="59D6F78D" w14:textId="77777777" w:rsidR="008905F0" w:rsidRPr="00D835EA" w:rsidRDefault="008905F0" w:rsidP="0031147C">
      <w:pPr>
        <w:pStyle w:val="ListBullet"/>
      </w:pPr>
      <w:r w:rsidRPr="00D835EA">
        <w:t>Barriers to inclusion are addressed (equity) Respect</w:t>
      </w:r>
    </w:p>
    <w:p w14:paraId="26E3B889" w14:textId="77777777" w:rsidR="008905F0" w:rsidRDefault="008905F0" w:rsidP="0031147C">
      <w:pPr>
        <w:pStyle w:val="ListBullet"/>
      </w:pPr>
      <w:r w:rsidRPr="00D835EA">
        <w:t>Caring responsibilities do not impact opportunities</w:t>
      </w:r>
    </w:p>
    <w:p w14:paraId="092B3138" w14:textId="77777777" w:rsidR="008905F0" w:rsidRDefault="008905F0" w:rsidP="0031147C">
      <w:pPr>
        <w:pStyle w:val="ListBullet"/>
      </w:pPr>
      <w:r w:rsidRPr="00D835EA">
        <w:t>Safety</w:t>
      </w:r>
    </w:p>
    <w:p w14:paraId="590BF5D4" w14:textId="77777777" w:rsidR="008905F0" w:rsidRDefault="008905F0" w:rsidP="0031147C">
      <w:pPr>
        <w:pStyle w:val="ListBullet"/>
      </w:pPr>
      <w:r w:rsidRPr="00D835EA">
        <w:t>Identity does not impact opportunities.</w:t>
      </w:r>
    </w:p>
    <w:p w14:paraId="233824F0" w14:textId="0B8F725A" w:rsidR="008905F0" w:rsidRPr="00D835EA" w:rsidRDefault="008905F0" w:rsidP="008905F0">
      <w:pPr>
        <w:pStyle w:val="BodyText"/>
      </w:pPr>
      <w:r w:rsidRPr="00D835EA">
        <w:t>The Plan commits Court Services Victoria to continuing the critical program of work initiated through the Review of Sexual Harassment in Victorian Courts.</w:t>
      </w:r>
      <w:r w:rsidR="0019687D">
        <w:br/>
      </w:r>
      <w:r w:rsidRPr="00D835EA">
        <w:t xml:space="preserve">Key actions in the Plan will ensure Court Services Victoria continues to build cultures of respect, fairness, inclusion and belonging, with equal opportunity for </w:t>
      </w:r>
      <w:proofErr w:type="gramStart"/>
      <w:r w:rsidRPr="00D835EA">
        <w:t>all of</w:t>
      </w:r>
      <w:proofErr w:type="gramEnd"/>
      <w:r w:rsidRPr="00D835EA">
        <w:t xml:space="preserve"> our employees to thrive.</w:t>
      </w:r>
    </w:p>
    <w:p w14:paraId="3BEDE1BB" w14:textId="77777777" w:rsidR="008905F0" w:rsidRPr="00D835EA" w:rsidRDefault="008905F0" w:rsidP="008905F0">
      <w:pPr>
        <w:pStyle w:val="BodyText"/>
      </w:pPr>
      <w:r w:rsidRPr="00D835EA">
        <w:t xml:space="preserve">Importantly, the Plan recognises that there is more that Court Services Victoria can do to progress gender equality and intersectional inclusion. We want to be an employer of choice – a vibrant, </w:t>
      </w:r>
      <w:proofErr w:type="gramStart"/>
      <w:r w:rsidRPr="00D835EA">
        <w:t>modern</w:t>
      </w:r>
      <w:proofErr w:type="gramEnd"/>
      <w:r w:rsidRPr="00D835EA">
        <w:t xml:space="preserve"> and agile organisation where everyone can achieve their full potential and where diversity and differences are recognised and valued.</w:t>
      </w:r>
    </w:p>
    <w:p w14:paraId="2FF994E8" w14:textId="77777777" w:rsidR="008905F0" w:rsidRPr="00D835EA" w:rsidRDefault="008905F0" w:rsidP="008905F0">
      <w:pPr>
        <w:pStyle w:val="BodyText"/>
      </w:pPr>
      <w:r w:rsidRPr="00D835EA">
        <w:t>These include Court Services Victoria continuing to:</w:t>
      </w:r>
    </w:p>
    <w:p w14:paraId="646763D0" w14:textId="38D42F78" w:rsidR="008905F0" w:rsidRPr="0019687D" w:rsidRDefault="008905F0" w:rsidP="0019687D">
      <w:pPr>
        <w:pStyle w:val="ListBullet"/>
      </w:pPr>
      <w:r w:rsidRPr="0019687D">
        <w:t>Work collaboratively with Aboriginal and Torres Strait Islander staff to ensure gender</w:t>
      </w:r>
      <w:r w:rsidR="0019687D" w:rsidRPr="0019687D">
        <w:t xml:space="preserve"> </w:t>
      </w:r>
      <w:r w:rsidRPr="0019687D">
        <w:t>equality</w:t>
      </w:r>
      <w:r w:rsidRPr="0019687D">
        <w:rPr>
          <w:rFonts w:ascii="Cambria Math" w:hAnsi="Cambria Math" w:cs="Cambria Math"/>
        </w:rPr>
        <w:t>‑</w:t>
      </w:r>
      <w:r w:rsidRPr="0019687D">
        <w:t>related actions are inclusive and cognisant of self</w:t>
      </w:r>
      <w:r w:rsidRPr="0019687D">
        <w:rPr>
          <w:rFonts w:ascii="Cambria Math" w:hAnsi="Cambria Math" w:cs="Cambria Math"/>
        </w:rPr>
        <w:t>‑</w:t>
      </w:r>
      <w:r w:rsidRPr="0019687D">
        <w:t>determination, consistent with the Court Services Victoria Self</w:t>
      </w:r>
      <w:r w:rsidRPr="0019687D">
        <w:rPr>
          <w:rFonts w:ascii="Cambria Math" w:hAnsi="Cambria Math" w:cs="Cambria Math"/>
        </w:rPr>
        <w:t>‑</w:t>
      </w:r>
      <w:r w:rsidRPr="0019687D">
        <w:t>Determination Plan 2021</w:t>
      </w:r>
      <w:r w:rsidRPr="0019687D">
        <w:rPr>
          <w:rFonts w:ascii="Cambria Math" w:hAnsi="Cambria Math" w:cs="Cambria Math"/>
        </w:rPr>
        <w:t>‑</w:t>
      </w:r>
      <w:r w:rsidRPr="0019687D">
        <w:t>2025 (</w:t>
      </w:r>
      <w:proofErr w:type="spellStart"/>
      <w:r w:rsidRPr="0019687D">
        <w:t>Yaanadhan</w:t>
      </w:r>
      <w:proofErr w:type="spellEnd"/>
      <w:r w:rsidRPr="0019687D">
        <w:t xml:space="preserve"> </w:t>
      </w:r>
      <w:proofErr w:type="spellStart"/>
      <w:r w:rsidRPr="0019687D">
        <w:t>Manamith</w:t>
      </w:r>
      <w:proofErr w:type="spellEnd"/>
      <w:r w:rsidRPr="0019687D">
        <w:t xml:space="preserve"> </w:t>
      </w:r>
      <w:proofErr w:type="spellStart"/>
      <w:r w:rsidRPr="0019687D">
        <w:t>Yirramboi</w:t>
      </w:r>
      <w:proofErr w:type="spellEnd"/>
      <w:r w:rsidRPr="0019687D">
        <w:t>: Striving for a Better Tomorrow).</w:t>
      </w:r>
    </w:p>
    <w:p w14:paraId="6D6D162D" w14:textId="4FC74C0D" w:rsidR="008905F0" w:rsidRPr="0019687D" w:rsidRDefault="008905F0" w:rsidP="0019687D">
      <w:pPr>
        <w:pStyle w:val="ListBullet"/>
      </w:pPr>
      <w:r w:rsidRPr="0019687D">
        <w:t xml:space="preserve">Improve recruitment </w:t>
      </w:r>
      <w:proofErr w:type="gramStart"/>
      <w:r w:rsidRPr="0019687D">
        <w:t>practices, and</w:t>
      </w:r>
      <w:proofErr w:type="gramEnd"/>
      <w:r w:rsidRPr="0019687D">
        <w:t xml:space="preserve"> take what we learned from our collective response to operations throughout the coronavirus (COVID</w:t>
      </w:r>
      <w:r w:rsidR="00575F3B">
        <w:rPr>
          <w:rFonts w:ascii="Cambria Math" w:hAnsi="Cambria Math" w:cs="Cambria Math"/>
        </w:rPr>
        <w:noBreakHyphen/>
      </w:r>
      <w:r w:rsidRPr="0019687D">
        <w:t>19) pandemic to further enable flexible working arrangements.</w:t>
      </w:r>
    </w:p>
    <w:p w14:paraId="0CF8A09B" w14:textId="77777777" w:rsidR="008905F0" w:rsidRPr="00D835EA" w:rsidRDefault="008905F0" w:rsidP="0019687D">
      <w:pPr>
        <w:pStyle w:val="ListBullet"/>
      </w:pPr>
      <w:r w:rsidRPr="00D835EA">
        <w:t>Embed strong foundational systems and policies to achieve equal pay for equal work and effectively measure and monitor gender equality outcomes.</w:t>
      </w:r>
    </w:p>
    <w:p w14:paraId="7CEA0A80" w14:textId="469B2CE7" w:rsidR="008905F0" w:rsidRDefault="008905F0" w:rsidP="008905F0">
      <w:pPr>
        <w:pStyle w:val="BodyText"/>
      </w:pPr>
      <w:r w:rsidRPr="00D835EA">
        <w:t>Thank you to all who contributed to the development of the Plan, particularly the many staff who generously shared their personal and professional experiences.</w:t>
      </w:r>
      <w:r w:rsidR="0019687D">
        <w:br/>
      </w:r>
      <w:r w:rsidRPr="00D835EA">
        <w:t>Thank you also to those who shared their views through the People Matter Survey. Your voices have ensured that the Plan is based on the lived experiences of</w:t>
      </w:r>
      <w:r w:rsidR="0019687D">
        <w:t xml:space="preserve"> </w:t>
      </w:r>
      <w:r w:rsidRPr="00D835EA">
        <w:t>our employees.</w:t>
      </w:r>
    </w:p>
    <w:p w14:paraId="39A1CC95" w14:textId="77777777" w:rsidR="008905F0" w:rsidRPr="00D835EA" w:rsidRDefault="008905F0" w:rsidP="008905F0">
      <w:pPr>
        <w:pStyle w:val="BodyText"/>
      </w:pPr>
      <w:r w:rsidRPr="00D835EA">
        <w:t>We recognise the success of our Plan relies on strong leadership and governance. Court Services Victoria will be accountable for implementation of the actions outlined and progress will be monitored and reported on through the Health, Safety and Culture Committee and Courts Council.</w:t>
      </w:r>
    </w:p>
    <w:p w14:paraId="0F32422E" w14:textId="77777777" w:rsidR="008905F0" w:rsidRDefault="008905F0" w:rsidP="008905F0">
      <w:pPr>
        <w:pStyle w:val="BodyText"/>
      </w:pPr>
      <w:r w:rsidRPr="00D835EA">
        <w:lastRenderedPageBreak/>
        <w:t>We ask all staff to join in our commitment to implementing this Plan to ensure positive action towards achieving workplace gender equality now and into the future at Court Services Victoria.</w:t>
      </w:r>
    </w:p>
    <w:p w14:paraId="2059B3F7" w14:textId="15541067" w:rsidR="008905F0" w:rsidRDefault="008905F0" w:rsidP="008905F0">
      <w:pPr>
        <w:pStyle w:val="BodyText"/>
      </w:pPr>
      <w:r w:rsidRPr="0019687D">
        <w:rPr>
          <w:rStyle w:val="Bold"/>
        </w:rPr>
        <w:t>The Honourable Anne Ferguson</w:t>
      </w:r>
      <w:r w:rsidR="00F50D09">
        <w:rPr>
          <w:rStyle w:val="Bold"/>
        </w:rPr>
        <w:br/>
      </w:r>
      <w:r w:rsidRPr="00D835EA">
        <w:t>Chief Justice of the Supreme Court of Victoria Chair of the Courts Council</w:t>
      </w:r>
    </w:p>
    <w:p w14:paraId="0DCDFBCB" w14:textId="4F2A85B9" w:rsidR="008905F0" w:rsidRDefault="008905F0" w:rsidP="008905F0">
      <w:pPr>
        <w:pStyle w:val="BodyText"/>
      </w:pPr>
      <w:r w:rsidRPr="0019687D">
        <w:rPr>
          <w:rStyle w:val="Bold"/>
        </w:rPr>
        <w:t>Louise Anderson</w:t>
      </w:r>
      <w:r w:rsidR="00F50D09">
        <w:rPr>
          <w:rStyle w:val="Bold"/>
        </w:rPr>
        <w:br/>
      </w:r>
      <w:r w:rsidRPr="00D835EA">
        <w:t>Chief Executive Officer Court Services Victoria</w:t>
      </w:r>
    </w:p>
    <w:p w14:paraId="596C2B70" w14:textId="31F2A0C1" w:rsidR="00E329BB" w:rsidRPr="00D835EA" w:rsidRDefault="00E329BB" w:rsidP="00F50D09">
      <w:pPr>
        <w:pStyle w:val="BodyText"/>
        <w:spacing w:before="720"/>
      </w:pPr>
      <w:r w:rsidRPr="00D835EA">
        <w:t>Thank you to all who contributed to the development of the Plan, particularly the many staff who generously shared their personal and professional experiences.</w:t>
      </w:r>
    </w:p>
    <w:p w14:paraId="448F2E6B" w14:textId="77777777" w:rsidR="008905F0" w:rsidRPr="00D835EA" w:rsidRDefault="008905F0" w:rsidP="002F29A0">
      <w:pPr>
        <w:pStyle w:val="Heading1"/>
      </w:pPr>
      <w:bookmarkStart w:id="1" w:name="_Toc110508761"/>
      <w:r w:rsidRPr="00D835EA">
        <w:lastRenderedPageBreak/>
        <w:t>Introduction</w:t>
      </w:r>
      <w:bookmarkEnd w:id="1"/>
    </w:p>
    <w:p w14:paraId="1ADDE0EB" w14:textId="006FF3CE" w:rsidR="008905F0" w:rsidRPr="00A2753D" w:rsidRDefault="00E24D51" w:rsidP="00F50D09">
      <w:pPr>
        <w:pStyle w:val="BodyText"/>
      </w:pPr>
      <w:r>
        <w:t>Court Services Victoria</w:t>
      </w:r>
      <w:r w:rsidR="008905F0" w:rsidRPr="00A2753D">
        <w:t xml:space="preserve"> provides services and facilities to Victoria’s courts, the Victorian Civil and Administrative Tribunal (VCAT), the Judicial College of Victoria and the Judicial Commission of Victoria,</w:t>
      </w:r>
      <w:r w:rsidR="00CB4FA9" w:rsidRPr="00A2753D">
        <w:t xml:space="preserve"> </w:t>
      </w:r>
      <w:r w:rsidR="008905F0" w:rsidRPr="00A2753D">
        <w:t>recognising the independence of each as separate and distinct entities.</w:t>
      </w:r>
    </w:p>
    <w:p w14:paraId="228C6E7A" w14:textId="2AECBA0C" w:rsidR="008905F0" w:rsidRPr="00D835EA" w:rsidRDefault="008905F0" w:rsidP="008905F0">
      <w:pPr>
        <w:pStyle w:val="BodyText"/>
      </w:pPr>
      <w:r w:rsidRPr="00D835EA">
        <w:t xml:space="preserve">Whilst it is acknowledged that judicial officers and employees both contribute to </w:t>
      </w:r>
      <w:r w:rsidR="00E24D51">
        <w:t>Court Services Victoria</w:t>
      </w:r>
      <w:r w:rsidRPr="00D835EA">
        <w:t>’s workplace and culture, the nature of the legislation and</w:t>
      </w:r>
      <w:r w:rsidR="00CB4FA9">
        <w:t xml:space="preserve"> </w:t>
      </w:r>
      <w:r w:rsidRPr="00D835EA">
        <w:t xml:space="preserve">our unique organisational structure means that our </w:t>
      </w:r>
      <w:r w:rsidR="00C05C92">
        <w:t>Gender Equality Action Plan</w:t>
      </w:r>
      <w:r w:rsidRPr="00D835EA">
        <w:t xml:space="preserve"> is applicable to employees, but not to judicial officers and </w:t>
      </w:r>
      <w:r w:rsidR="00E24D51">
        <w:t>Victorian Civil and Administrative Tribunal</w:t>
      </w:r>
      <w:r w:rsidRPr="00D835EA">
        <w:t xml:space="preserve"> Members as statutory appointees. However, the head of each jurisdiction and Courts Council members were consulted during the development of the </w:t>
      </w:r>
      <w:r w:rsidR="00C05C92">
        <w:t>Gender Equality Action Plan</w:t>
      </w:r>
      <w:r w:rsidRPr="00D835EA">
        <w:t xml:space="preserve"> and are committed to achieving gender equality.</w:t>
      </w:r>
    </w:p>
    <w:p w14:paraId="6E970BBC" w14:textId="56C88169" w:rsidR="008905F0" w:rsidRPr="00D835EA" w:rsidRDefault="008905F0" w:rsidP="008905F0">
      <w:pPr>
        <w:pStyle w:val="BodyText"/>
      </w:pPr>
      <w:r w:rsidRPr="00D835EA">
        <w:t xml:space="preserve">Following the guidance provided by the Commission for Gender Equality in the Public Sector, </w:t>
      </w:r>
      <w:r w:rsidR="00E24D51">
        <w:t>Court Services Victoria</w:t>
      </w:r>
      <w:r w:rsidRPr="00D835EA">
        <w:t xml:space="preserve"> conducted its baseline Workplace Gender Audit in alignment with the seven</w:t>
      </w:r>
      <w:r w:rsidR="00CB4FA9">
        <w:t xml:space="preserve"> </w:t>
      </w:r>
      <w:r w:rsidRPr="00D835EA">
        <w:t>key gender equality indicators. Our Workplace Gender Audit</w:t>
      </w:r>
      <w:r w:rsidR="006476CA">
        <w:rPr>
          <w:rStyle w:val="FootnoteReference"/>
        </w:rPr>
        <w:footnoteReference w:id="2"/>
      </w:r>
      <w:r w:rsidRPr="00D835EA">
        <w:t xml:space="preserve"> revealed some positive results as well as areas for improvement which are discussed throughout the </w:t>
      </w:r>
      <w:r w:rsidR="00C05C92">
        <w:t>Gender Equality Action Plan</w:t>
      </w:r>
      <w:r w:rsidRPr="00D835EA">
        <w:t>.</w:t>
      </w:r>
    </w:p>
    <w:p w14:paraId="207445B9" w14:textId="41B1F145" w:rsidR="008905F0" w:rsidRPr="00D835EA" w:rsidRDefault="00E24D51" w:rsidP="008905F0">
      <w:pPr>
        <w:pStyle w:val="BodyText"/>
      </w:pPr>
      <w:r>
        <w:t>Court Services Victoria</w:t>
      </w:r>
      <w:r w:rsidR="008905F0" w:rsidRPr="00D835EA">
        <w:t xml:space="preserve"> was committed to developing a </w:t>
      </w:r>
      <w:r w:rsidR="00C05C92">
        <w:t>Gender Equality Action Plan</w:t>
      </w:r>
      <w:r w:rsidR="008905F0" w:rsidRPr="00D835EA">
        <w:t xml:space="preserve"> based on meaningful consultation and engagement.</w:t>
      </w:r>
      <w:r w:rsidR="00CB4FA9">
        <w:t xml:space="preserve"> </w:t>
      </w:r>
      <w:r w:rsidR="008905F0" w:rsidRPr="00D835EA">
        <w:t>Over 20 workshops were conducted with employees from across the Courts Group. A broad range of people shared their experiences and ideas in relation to gender equality challenges, opportunities, and programs of work to inform</w:t>
      </w:r>
      <w:r w:rsidR="00CB4FA9">
        <w:t xml:space="preserve"> </w:t>
      </w:r>
      <w:r w:rsidR="008905F0" w:rsidRPr="00D835EA">
        <w:t xml:space="preserve">the development of our first </w:t>
      </w:r>
      <w:r w:rsidR="00C05C92">
        <w:t>Gender Equality Action Plan</w:t>
      </w:r>
      <w:r w:rsidR="008905F0" w:rsidRPr="00D835EA">
        <w:t>.</w:t>
      </w:r>
    </w:p>
    <w:p w14:paraId="27A38361" w14:textId="257F090B" w:rsidR="008905F0" w:rsidRDefault="008905F0" w:rsidP="008905F0">
      <w:pPr>
        <w:pStyle w:val="BodyText"/>
      </w:pPr>
      <w:r w:rsidRPr="00D835EA">
        <w:t xml:space="preserve">In addition to the consultations on the </w:t>
      </w:r>
      <w:r w:rsidR="00C05C92">
        <w:t>Gender Equality Action Plan</w:t>
      </w:r>
      <w:r w:rsidRPr="00D835EA">
        <w:t xml:space="preserve">, a range of voices were heard through the People Matter Survey, in which 30.5% of </w:t>
      </w:r>
      <w:r w:rsidR="00E24D51">
        <w:t>Court Services Victoria</w:t>
      </w:r>
      <w:r w:rsidRPr="00D835EA">
        <w:t xml:space="preserve"> employees participated.</w:t>
      </w:r>
    </w:p>
    <w:p w14:paraId="46F3EA6B" w14:textId="39FE9899" w:rsidR="008905F0" w:rsidRPr="00D835EA" w:rsidRDefault="008905F0" w:rsidP="008905F0">
      <w:pPr>
        <w:pStyle w:val="BodyText"/>
      </w:pPr>
      <w:r w:rsidRPr="00D835EA">
        <w:t xml:space="preserve">Leadership consultations included meetings with Heads of Jurisdiction, the Independent Members of Courts Council, CEO of </w:t>
      </w:r>
      <w:r w:rsidR="00E24D51">
        <w:t>Court Services Victoria</w:t>
      </w:r>
      <w:r w:rsidRPr="00D835EA">
        <w:t>, jurisdictional CEOs, the CEO of the Judicial College, Director of the Judicial Commission, as well as executives and senior leaders across the Courts Group.</w:t>
      </w:r>
    </w:p>
    <w:p w14:paraId="7A51B0E7" w14:textId="2C3E0E49" w:rsidR="008905F0" w:rsidRPr="00D835EA" w:rsidRDefault="008905F0" w:rsidP="008905F0">
      <w:pPr>
        <w:pStyle w:val="BodyText"/>
      </w:pPr>
      <w:r w:rsidRPr="00D835EA">
        <w:t xml:space="preserve">As part of our Workplace Gender Audit, </w:t>
      </w:r>
      <w:r w:rsidR="00E24D51">
        <w:t>Court Services Victoria</w:t>
      </w:r>
      <w:r w:rsidRPr="00D835EA">
        <w:t xml:space="preserve"> conducted a sexual harassment risk assessment. Recommendation 3 of the Review of Sexual Harassment in Victorian Courts and </w:t>
      </w:r>
      <w:r w:rsidR="00E24D51">
        <w:t>Victorian Civil and Administrative Tribunal</w:t>
      </w:r>
      <w:r w:rsidR="006476CA">
        <w:rPr>
          <w:rStyle w:val="FootnoteReference"/>
        </w:rPr>
        <w:footnoteReference w:id="3"/>
      </w:r>
      <w:r w:rsidRPr="00D835EA">
        <w:t xml:space="preserve"> recommended </w:t>
      </w:r>
      <w:r w:rsidR="00E24D51">
        <w:t>Court Services Victoria</w:t>
      </w:r>
      <w:r w:rsidRPr="00D835EA">
        <w:t xml:space="preserve"> undertake a risk assessment to identify and assess all sexual harassment work hazards using a work health and safety risk framework. The risks identified and measures</w:t>
      </w:r>
      <w:r w:rsidR="00CB4FA9">
        <w:t xml:space="preserve"> </w:t>
      </w:r>
      <w:r w:rsidRPr="00D835EA">
        <w:t>to mitigate these risks were developed through an extensive staff consultation process,</w:t>
      </w:r>
      <w:r w:rsidR="00CB4FA9">
        <w:t xml:space="preserve"> </w:t>
      </w:r>
      <w:r w:rsidRPr="00D835EA">
        <w:t xml:space="preserve">to ensure a broad range of voices were heard. </w:t>
      </w:r>
      <w:r w:rsidR="00E24D51">
        <w:t>Court Services Victoria</w:t>
      </w:r>
      <w:r w:rsidRPr="00D835EA">
        <w:t xml:space="preserve"> is committed to implementation of the recommendations of the Review, including addressing the risks identified in the sexual harassment risk assessment and we have begun</w:t>
      </w:r>
      <w:r w:rsidR="00CB4FA9">
        <w:t xml:space="preserve"> </w:t>
      </w:r>
      <w:r w:rsidRPr="00D835EA">
        <w:t xml:space="preserve">this work. </w:t>
      </w:r>
      <w:r w:rsidR="00E24D51">
        <w:t>Court Services Victoria</w:t>
      </w:r>
      <w:r w:rsidRPr="00D835EA">
        <w:t xml:space="preserve"> will continue to work to build cultures of respect, fairness, and inclusion, with equal opportunity for </w:t>
      </w:r>
      <w:proofErr w:type="gramStart"/>
      <w:r w:rsidRPr="00D835EA">
        <w:t>all of</w:t>
      </w:r>
      <w:proofErr w:type="gramEnd"/>
      <w:r w:rsidRPr="00D835EA">
        <w:t xml:space="preserve"> our employees to thrive.</w:t>
      </w:r>
    </w:p>
    <w:p w14:paraId="3549D3FE" w14:textId="040AC152" w:rsidR="008905F0" w:rsidRPr="00D835EA" w:rsidRDefault="008905F0" w:rsidP="008905F0">
      <w:pPr>
        <w:pStyle w:val="BodyText"/>
      </w:pPr>
      <w:r w:rsidRPr="00D835EA">
        <w:t xml:space="preserve">Draft strategies and measures for our </w:t>
      </w:r>
      <w:r w:rsidR="00C05C92">
        <w:t>Gender Equality Action Plan</w:t>
      </w:r>
      <w:r w:rsidRPr="00D835EA">
        <w:t xml:space="preserve"> were developed using the information from the Workplace Gender Audit and insights gained throughout the consultations. These draft strategies and measures were shared with employees for review via online feedback</w:t>
      </w:r>
      <w:r w:rsidR="00CB4FA9">
        <w:t xml:space="preserve"> </w:t>
      </w:r>
      <w:r w:rsidRPr="00D835EA">
        <w:t>mechanisms and cross</w:t>
      </w:r>
      <w:r w:rsidRPr="00D835EA">
        <w:rPr>
          <w:rFonts w:ascii="Cambria Math" w:hAnsi="Cambria Math" w:cs="Cambria Math"/>
        </w:rPr>
        <w:t>‑</w:t>
      </w:r>
      <w:r w:rsidRPr="00D835EA">
        <w:t>jurisdictional workshops.</w:t>
      </w:r>
    </w:p>
    <w:p w14:paraId="4FDEB925" w14:textId="3568A970" w:rsidR="008905F0" w:rsidRDefault="00E24D51" w:rsidP="00F50D09">
      <w:pPr>
        <w:pStyle w:val="BodyText"/>
        <w:keepLines/>
      </w:pPr>
      <w:r>
        <w:lastRenderedPageBreak/>
        <w:t>Court Services Victoria</w:t>
      </w:r>
      <w:r w:rsidR="008905F0" w:rsidRPr="00D835EA">
        <w:t xml:space="preserve"> consulted with the Australian Network on Disability, Pride in Diversity and the Community and Public Sector Union and valued their engagement and thoughtful feedback which strengthened our </w:t>
      </w:r>
      <w:r w:rsidR="00C05C92">
        <w:t>Gender Equality Action Plan</w:t>
      </w:r>
      <w:r w:rsidR="008905F0" w:rsidRPr="00D835EA">
        <w:t>. Overall, more than</w:t>
      </w:r>
      <w:r w:rsidR="00CB4FA9">
        <w:t xml:space="preserve"> </w:t>
      </w:r>
      <w:r w:rsidR="008905F0" w:rsidRPr="00D835EA">
        <w:t xml:space="preserve">50 hours of consultation were conducted during the development of our </w:t>
      </w:r>
      <w:r w:rsidR="00C05C92">
        <w:t>Gender Equality Action Plan</w:t>
      </w:r>
      <w:r w:rsidR="008905F0" w:rsidRPr="00D835EA">
        <w:t>.</w:t>
      </w:r>
    </w:p>
    <w:p w14:paraId="77D27C52" w14:textId="223981E1" w:rsidR="003F1938" w:rsidRDefault="003F1938" w:rsidP="003F1938">
      <w:pPr>
        <w:pStyle w:val="BodyText"/>
      </w:pPr>
      <w:r w:rsidRPr="00D835EA">
        <w:t xml:space="preserve">Based on the results of our Workplace Gender Audit, extensive consultation and considered feedback, the six strategic themes of our </w:t>
      </w:r>
      <w:r w:rsidR="00C05C92">
        <w:t>Gender Equality Action Plan</w:t>
      </w:r>
      <w:r w:rsidRPr="00D835EA">
        <w:t xml:space="preserve"> are:</w:t>
      </w:r>
    </w:p>
    <w:p w14:paraId="65B7F47A" w14:textId="77777777" w:rsidR="00CB4FA9" w:rsidRPr="003F1938" w:rsidRDefault="00CB4FA9" w:rsidP="003F1938">
      <w:pPr>
        <w:pStyle w:val="PullOutBoxHeading"/>
      </w:pPr>
      <w:r w:rsidRPr="003F1938">
        <w:t>Psychologically Safe Culture</w:t>
      </w:r>
    </w:p>
    <w:p w14:paraId="66A95921" w14:textId="77777777" w:rsidR="008905F0" w:rsidRPr="00CB4FA9" w:rsidRDefault="008905F0" w:rsidP="003F1938">
      <w:pPr>
        <w:pStyle w:val="PullOutBoxBullet"/>
      </w:pPr>
      <w:r w:rsidRPr="00CB4FA9">
        <w:t xml:space="preserve">Enable our employees to achieve their </w:t>
      </w:r>
      <w:r w:rsidRPr="00CB4FA9">
        <w:rPr>
          <w:rStyle w:val="Bold"/>
        </w:rPr>
        <w:t>full potential</w:t>
      </w:r>
      <w:r w:rsidRPr="00CB4FA9">
        <w:t xml:space="preserve"> by improving development opportunities and support practices</w:t>
      </w:r>
    </w:p>
    <w:p w14:paraId="1EA4D67D" w14:textId="597CEC8D" w:rsidR="008905F0" w:rsidRPr="00CB4FA9" w:rsidRDefault="008905F0" w:rsidP="003F1938">
      <w:pPr>
        <w:pStyle w:val="PullOutBoxBullet"/>
      </w:pPr>
      <w:r w:rsidRPr="00CB4FA9">
        <w:t xml:space="preserve">Foster a culture that supports a </w:t>
      </w:r>
      <w:r w:rsidRPr="00CB4FA9">
        <w:rPr>
          <w:rStyle w:val="Bold"/>
        </w:rPr>
        <w:t>harassment</w:t>
      </w:r>
      <w:r w:rsidRPr="00CB4FA9">
        <w:rPr>
          <w:rStyle w:val="Bold"/>
          <w:rFonts w:ascii="Cambria Math" w:hAnsi="Cambria Math" w:cs="Cambria Math"/>
        </w:rPr>
        <w:t>‑</w:t>
      </w:r>
      <w:r w:rsidRPr="00CB4FA9">
        <w:rPr>
          <w:rStyle w:val="Bold"/>
        </w:rPr>
        <w:t>free</w:t>
      </w:r>
      <w:r w:rsidR="00CB4FA9" w:rsidRPr="00CB4FA9">
        <w:rPr>
          <w:rStyle w:val="Bold"/>
        </w:rPr>
        <w:t xml:space="preserve"> </w:t>
      </w:r>
      <w:r w:rsidRPr="00CB4FA9">
        <w:rPr>
          <w:rStyle w:val="Bold"/>
        </w:rPr>
        <w:t>workplace</w:t>
      </w:r>
      <w:r w:rsidRPr="00CB4FA9">
        <w:t xml:space="preserve"> by responding to and preventing sexual harassment and other inappropriate behaviours</w:t>
      </w:r>
    </w:p>
    <w:p w14:paraId="34C54217" w14:textId="4E4982E8" w:rsidR="008905F0" w:rsidRPr="00CB4FA9" w:rsidRDefault="008905F0" w:rsidP="003F1938">
      <w:pPr>
        <w:pStyle w:val="PullOutBoxBullet"/>
        <w:rPr>
          <w:rStyle w:val="Bold"/>
          <w:rFonts w:asciiTheme="minorHAnsi" w:hAnsiTheme="minorHAnsi"/>
        </w:rPr>
      </w:pPr>
      <w:r w:rsidRPr="00CB4FA9">
        <w:rPr>
          <w:rStyle w:val="Bold"/>
          <w:rFonts w:asciiTheme="minorHAnsi" w:hAnsiTheme="minorHAnsi"/>
        </w:rPr>
        <w:t xml:space="preserve">Enhance </w:t>
      </w:r>
      <w:r w:rsidRPr="00CB4FA9">
        <w:rPr>
          <w:rStyle w:val="Bold"/>
        </w:rPr>
        <w:t>objectivity and transparency</w:t>
      </w:r>
      <w:r w:rsidRPr="00CB4FA9">
        <w:rPr>
          <w:rStyle w:val="Bold"/>
          <w:rFonts w:asciiTheme="minorHAnsi" w:hAnsiTheme="minorHAnsi"/>
        </w:rPr>
        <w:t xml:space="preserve"> in recruitment and promotion practices</w:t>
      </w:r>
    </w:p>
    <w:p w14:paraId="2AFC712A" w14:textId="6617A7D7" w:rsidR="008905F0" w:rsidRPr="00CB4FA9" w:rsidRDefault="008905F0" w:rsidP="003F1938">
      <w:pPr>
        <w:pStyle w:val="PullOutBoxBullet"/>
        <w:rPr>
          <w:rStyle w:val="Bold"/>
          <w:rFonts w:asciiTheme="minorHAnsi" w:hAnsiTheme="minorHAnsi"/>
        </w:rPr>
      </w:pPr>
      <w:r w:rsidRPr="00CB4FA9">
        <w:rPr>
          <w:rStyle w:val="Bold"/>
          <w:rFonts w:asciiTheme="minorHAnsi" w:hAnsiTheme="minorHAnsi"/>
        </w:rPr>
        <w:t xml:space="preserve">Enable </w:t>
      </w:r>
      <w:r w:rsidRPr="00CB4FA9">
        <w:rPr>
          <w:rStyle w:val="Bold"/>
        </w:rPr>
        <w:t>full participation</w:t>
      </w:r>
      <w:r w:rsidRPr="00CB4FA9">
        <w:rPr>
          <w:rStyle w:val="Bold"/>
          <w:rFonts w:asciiTheme="minorHAnsi" w:hAnsiTheme="minorHAnsi"/>
        </w:rPr>
        <w:t xml:space="preserve"> of our employees by regularising flexible working arrangements for all</w:t>
      </w:r>
      <w:r w:rsidR="00CB4FA9">
        <w:rPr>
          <w:rStyle w:val="Bold"/>
          <w:rFonts w:asciiTheme="minorHAnsi" w:hAnsiTheme="minorHAnsi"/>
        </w:rPr>
        <w:t xml:space="preserve"> </w:t>
      </w:r>
      <w:r w:rsidRPr="00CB4FA9">
        <w:rPr>
          <w:rStyle w:val="Bold"/>
          <w:rFonts w:asciiTheme="minorHAnsi" w:hAnsiTheme="minorHAnsi"/>
        </w:rPr>
        <w:t>Achieve equal pay for equal work by understanding and addressing factors contributing to our gender pay gap</w:t>
      </w:r>
    </w:p>
    <w:p w14:paraId="48D01E37" w14:textId="77777777" w:rsidR="00E329BB" w:rsidRDefault="008905F0" w:rsidP="003F1938">
      <w:pPr>
        <w:pStyle w:val="PullOutBoxBullet"/>
      </w:pPr>
      <w:r w:rsidRPr="00CB4FA9">
        <w:rPr>
          <w:rStyle w:val="Bold"/>
          <w:rFonts w:asciiTheme="minorHAnsi" w:hAnsiTheme="minorHAnsi"/>
        </w:rPr>
        <w:t xml:space="preserve">Effectively </w:t>
      </w:r>
      <w:r w:rsidRPr="00CB4FA9">
        <w:rPr>
          <w:rStyle w:val="Bold"/>
        </w:rPr>
        <w:t>measure and monitor</w:t>
      </w:r>
      <w:r w:rsidRPr="00CB4FA9">
        <w:rPr>
          <w:rStyle w:val="Bold"/>
          <w:rFonts w:asciiTheme="minorHAnsi" w:hAnsiTheme="minorHAnsi"/>
        </w:rPr>
        <w:t xml:space="preserve"> gender</w:t>
      </w:r>
      <w:r w:rsidRPr="00D835EA">
        <w:t xml:space="preserve"> equality outcomes through improved data and insights</w:t>
      </w:r>
      <w:r w:rsidR="00CB4FA9">
        <w:t xml:space="preserve"> </w:t>
      </w:r>
    </w:p>
    <w:p w14:paraId="4D6C4620" w14:textId="2B6E7D78" w:rsidR="008905F0" w:rsidRPr="00D835EA" w:rsidRDefault="008905F0" w:rsidP="00E329BB">
      <w:pPr>
        <w:pStyle w:val="BodyText"/>
      </w:pPr>
      <w:r w:rsidRPr="00D835EA">
        <w:t>Discussion of our strategies is included in following sections and further details of key Workplace Gender Audit results are contained in Appendix 1.</w:t>
      </w:r>
    </w:p>
    <w:p w14:paraId="4DCB1244" w14:textId="77777777" w:rsidR="008905F0" w:rsidRPr="00D835EA" w:rsidRDefault="008905F0" w:rsidP="000A6840">
      <w:pPr>
        <w:pStyle w:val="Heading1"/>
      </w:pPr>
      <w:bookmarkStart w:id="2" w:name="_Toc110508762"/>
      <w:r w:rsidRPr="00D835EA">
        <w:lastRenderedPageBreak/>
        <w:t>Case for Change</w:t>
      </w:r>
      <w:bookmarkEnd w:id="2"/>
    </w:p>
    <w:p w14:paraId="02888FFA" w14:textId="7142B722" w:rsidR="008905F0" w:rsidRPr="00A2753D" w:rsidRDefault="00E24D51" w:rsidP="0031147C">
      <w:pPr>
        <w:pStyle w:val="BodyText"/>
      </w:pPr>
      <w:r>
        <w:t>Court Services Victoria</w:t>
      </w:r>
      <w:r w:rsidR="008905F0" w:rsidRPr="00A2753D">
        <w:t xml:space="preserve"> is committed to the gender equality principles outlined in the Gender Equality Act 2020 and ensured they were considered throughout the development of the </w:t>
      </w:r>
      <w:r w:rsidR="00C05C92">
        <w:t>Gender Equality Action Plan</w:t>
      </w:r>
      <w:r w:rsidR="008905F0" w:rsidRPr="00A2753D">
        <w:t xml:space="preserve"> and are reflected in our case for change.</w:t>
      </w:r>
    </w:p>
    <w:p w14:paraId="4C08120E" w14:textId="0B9D1735" w:rsidR="008905F0" w:rsidRPr="00D835EA" w:rsidRDefault="00E24D51" w:rsidP="008905F0">
      <w:pPr>
        <w:pStyle w:val="BodyText"/>
      </w:pPr>
      <w:r>
        <w:t>Court Services Victoria</w:t>
      </w:r>
      <w:r w:rsidR="008905F0" w:rsidRPr="00D835EA">
        <w:t xml:space="preserve"> recognises that gender equality is a basic human right that brings significant economic, social and health benefits for all Victorians. An organisation that values inclusion and psychological safety is critical for the advancement of gender equality and will enable the Courts Group to better support the Victorian community and enhance the delivery of justice.</w:t>
      </w:r>
    </w:p>
    <w:p w14:paraId="6CA991AE" w14:textId="77777777" w:rsidR="008905F0" w:rsidRPr="00D835EA" w:rsidRDefault="008905F0" w:rsidP="003F1938">
      <w:pPr>
        <w:pStyle w:val="BodyText"/>
      </w:pPr>
      <w:r w:rsidRPr="00D835EA">
        <w:t>Our case for change builds on the key themes outlined by employees when asked what gender equality means to them:</w:t>
      </w:r>
    </w:p>
    <w:p w14:paraId="4046B4F3" w14:textId="77777777" w:rsidR="008905F0" w:rsidRDefault="008905F0" w:rsidP="0031147C">
      <w:pPr>
        <w:pStyle w:val="ListBullet"/>
      </w:pPr>
      <w:r w:rsidRPr="00D835EA">
        <w:t>Equal opportunities for all, regardless of gender or gender identity</w:t>
      </w:r>
    </w:p>
    <w:p w14:paraId="7398A81D" w14:textId="77777777" w:rsidR="008905F0" w:rsidRPr="00D835EA" w:rsidRDefault="008905F0" w:rsidP="0031147C">
      <w:pPr>
        <w:pStyle w:val="ListBullet"/>
      </w:pPr>
      <w:r w:rsidRPr="00D835EA">
        <w:t>Barriers to inclusion are addressed (equity) Respect</w:t>
      </w:r>
    </w:p>
    <w:p w14:paraId="42765892" w14:textId="77777777" w:rsidR="008905F0" w:rsidRDefault="008905F0" w:rsidP="0031147C">
      <w:pPr>
        <w:pStyle w:val="ListBullet"/>
      </w:pPr>
      <w:r w:rsidRPr="00D835EA">
        <w:t>Caring responsibilities do not impact opportunities</w:t>
      </w:r>
    </w:p>
    <w:p w14:paraId="5130B294" w14:textId="77777777" w:rsidR="008905F0" w:rsidRDefault="008905F0" w:rsidP="0031147C">
      <w:pPr>
        <w:pStyle w:val="ListBullet"/>
      </w:pPr>
      <w:r w:rsidRPr="00D835EA">
        <w:t>Safety</w:t>
      </w:r>
    </w:p>
    <w:p w14:paraId="543FB3ED" w14:textId="77777777" w:rsidR="008905F0" w:rsidRDefault="008905F0" w:rsidP="0031147C">
      <w:pPr>
        <w:pStyle w:val="ListBullet"/>
      </w:pPr>
      <w:r w:rsidRPr="00D835EA">
        <w:t>Identity does not impact opportunities.</w:t>
      </w:r>
    </w:p>
    <w:p w14:paraId="2AE674F9" w14:textId="77777777" w:rsidR="008905F0" w:rsidRPr="00D835EA" w:rsidRDefault="008905F0" w:rsidP="008905F0">
      <w:pPr>
        <w:pStyle w:val="BodyText"/>
      </w:pPr>
      <w:r w:rsidRPr="00D835EA">
        <w:t>Combined with the results of our Workplace Gender Audit, these themes underpin our vision for workplace gender equality. Our vision addresses current equality challenges identified in consultation and the People Matter Survey. It also recognises the cultural and social factors that have gendered impacts on employees and their work circumstances, such as social norms that influence the division of caring responsibilities according to gender.</w:t>
      </w:r>
    </w:p>
    <w:p w14:paraId="6622412E" w14:textId="77777777" w:rsidR="008905F0" w:rsidRPr="00C45D79" w:rsidRDefault="008905F0" w:rsidP="002F29A0">
      <w:pPr>
        <w:pStyle w:val="Heading2"/>
        <w:numPr>
          <w:ilvl w:val="0"/>
          <w:numId w:val="0"/>
        </w:numPr>
        <w:spacing w:before="320"/>
      </w:pPr>
      <w:bookmarkStart w:id="3" w:name="_Toc110508763"/>
      <w:r w:rsidRPr="00C45D79">
        <w:t>Vision</w:t>
      </w:r>
      <w:bookmarkEnd w:id="3"/>
    </w:p>
    <w:p w14:paraId="797D4F99" w14:textId="145C1A62" w:rsidR="008905F0" w:rsidRPr="00D835EA" w:rsidRDefault="008905F0" w:rsidP="008905F0">
      <w:pPr>
        <w:pStyle w:val="BodyText"/>
      </w:pPr>
      <w:r w:rsidRPr="00D835EA">
        <w:t>Our vision is to build a more psychologically safe workplace culture that enhances inclusion and respect for everyone, regardless of gender and or intersectional characteristics. In a psychologically safe workplace, individuals feel safe to be themselves without fear</w:t>
      </w:r>
      <w:r w:rsidR="0031147C">
        <w:t xml:space="preserve"> </w:t>
      </w:r>
      <w:r w:rsidRPr="00D835EA">
        <w:t>of negative consequences for their self</w:t>
      </w:r>
      <w:r w:rsidRPr="00D835EA">
        <w:rPr>
          <w:rFonts w:ascii="Cambria Math" w:hAnsi="Cambria Math" w:cs="Cambria Math"/>
        </w:rPr>
        <w:t>‑</w:t>
      </w:r>
      <w:r w:rsidRPr="00D835EA">
        <w:t>identity or their career opportunities</w:t>
      </w:r>
      <w:r w:rsidR="006476CA">
        <w:rPr>
          <w:rStyle w:val="FootnoteReference"/>
        </w:rPr>
        <w:footnoteReference w:id="4"/>
      </w:r>
      <w:r w:rsidRPr="00D835EA">
        <w:t>. Everyone is valued</w:t>
      </w:r>
      <w:r w:rsidR="0031147C">
        <w:t xml:space="preserve"> </w:t>
      </w:r>
      <w:r w:rsidRPr="00D835EA">
        <w:t>and empowered to contribute to the organisation’s success, develop their personal abilities and pursue their career aspirations. Increased psychological safety fosters a culture that supports gender equality, where people are more likely to call out inappropriate workplace behaviours.</w:t>
      </w:r>
    </w:p>
    <w:p w14:paraId="225E84BD" w14:textId="5537DD8F" w:rsidR="008905F0" w:rsidRDefault="008905F0" w:rsidP="008905F0">
      <w:pPr>
        <w:pStyle w:val="BodyText"/>
      </w:pPr>
      <w:r w:rsidRPr="00D835EA">
        <w:t xml:space="preserve">Our </w:t>
      </w:r>
      <w:r w:rsidR="00C05C92">
        <w:t>Gender Equality Action Plan</w:t>
      </w:r>
      <w:r w:rsidRPr="00D835EA">
        <w:t xml:space="preserve"> outlines a program of measures for the next few years that focus on our six key strategies to build a psychologically safe workplace. Importantly, these strategies align closely with Priority 3 (Diverse, Collaborative, Ethical and Capable People) of the Court Services Victoria Strategic Plan 2020 – 2025 (Strategic Plan), which aims to strengthen workplace safety and wellbeing. They also align with the action areas and principles contained within the Court Services Victoria Self</w:t>
      </w:r>
      <w:r w:rsidRPr="00D835EA">
        <w:rPr>
          <w:rFonts w:ascii="Cambria Math" w:hAnsi="Cambria Math" w:cs="Cambria Math"/>
        </w:rPr>
        <w:t>‑</w:t>
      </w:r>
      <w:r w:rsidRPr="00D835EA">
        <w:t>Determination Plan 2021</w:t>
      </w:r>
      <w:r w:rsidRPr="00D835EA">
        <w:rPr>
          <w:rFonts w:ascii="Cambria Math" w:hAnsi="Cambria Math" w:cs="Cambria Math"/>
        </w:rPr>
        <w:t>‑</w:t>
      </w:r>
      <w:r w:rsidRPr="00D835EA">
        <w:t>2025 (</w:t>
      </w:r>
      <w:proofErr w:type="spellStart"/>
      <w:r w:rsidRPr="00D835EA">
        <w:t>Yaanadhan</w:t>
      </w:r>
      <w:proofErr w:type="spellEnd"/>
      <w:r w:rsidRPr="00D835EA">
        <w:t xml:space="preserve"> </w:t>
      </w:r>
      <w:proofErr w:type="spellStart"/>
      <w:r w:rsidRPr="00D835EA">
        <w:t>Manamith</w:t>
      </w:r>
      <w:proofErr w:type="spellEnd"/>
      <w:r w:rsidRPr="00D835EA">
        <w:t xml:space="preserve"> </w:t>
      </w:r>
      <w:proofErr w:type="spellStart"/>
      <w:r w:rsidRPr="00D835EA">
        <w:t>Yirramboi</w:t>
      </w:r>
      <w:proofErr w:type="spellEnd"/>
      <w:r w:rsidRPr="00D835EA">
        <w:t>: Striving for</w:t>
      </w:r>
      <w:r w:rsidR="0031147C">
        <w:t xml:space="preserve"> </w:t>
      </w:r>
      <w:r w:rsidRPr="00D835EA">
        <w:t>a Better Tomorrow).</w:t>
      </w:r>
    </w:p>
    <w:p w14:paraId="60990B99" w14:textId="19C0A971" w:rsidR="008905F0" w:rsidRDefault="008905F0" w:rsidP="003F1938">
      <w:pPr>
        <w:pStyle w:val="BodyText"/>
        <w:pageBreakBefore/>
      </w:pPr>
      <w:r w:rsidRPr="00D835EA">
        <w:lastRenderedPageBreak/>
        <w:t xml:space="preserve">Our </w:t>
      </w:r>
      <w:r w:rsidR="00C05C92">
        <w:t>Gender Equality Action Plan</w:t>
      </w:r>
      <w:r w:rsidRPr="00D835EA">
        <w:t xml:space="preserve"> strategies include:</w:t>
      </w:r>
    </w:p>
    <w:p w14:paraId="6A5EE896" w14:textId="32B6CEAF" w:rsidR="008905F0" w:rsidRPr="003F1938" w:rsidRDefault="008905F0" w:rsidP="003F1938">
      <w:pPr>
        <w:pStyle w:val="ListNumber"/>
      </w:pPr>
      <w:r w:rsidRPr="003F1938">
        <w:t>Enable our employees to achieve their full potential by improving development opportunities and support practices</w:t>
      </w:r>
    </w:p>
    <w:p w14:paraId="6FFE582B" w14:textId="556B55B5" w:rsidR="008905F0" w:rsidRPr="00D835EA" w:rsidRDefault="008905F0" w:rsidP="003F1938">
      <w:pPr>
        <w:pStyle w:val="ListContinue"/>
      </w:pPr>
      <w:r w:rsidRPr="00D835EA">
        <w:t>In alignment with the Strategic Plan action item regarding the provision and expansion of our support and wellbeing programs to strengthen health, safety and wellbeing, this strategy recognises the importance of</w:t>
      </w:r>
      <w:r w:rsidR="00C455A9">
        <w:t xml:space="preserve"> </w:t>
      </w:r>
      <w:r w:rsidRPr="00D835EA">
        <w:t>development opportunities and support practices in strengthening psychological safety, both</w:t>
      </w:r>
      <w:r w:rsidR="00C455A9">
        <w:t xml:space="preserve"> </w:t>
      </w:r>
      <w:r w:rsidRPr="00D835EA">
        <w:t>at a leadership and individual level.</w:t>
      </w:r>
    </w:p>
    <w:p w14:paraId="30602467" w14:textId="11AFE757" w:rsidR="008905F0" w:rsidRPr="00D835EA" w:rsidRDefault="008905F0" w:rsidP="003F1938">
      <w:pPr>
        <w:pStyle w:val="ListContinue"/>
      </w:pPr>
      <w:r w:rsidRPr="00D835EA">
        <w:t>Leaders play an important role in establishing and maintaining psychological safety in the workplace. Research indicates that inclusive leaders, who demonstrate openness and vulnerability by discussing their own challenges and emotions, help to strengthen interpersonal connections</w:t>
      </w:r>
      <w:r w:rsidR="0003150D">
        <w:rPr>
          <w:rStyle w:val="FootnoteReference"/>
        </w:rPr>
        <w:footnoteReference w:id="5"/>
      </w:r>
      <w:r w:rsidRPr="00D835EA">
        <w:t>.</w:t>
      </w:r>
      <w:r w:rsidR="00C455A9">
        <w:br/>
      </w:r>
      <w:r w:rsidRPr="00D835EA">
        <w:t>Strong interpersonal connections are critical for psychological safety in workplaces as they promote mutual trust and respect.</w:t>
      </w:r>
    </w:p>
    <w:p w14:paraId="4362526F" w14:textId="39A52EBE" w:rsidR="008905F0" w:rsidRDefault="008905F0" w:rsidP="003F1938">
      <w:pPr>
        <w:pStyle w:val="ListContinue"/>
      </w:pPr>
      <w:r w:rsidRPr="00D835EA">
        <w:t>Throughout consultation, employees who had observed some leaders demonstrating vulnerability by openly discussing their challenge to balance work and personal commitments, described how this positively impacted their wellbeing while working remotely during the pandemic</w:t>
      </w:r>
      <w:r w:rsidRPr="00D835EA">
        <w:rPr>
          <w:rFonts w:ascii="Cambria Math" w:hAnsi="Cambria Math" w:cs="Cambria Math"/>
        </w:rPr>
        <w:t>‑</w:t>
      </w:r>
      <w:r w:rsidRPr="00D835EA">
        <w:t>related lockdowns. Our strategy to support leaders with education on inclusive leadership aims to capitalise on this observation as evidence that individuals can significantly impact the psychological safety</w:t>
      </w:r>
      <w:r w:rsidR="00C455A9">
        <w:t xml:space="preserve"> </w:t>
      </w:r>
      <w:r w:rsidRPr="00D835EA">
        <w:t>of others through their own behaviour. It also aligns with the action in our Strategic Plan to “continue</w:t>
      </w:r>
      <w:r w:rsidR="00C455A9">
        <w:t xml:space="preserve"> </w:t>
      </w:r>
      <w:r w:rsidRPr="00D835EA">
        <w:t>to provide and expand our leadership, integrity and inclusiveness programs across both the administration and the judiciary”.</w:t>
      </w:r>
    </w:p>
    <w:p w14:paraId="2E014783" w14:textId="417DEFB0" w:rsidR="008905F0" w:rsidRPr="00D835EA" w:rsidRDefault="008905F0" w:rsidP="003F1938">
      <w:pPr>
        <w:pStyle w:val="ListContinue"/>
      </w:pPr>
      <w:r w:rsidRPr="00D835EA">
        <w:t xml:space="preserve">Consultation also revealed a desire for more to be done by </w:t>
      </w:r>
      <w:r w:rsidR="00E24D51">
        <w:t>Court Services Victoria</w:t>
      </w:r>
      <w:r w:rsidRPr="00D835EA">
        <w:t xml:space="preserve"> to support the education and development of individual employees regarding issues impacting gender equality. Therefore, this strategy also includes development opportunities and support programs directed at the individual employee level.</w:t>
      </w:r>
    </w:p>
    <w:p w14:paraId="51EB17E2" w14:textId="009D675E" w:rsidR="008905F0" w:rsidRDefault="008905F0" w:rsidP="003F1938">
      <w:pPr>
        <w:pStyle w:val="ListContinue"/>
      </w:pPr>
      <w:r w:rsidRPr="00D835EA">
        <w:t>The need for some targeted development opportunities was also identified. Whilst there was appreciation for the strong representation of</w:t>
      </w:r>
      <w:r w:rsidR="00C455A9">
        <w:t xml:space="preserve"> </w:t>
      </w:r>
      <w:r w:rsidRPr="00D835EA">
        <w:t>women across Courts Group during consultations, our Workplace Gender Audit reveals that women currently progress into leadership roles at a slightly slower rate than men. The measures outlined to deliver this strategy therefore involve some targeted programs for segments of the Courts Group workforce, as we recognise that special measures are sometimes necessary to achieve equality.</w:t>
      </w:r>
    </w:p>
    <w:p w14:paraId="04AD81A4" w14:textId="1FF32511" w:rsidR="008905F0" w:rsidRPr="003F1938" w:rsidRDefault="008905F0" w:rsidP="003F1938">
      <w:pPr>
        <w:pStyle w:val="ListNumber"/>
      </w:pPr>
      <w:r w:rsidRPr="003F1938">
        <w:t>Foster a culture that supports</w:t>
      </w:r>
      <w:r w:rsidR="00C455A9" w:rsidRPr="003F1938">
        <w:t xml:space="preserve"> </w:t>
      </w:r>
      <w:r w:rsidRPr="003F1938">
        <w:t>a harassment</w:t>
      </w:r>
      <w:r w:rsidRPr="003F1938">
        <w:rPr>
          <w:rFonts w:ascii="Cambria Math" w:hAnsi="Cambria Math" w:cs="Cambria Math"/>
        </w:rPr>
        <w:t>‑</w:t>
      </w:r>
      <w:r w:rsidRPr="003F1938">
        <w:t>free workplace by responding to and preventing sexual harassment and other inappropriate behaviours</w:t>
      </w:r>
    </w:p>
    <w:p w14:paraId="3F177439" w14:textId="008736C7" w:rsidR="008905F0" w:rsidRDefault="008905F0" w:rsidP="003F1938">
      <w:pPr>
        <w:pStyle w:val="ListContinue"/>
      </w:pPr>
      <w:r w:rsidRPr="00D835EA">
        <w:t xml:space="preserve">The Review of Sexual Harassment in Victorian Courts and </w:t>
      </w:r>
      <w:r w:rsidR="00E24D51">
        <w:t>Victorian Civil and Administrative Tribunal</w:t>
      </w:r>
      <w:r w:rsidRPr="00D835EA">
        <w:t xml:space="preserve"> Report made 20 recommendations to respond to and</w:t>
      </w:r>
      <w:r w:rsidR="00C455A9">
        <w:t xml:space="preserve"> </w:t>
      </w:r>
      <w:r w:rsidRPr="00D835EA">
        <w:t>prevent sexual harassment, 11</w:t>
      </w:r>
      <w:r w:rsidR="00C05C92">
        <w:t> </w:t>
      </w:r>
      <w:r w:rsidRPr="00D835EA">
        <w:t xml:space="preserve">of which were made to </w:t>
      </w:r>
      <w:r w:rsidR="00E24D51">
        <w:t>Court Services Victoria</w:t>
      </w:r>
      <w:r w:rsidRPr="00D835EA">
        <w:t xml:space="preserve">. Our </w:t>
      </w:r>
      <w:r w:rsidR="00C05C92">
        <w:t>Gender Equality Action Plan</w:t>
      </w:r>
      <w:r w:rsidRPr="00D835EA">
        <w:t xml:space="preserve"> incorporates these recommendations as measures to deliver against this strategy. Our focus on building more psychological safety in the workplace will further reinforce these actions. This is important because psychologically safe workplaces positively impact bullying and harassment</w:t>
      </w:r>
      <w:r w:rsidR="0003150D">
        <w:rPr>
          <w:rStyle w:val="FootnoteReference"/>
        </w:rPr>
        <w:footnoteReference w:id="6"/>
      </w:r>
      <w:r w:rsidRPr="00D835EA">
        <w:t xml:space="preserve"> and our People Matter Survey results suggest that although most survey respondents</w:t>
      </w:r>
      <w:r w:rsidR="00C455A9">
        <w:t xml:space="preserve"> </w:t>
      </w:r>
      <w:r w:rsidRPr="00D835EA">
        <w:t xml:space="preserve">agree that respectful workplace behaviours are encouraged at </w:t>
      </w:r>
      <w:r w:rsidR="00E24D51">
        <w:t>Court Services Victoria</w:t>
      </w:r>
      <w:r w:rsidRPr="00D835EA">
        <w:t>, some employees believe that more can be done to challenge inappropriate behaviour in the workplace.</w:t>
      </w:r>
    </w:p>
    <w:p w14:paraId="01D278F8" w14:textId="32D378B4" w:rsidR="008905F0" w:rsidRPr="003F1938" w:rsidRDefault="008905F0" w:rsidP="003F1938">
      <w:pPr>
        <w:pStyle w:val="ListNumber"/>
        <w:keepNext/>
      </w:pPr>
      <w:r w:rsidRPr="003F1938">
        <w:lastRenderedPageBreak/>
        <w:t>Enhance objectivity and transparency in recruitment and promotion practices</w:t>
      </w:r>
    </w:p>
    <w:p w14:paraId="39A18DD6" w14:textId="252E6A09" w:rsidR="008905F0" w:rsidRDefault="008905F0" w:rsidP="003F1938">
      <w:pPr>
        <w:pStyle w:val="ListContinue"/>
      </w:pPr>
      <w:r w:rsidRPr="00D835EA">
        <w:t>One of the clearest results from our People Matter Survey was the level of dissatisfaction with current recruitment and promotion decision</w:t>
      </w:r>
      <w:r w:rsidRPr="00D835EA">
        <w:rPr>
          <w:rFonts w:ascii="Cambria Math" w:hAnsi="Cambria Math" w:cs="Cambria Math"/>
        </w:rPr>
        <w:t>‑</w:t>
      </w:r>
      <w:r w:rsidRPr="00D835EA">
        <w:t xml:space="preserve">making processes. Combined with a strong desire that emerged from consultation for the Courts Group workforce to be more representative of the community it serves, these findings make it clear that our recruitment practices could be improved </w:t>
      </w:r>
      <w:proofErr w:type="gramStart"/>
      <w:r w:rsidRPr="00D835EA">
        <w:t>in order to</w:t>
      </w:r>
      <w:proofErr w:type="gramEnd"/>
      <w:r w:rsidRPr="00D835EA">
        <w:t xml:space="preserve"> demonstrate an explicit and objective focus on merit. Recruitment practices that are perceived to be subjective can have a damaging effect on workplace psychological safety. Therefore, this strategy focuses on measures that will improve overall recruitment processes to increase the diversity of candidate pools and shortlists,</w:t>
      </w:r>
      <w:r w:rsidR="00C455A9">
        <w:t xml:space="preserve"> </w:t>
      </w:r>
      <w:r w:rsidRPr="00D835EA">
        <w:t>whilst also supporting hiring managers to make more objective recruitment decisions. It is closely linked with our education and flexibility strategies and will also support and align with the implementation of the Court Services Victoria Koori Employment Plan 2021</w:t>
      </w:r>
      <w:r w:rsidRPr="00D835EA">
        <w:rPr>
          <w:rFonts w:ascii="Cambria Math" w:hAnsi="Cambria Math" w:cs="Cambria Math"/>
        </w:rPr>
        <w:t>‑</w:t>
      </w:r>
      <w:r w:rsidRPr="00D835EA">
        <w:t>2025.</w:t>
      </w:r>
    </w:p>
    <w:p w14:paraId="5EED98C8" w14:textId="0F2F50FE" w:rsidR="008905F0" w:rsidRPr="003F1938" w:rsidRDefault="008905F0" w:rsidP="003F1938">
      <w:pPr>
        <w:pStyle w:val="ListNumber"/>
      </w:pPr>
      <w:r w:rsidRPr="003F1938">
        <w:t>Enable full participation of our employees by regularising flexible working arrangements for all</w:t>
      </w:r>
    </w:p>
    <w:p w14:paraId="32786F73" w14:textId="4A192BBF" w:rsidR="008905F0" w:rsidRPr="00D835EA" w:rsidRDefault="008905F0" w:rsidP="003F1938">
      <w:pPr>
        <w:pStyle w:val="ListContinue"/>
      </w:pPr>
      <w:r w:rsidRPr="00D835EA">
        <w:t xml:space="preserve">Many employees who attended consultation workshops identified the significant challenge of balancing work and caring responsibilities. All employees acknowledged the importance of caring responsibilities, which mostly rest with women. They also acknowledged that true gender equality requires workplaces to value flexible work options </w:t>
      </w:r>
      <w:proofErr w:type="gramStart"/>
      <w:r w:rsidRPr="00D835EA">
        <w:t>as a means to</w:t>
      </w:r>
      <w:proofErr w:type="gramEnd"/>
      <w:r w:rsidRPr="00D835EA">
        <w:t xml:space="preserve"> assist an employee to balance work and family needs and to access equal participation in the workplace, evidenced through performance management, development opportunities and career progression. Employee consultation told us that the operational requirements</w:t>
      </w:r>
      <w:r w:rsidR="00C455A9">
        <w:t xml:space="preserve"> </w:t>
      </w:r>
      <w:r w:rsidRPr="00D835EA">
        <w:t>of the Courts present some challenges for an employee wanting to balance caring and work responsibilities and where accessed, may impact career opportunities.</w:t>
      </w:r>
    </w:p>
    <w:p w14:paraId="51586E16" w14:textId="1F9B097F" w:rsidR="008905F0" w:rsidRDefault="008905F0" w:rsidP="003F1938">
      <w:pPr>
        <w:pStyle w:val="ListContinue"/>
      </w:pPr>
      <w:r w:rsidRPr="00D835EA">
        <w:t xml:space="preserve">Our strategy to enable full participation by regularising flexible working arrangements for all requires </w:t>
      </w:r>
      <w:r w:rsidR="00E24D51">
        <w:t>Court Services Victoria</w:t>
      </w:r>
      <w:r w:rsidRPr="00D835EA">
        <w:t xml:space="preserve"> to put in place systems and training that addresses any real or concerned impact of offering and managing flexible work practices. This intention reflects an action item in our Strategic Plan, “to further enable and normalise remote and flexible work arrangements” based on lessons learned from our response to the coronavirus (COVID</w:t>
      </w:r>
      <w:r w:rsidRPr="00D835EA">
        <w:rPr>
          <w:rFonts w:ascii="Cambria Math" w:hAnsi="Cambria Math" w:cs="Cambria Math"/>
        </w:rPr>
        <w:t>‑</w:t>
      </w:r>
      <w:r w:rsidRPr="00D835EA">
        <w:t xml:space="preserve">19) pandemic. </w:t>
      </w:r>
      <w:r w:rsidR="00E24D51">
        <w:t>Court Services Victoria</w:t>
      </w:r>
      <w:r w:rsidRPr="00D835EA">
        <w:t xml:space="preserve"> will require clear policies which balance operational service delivery with individual needs. Support for managers to apply these policies appropriately and with confidence will also be required.</w:t>
      </w:r>
    </w:p>
    <w:p w14:paraId="48841DA1" w14:textId="436DC199" w:rsidR="008905F0" w:rsidRPr="003F1938" w:rsidRDefault="008905F0" w:rsidP="003F1938">
      <w:pPr>
        <w:pStyle w:val="ListNumber"/>
      </w:pPr>
      <w:r w:rsidRPr="003F1938">
        <w:t>Achieve equal pay for equal work by understanding and addressing factors contributing to our gender pay gap</w:t>
      </w:r>
    </w:p>
    <w:p w14:paraId="7795EB72" w14:textId="48E55D20" w:rsidR="008905F0" w:rsidRDefault="008905F0" w:rsidP="003F1938">
      <w:pPr>
        <w:pStyle w:val="ListContinue"/>
      </w:pPr>
      <w:r w:rsidRPr="00D835EA">
        <w:t xml:space="preserve">To achieve a sustainable reduction in our </w:t>
      </w:r>
      <w:proofErr w:type="gramStart"/>
      <w:r w:rsidRPr="00D835EA">
        <w:t>gender</w:t>
      </w:r>
      <w:proofErr w:type="gramEnd"/>
      <w:r w:rsidRPr="00D835EA">
        <w:t xml:space="preserve"> pay gap, we need to conduct a detailed examination into contributing factors. Our Workplace Gender Audit reveals a critical mass of women in roles classified as VPS Grades 2</w:t>
      </w:r>
      <w:r w:rsidR="00D56AAD">
        <w:t xml:space="preserve"> </w:t>
      </w:r>
      <w:r w:rsidRPr="00D835EA">
        <w:t>to 4 and Trainee Registrar to Registrar Grade 4 (56% of the overall workforce). Whilst we</w:t>
      </w:r>
      <w:r w:rsidR="00D56AAD">
        <w:t xml:space="preserve"> </w:t>
      </w:r>
      <w:r w:rsidRPr="00D835EA">
        <w:t xml:space="preserve">recognise that this is a significant contributing factor to our overall gender pay gap, we also value the role we </w:t>
      </w:r>
      <w:proofErr w:type="gramStart"/>
      <w:r w:rsidRPr="00D835EA">
        <w:t>are able to</w:t>
      </w:r>
      <w:proofErr w:type="gramEnd"/>
      <w:r w:rsidRPr="00D835EA">
        <w:t xml:space="preserve"> play in offering secure, flexible and interesting employment that aligns with the various life stages of many employees. Given that in</w:t>
      </w:r>
      <w:r w:rsidRPr="00D835EA">
        <w:rPr>
          <w:rFonts w:ascii="Cambria Math" w:hAnsi="Cambria Math" w:cs="Cambria Math"/>
        </w:rPr>
        <w:t>‑</w:t>
      </w:r>
      <w:r w:rsidRPr="00D835EA">
        <w:t>band pay gaps for these role classifications are low or negative,</w:t>
      </w:r>
      <w:r w:rsidR="00D56AAD">
        <w:t xml:space="preserve"> </w:t>
      </w:r>
      <w:r w:rsidRPr="00D835EA">
        <w:t xml:space="preserve">other contributing factors to our gender pay gap will continue to be explored </w:t>
      </w:r>
      <w:proofErr w:type="gramStart"/>
      <w:r w:rsidRPr="00D835EA">
        <w:t>in order to</w:t>
      </w:r>
      <w:proofErr w:type="gramEnd"/>
      <w:r w:rsidRPr="00D835EA">
        <w:t xml:space="preserve"> identify meaningful measures that can support the reduction of the overall gender pay gap.</w:t>
      </w:r>
    </w:p>
    <w:p w14:paraId="4D766AF3" w14:textId="472594D3" w:rsidR="008905F0" w:rsidRPr="003F1938" w:rsidRDefault="008905F0" w:rsidP="003F1938">
      <w:pPr>
        <w:pStyle w:val="ListNumber"/>
      </w:pPr>
      <w:r w:rsidRPr="003F1938">
        <w:t>Effectively measure and monitor gender equality outcomes through improved data and insights</w:t>
      </w:r>
    </w:p>
    <w:p w14:paraId="225B26C7" w14:textId="3589894A" w:rsidR="008905F0" w:rsidRPr="00D835EA" w:rsidRDefault="008905F0" w:rsidP="003F1938">
      <w:pPr>
        <w:pStyle w:val="ListContinue"/>
      </w:pPr>
      <w:r w:rsidRPr="00D835EA">
        <w:t>Our Workplace Gender Audit revealed some areas for improvement regarding the collection and reporting of intersectional data. Currently, our payroll system has limited capability to collect intersectional data beyond gender (man, women, self</w:t>
      </w:r>
      <w:r w:rsidRPr="00D835EA">
        <w:rPr>
          <w:rFonts w:ascii="Cambria Math" w:hAnsi="Cambria Math" w:cs="Cambria Math"/>
        </w:rPr>
        <w:t>‑</w:t>
      </w:r>
      <w:r w:rsidRPr="00D835EA">
        <w:t xml:space="preserve">described), age, Aboriginal or Torres Strait Islander heritage, and disability. Disparities between intersectional data, such as the number of employees with disability recorded in the payroll system and the same data </w:t>
      </w:r>
      <w:r w:rsidRPr="00D835EA">
        <w:lastRenderedPageBreak/>
        <w:t>collected anonymously in the People Matter Survey, suggest that measures to improve intersectional data capture and reporting must be coupled with measures to improve psychological safety.</w:t>
      </w:r>
      <w:r w:rsidR="003F1938">
        <w:t xml:space="preserve"> </w:t>
      </w:r>
      <w:r w:rsidRPr="00D835EA">
        <w:t>We recognise that individuals need to trust that their personal data will be treated with respect and utilised appropriately to advance workplace equality.</w:t>
      </w:r>
    </w:p>
    <w:p w14:paraId="04C7EB17" w14:textId="089B3197" w:rsidR="008905F0" w:rsidRPr="00D835EA" w:rsidRDefault="008905F0" w:rsidP="003F1938">
      <w:pPr>
        <w:pStyle w:val="ListContinue"/>
      </w:pPr>
      <w:r w:rsidRPr="00D835EA">
        <w:t>The need for improved collection and reporting of exit interview and learning and development data was also identified. All data collection</w:t>
      </w:r>
      <w:r w:rsidR="00D56AAD">
        <w:t xml:space="preserve"> </w:t>
      </w:r>
      <w:r w:rsidRPr="00D835EA">
        <w:t xml:space="preserve">and reporting improvements will contribute significantly to subsequent Workplace Gender Audits and will support the monitoring of progress against our </w:t>
      </w:r>
      <w:r w:rsidR="00C05C92">
        <w:t>Gender Equality Action Plan</w:t>
      </w:r>
      <w:r w:rsidRPr="00D835EA">
        <w:t xml:space="preserve"> milestones.</w:t>
      </w:r>
    </w:p>
    <w:p w14:paraId="02E7DD99" w14:textId="24C8BD7A" w:rsidR="008905F0" w:rsidRPr="00BA2C4A" w:rsidRDefault="008905F0" w:rsidP="00D56AAD">
      <w:pPr>
        <w:pStyle w:val="Heading1"/>
        <w:spacing w:line="276" w:lineRule="auto"/>
      </w:pPr>
      <w:bookmarkStart w:id="4" w:name="_Toc110508764"/>
      <w:r w:rsidRPr="00BA2C4A">
        <w:lastRenderedPageBreak/>
        <w:t>Strategies</w:t>
      </w:r>
      <w:r w:rsidR="00D56AAD" w:rsidRPr="00BA2C4A">
        <w:t xml:space="preserve"> </w:t>
      </w:r>
      <w:r w:rsidRPr="00BA2C4A">
        <w:t>and Measures</w:t>
      </w:r>
      <w:bookmarkEnd w:id="4"/>
    </w:p>
    <w:p w14:paraId="142CF9B9" w14:textId="3F64EF44" w:rsidR="008905F0" w:rsidRPr="00A2753D" w:rsidRDefault="008905F0" w:rsidP="00D56AAD">
      <w:pPr>
        <w:pStyle w:val="BodyText"/>
      </w:pPr>
      <w:r w:rsidRPr="00A2753D">
        <w:t xml:space="preserve">The primary focus of the strategies and measures in our </w:t>
      </w:r>
      <w:r w:rsidR="00C05C92">
        <w:t>Gender Equality Action Plan</w:t>
      </w:r>
      <w:r w:rsidRPr="00A2753D">
        <w:t xml:space="preserve"> is to enhance workplace psychological safety </w:t>
      </w:r>
      <w:proofErr w:type="gramStart"/>
      <w:r w:rsidRPr="00A2753D">
        <w:t>in order to</w:t>
      </w:r>
      <w:proofErr w:type="gramEnd"/>
      <w:r w:rsidRPr="00A2753D">
        <w:t xml:space="preserve"> promote gender equality. Our key strategies and how they relate to the workplace gender equality indicators are summarised in</w:t>
      </w:r>
      <w:r w:rsidR="00A2753D">
        <w:t xml:space="preserve"> </w:t>
      </w:r>
      <w:r w:rsidR="00ED2B6C">
        <w:fldChar w:fldCharType="begin"/>
      </w:r>
      <w:r w:rsidR="00ED2B6C">
        <w:instrText xml:space="preserve"> REF _Ref110505043 \h </w:instrText>
      </w:r>
      <w:r w:rsidR="00ED2B6C">
        <w:fldChar w:fldCharType="separate"/>
      </w:r>
      <w:r w:rsidR="00561567">
        <w:t xml:space="preserve">Table </w:t>
      </w:r>
      <w:r w:rsidR="00561567">
        <w:rPr>
          <w:noProof/>
        </w:rPr>
        <w:t>1</w:t>
      </w:r>
      <w:r w:rsidR="00ED2B6C">
        <w:fldChar w:fldCharType="end"/>
      </w:r>
      <w:r w:rsidRPr="00A2753D">
        <w:t>.</w:t>
      </w:r>
    </w:p>
    <w:p w14:paraId="1C74D819" w14:textId="5276EDC4" w:rsidR="008905F0" w:rsidRPr="00A2753D" w:rsidRDefault="00A2753D" w:rsidP="00B80252">
      <w:pPr>
        <w:pStyle w:val="Caption"/>
      </w:pPr>
      <w:bookmarkStart w:id="5" w:name="_Ref110505043"/>
      <w:r>
        <w:t xml:space="preserve">Table </w:t>
      </w:r>
      <w:fldSimple w:instr=" SEQ Table \* ARABIC ">
        <w:r w:rsidR="00561567">
          <w:rPr>
            <w:noProof/>
          </w:rPr>
          <w:t>1</w:t>
        </w:r>
      </w:fldSimple>
      <w:bookmarkEnd w:id="5"/>
      <w:r>
        <w:t xml:space="preserve">: </w:t>
      </w:r>
      <w:r w:rsidR="00E24D51">
        <w:t>Court Services Victoria</w:t>
      </w:r>
      <w:r w:rsidR="008905F0" w:rsidRPr="00A2753D">
        <w:t xml:space="preserve"> </w:t>
      </w:r>
      <w:r w:rsidR="00C05C92">
        <w:t>Gender Equality Action Plan</w:t>
      </w:r>
      <w:r w:rsidR="008905F0" w:rsidRPr="00A2753D">
        <w:t xml:space="preserve"> </w:t>
      </w:r>
      <w:proofErr w:type="gramStart"/>
      <w:r w:rsidR="008905F0" w:rsidRPr="00A2753D">
        <w:t>strategies</w:t>
      </w:r>
      <w:proofErr w:type="gramEnd"/>
      <w:r w:rsidR="008905F0" w:rsidRPr="00A2753D">
        <w:t xml:space="preserve"> themes and relevant workplace gender equality indicators</w:t>
      </w:r>
    </w:p>
    <w:tbl>
      <w:tblPr>
        <w:tblStyle w:val="TableGrid"/>
        <w:tblW w:w="5000" w:type="pct"/>
        <w:tblLook w:val="0620" w:firstRow="1" w:lastRow="0" w:firstColumn="0" w:lastColumn="0" w:noHBand="1" w:noVBand="1"/>
      </w:tblPr>
      <w:tblGrid>
        <w:gridCol w:w="4249"/>
        <w:gridCol w:w="5372"/>
      </w:tblGrid>
      <w:tr w:rsidR="008905F0" w:rsidRPr="00D835EA" w14:paraId="7C067695" w14:textId="77777777" w:rsidTr="00C05C92">
        <w:trPr>
          <w:cnfStyle w:val="100000000000" w:firstRow="1" w:lastRow="0" w:firstColumn="0" w:lastColumn="0" w:oddVBand="0" w:evenVBand="0" w:oddHBand="0" w:evenHBand="0" w:firstRowFirstColumn="0" w:firstRowLastColumn="0" w:lastRowFirstColumn="0" w:lastRowLastColumn="0"/>
        </w:trPr>
        <w:tc>
          <w:tcPr>
            <w:tcW w:w="2208" w:type="pct"/>
          </w:tcPr>
          <w:p w14:paraId="25067892" w14:textId="77777777" w:rsidR="008905F0" w:rsidRPr="00D835EA" w:rsidRDefault="008905F0" w:rsidP="00C45D79">
            <w:bookmarkStart w:id="6" w:name="ColumnTitle_1"/>
            <w:r w:rsidRPr="00D835EA">
              <w:t>Strategy</w:t>
            </w:r>
          </w:p>
        </w:tc>
        <w:tc>
          <w:tcPr>
            <w:tcW w:w="2792" w:type="pct"/>
          </w:tcPr>
          <w:p w14:paraId="044C3E80" w14:textId="77777777" w:rsidR="008905F0" w:rsidRPr="00D835EA" w:rsidRDefault="008905F0" w:rsidP="00C45D79">
            <w:r w:rsidRPr="00D835EA">
              <w:t>Relevant Workplace Gender Equality Indicator(s)</w:t>
            </w:r>
          </w:p>
        </w:tc>
      </w:tr>
      <w:bookmarkEnd w:id="6"/>
      <w:tr w:rsidR="008905F0" w:rsidRPr="00D835EA" w14:paraId="31BA8AE5" w14:textId="77777777" w:rsidTr="00C05C92">
        <w:tc>
          <w:tcPr>
            <w:tcW w:w="2208" w:type="pct"/>
          </w:tcPr>
          <w:p w14:paraId="1F003A47" w14:textId="12D55B3E" w:rsidR="008905F0" w:rsidRPr="00C45D79" w:rsidRDefault="008905F0" w:rsidP="003F1938">
            <w:pPr>
              <w:pStyle w:val="ListNumber"/>
              <w:numPr>
                <w:ilvl w:val="0"/>
                <w:numId w:val="19"/>
              </w:numPr>
              <w:spacing w:before="70"/>
            </w:pPr>
            <w:r w:rsidRPr="00C45D79">
              <w:t>Enable our employees to achieve their full potential by improving development opportunities and support practices</w:t>
            </w:r>
          </w:p>
        </w:tc>
        <w:tc>
          <w:tcPr>
            <w:tcW w:w="2792" w:type="pct"/>
          </w:tcPr>
          <w:p w14:paraId="66C86AEA" w14:textId="77777777" w:rsidR="008905F0" w:rsidRPr="00C45D79" w:rsidRDefault="008905F0" w:rsidP="00270695">
            <w:r w:rsidRPr="00C45D79">
              <w:t>Indicator 1 – Gender composition of the workforce Indicator 5 – Recruitment and promotion practices Indicator 7 – Gendered workplace segregation</w:t>
            </w:r>
          </w:p>
        </w:tc>
      </w:tr>
      <w:tr w:rsidR="008905F0" w:rsidRPr="00D835EA" w14:paraId="013F8527" w14:textId="77777777" w:rsidTr="00C05C92">
        <w:tc>
          <w:tcPr>
            <w:tcW w:w="2208" w:type="pct"/>
          </w:tcPr>
          <w:p w14:paraId="5C6F3EA5" w14:textId="6A331592" w:rsidR="008905F0" w:rsidRPr="00C45D79" w:rsidRDefault="008905F0" w:rsidP="003F1938">
            <w:pPr>
              <w:pStyle w:val="ListNumber"/>
            </w:pPr>
            <w:r w:rsidRPr="00C45D79">
              <w:t>Foster a culture that supports a harassment</w:t>
            </w:r>
            <w:r w:rsidRPr="00C45D79">
              <w:rPr>
                <w:rFonts w:ascii="Cambria Math" w:hAnsi="Cambria Math" w:cs="Cambria Math"/>
              </w:rPr>
              <w:t>‑</w:t>
            </w:r>
            <w:r w:rsidRPr="00C45D79">
              <w:t>free workplace by responding to and preventing sexual harassment and other inappropriate behaviours</w:t>
            </w:r>
          </w:p>
        </w:tc>
        <w:tc>
          <w:tcPr>
            <w:tcW w:w="2792" w:type="pct"/>
          </w:tcPr>
          <w:p w14:paraId="32C31669" w14:textId="77777777" w:rsidR="008905F0" w:rsidRPr="00C45D79" w:rsidRDefault="008905F0" w:rsidP="00270695">
            <w:r w:rsidRPr="00C45D79">
              <w:t>Indicator 4 – Workplace sexual harassment</w:t>
            </w:r>
          </w:p>
        </w:tc>
      </w:tr>
      <w:tr w:rsidR="008905F0" w:rsidRPr="00D835EA" w14:paraId="389D7C54" w14:textId="77777777" w:rsidTr="00C05C92">
        <w:tc>
          <w:tcPr>
            <w:tcW w:w="2208" w:type="pct"/>
          </w:tcPr>
          <w:p w14:paraId="4B8EE362" w14:textId="23B09BAB" w:rsidR="008905F0" w:rsidRPr="00C45D79" w:rsidRDefault="008905F0" w:rsidP="003F1938">
            <w:pPr>
              <w:pStyle w:val="ListNumber"/>
            </w:pPr>
            <w:r w:rsidRPr="00C45D79">
              <w:t>Enhance objectivity and transparency</w:t>
            </w:r>
            <w:r w:rsidR="003F1938" w:rsidRPr="00C45D79">
              <w:t xml:space="preserve"> </w:t>
            </w:r>
            <w:r w:rsidRPr="00C45D79">
              <w:t>in recruitment and promotion practices</w:t>
            </w:r>
          </w:p>
        </w:tc>
        <w:tc>
          <w:tcPr>
            <w:tcW w:w="2792" w:type="pct"/>
          </w:tcPr>
          <w:p w14:paraId="60917BFA" w14:textId="77777777" w:rsidR="00C45D79" w:rsidRPr="00C45D79" w:rsidRDefault="008905F0" w:rsidP="00270695">
            <w:r w:rsidRPr="00C45D79">
              <w:t xml:space="preserve">Indicator 1 – Gender composition of the workforce </w:t>
            </w:r>
          </w:p>
          <w:p w14:paraId="12E76969" w14:textId="77777777" w:rsidR="00C45D79" w:rsidRPr="00C45D79" w:rsidRDefault="008905F0" w:rsidP="00270695">
            <w:r w:rsidRPr="00C45D79">
              <w:t xml:space="preserve">Indicator 2 – Gender composition of governing body </w:t>
            </w:r>
          </w:p>
          <w:p w14:paraId="5325CA97" w14:textId="77777777" w:rsidR="00C45D79" w:rsidRPr="00C45D79" w:rsidRDefault="008905F0" w:rsidP="00270695">
            <w:r w:rsidRPr="00C45D79">
              <w:t xml:space="preserve">Indicator 5 – Recruitment and promotion practices </w:t>
            </w:r>
          </w:p>
          <w:p w14:paraId="43B602FD" w14:textId="6BD9E60F" w:rsidR="008905F0" w:rsidRPr="00C45D79" w:rsidRDefault="008905F0" w:rsidP="00270695">
            <w:r w:rsidRPr="00C45D79">
              <w:t>Indicator 7 – Gendered workplace segregation</w:t>
            </w:r>
          </w:p>
        </w:tc>
      </w:tr>
      <w:tr w:rsidR="008905F0" w:rsidRPr="00D835EA" w14:paraId="6214BC7F" w14:textId="77777777" w:rsidTr="00C05C92">
        <w:tc>
          <w:tcPr>
            <w:tcW w:w="2208" w:type="pct"/>
          </w:tcPr>
          <w:p w14:paraId="0CB762E2" w14:textId="5E2DC6AF" w:rsidR="008905F0" w:rsidRPr="00C45D79" w:rsidRDefault="008905F0" w:rsidP="003F1938">
            <w:pPr>
              <w:pStyle w:val="ListNumber"/>
            </w:pPr>
            <w:r w:rsidRPr="00C45D79">
              <w:t>Enable full participation of our employees by regularising flexible working arrangements for all</w:t>
            </w:r>
          </w:p>
        </w:tc>
        <w:tc>
          <w:tcPr>
            <w:tcW w:w="2792" w:type="pct"/>
          </w:tcPr>
          <w:p w14:paraId="72592CB3" w14:textId="77777777" w:rsidR="008905F0" w:rsidRPr="00C45D79" w:rsidRDefault="008905F0" w:rsidP="00270695">
            <w:r w:rsidRPr="00C45D79">
              <w:t>Indicator 6 – Leave and flexibility</w:t>
            </w:r>
          </w:p>
        </w:tc>
      </w:tr>
      <w:tr w:rsidR="008905F0" w:rsidRPr="00D835EA" w14:paraId="49DC76F4" w14:textId="77777777" w:rsidTr="00C05C92">
        <w:tc>
          <w:tcPr>
            <w:tcW w:w="2208" w:type="pct"/>
          </w:tcPr>
          <w:p w14:paraId="50903C83" w14:textId="2A6F436E" w:rsidR="008905F0" w:rsidRPr="00C45D79" w:rsidRDefault="008905F0" w:rsidP="003F1938">
            <w:pPr>
              <w:pStyle w:val="ListNumber"/>
            </w:pPr>
            <w:r w:rsidRPr="00C45D79">
              <w:t>Achieve equal pay for equal work by understanding and addressing factors contributing to our gender pay gap</w:t>
            </w:r>
          </w:p>
        </w:tc>
        <w:tc>
          <w:tcPr>
            <w:tcW w:w="2792" w:type="pct"/>
          </w:tcPr>
          <w:p w14:paraId="486E4867" w14:textId="77777777" w:rsidR="008905F0" w:rsidRPr="00C45D79" w:rsidRDefault="008905F0" w:rsidP="00270695">
            <w:r w:rsidRPr="00C45D79">
              <w:t xml:space="preserve">Indicator 3 – Gender </w:t>
            </w:r>
            <w:proofErr w:type="gramStart"/>
            <w:r w:rsidRPr="00C45D79">
              <w:t>pay</w:t>
            </w:r>
            <w:proofErr w:type="gramEnd"/>
            <w:r w:rsidRPr="00C45D79">
              <w:t xml:space="preserve"> equity</w:t>
            </w:r>
          </w:p>
        </w:tc>
      </w:tr>
      <w:tr w:rsidR="008905F0" w:rsidRPr="00D835EA" w14:paraId="6C04D14C" w14:textId="77777777" w:rsidTr="00C05C92">
        <w:tc>
          <w:tcPr>
            <w:tcW w:w="2208" w:type="pct"/>
          </w:tcPr>
          <w:p w14:paraId="29CC38D2" w14:textId="5E590F58" w:rsidR="008905F0" w:rsidRPr="00C45D79" w:rsidRDefault="008905F0" w:rsidP="003F1938">
            <w:pPr>
              <w:pStyle w:val="ListNumber"/>
            </w:pPr>
            <w:r w:rsidRPr="00C45D79">
              <w:t>Effectively measure and monitor gender equality outcomes through improved data and insights</w:t>
            </w:r>
          </w:p>
        </w:tc>
        <w:tc>
          <w:tcPr>
            <w:tcW w:w="2792" w:type="pct"/>
          </w:tcPr>
          <w:p w14:paraId="1AACA363" w14:textId="77777777" w:rsidR="008905F0" w:rsidRPr="00C45D79" w:rsidRDefault="008905F0" w:rsidP="00270695">
            <w:r w:rsidRPr="00C45D79">
              <w:t>Indicator 1 – Gender composition of the workforce Indicator 2 – Gender composition of governing body Indicator 5 – Recruitment and promotion practices</w:t>
            </w:r>
          </w:p>
        </w:tc>
      </w:tr>
    </w:tbl>
    <w:p w14:paraId="59E695DD" w14:textId="000D13EE" w:rsidR="008905F0" w:rsidRDefault="008905F0" w:rsidP="008905F0">
      <w:pPr>
        <w:pStyle w:val="BodyText"/>
      </w:pPr>
      <w:r w:rsidRPr="00D835EA">
        <w:t xml:space="preserve">We note our </w:t>
      </w:r>
      <w:r w:rsidR="00C05C92">
        <w:t>Gender Equality Action Plan</w:t>
      </w:r>
      <w:r w:rsidRPr="00D835EA">
        <w:t xml:space="preserve"> contains a significant number</w:t>
      </w:r>
      <w:r w:rsidR="00D56AAD">
        <w:t xml:space="preserve"> </w:t>
      </w:r>
      <w:r w:rsidRPr="00D835EA">
        <w:t xml:space="preserve">of measures over four years, and that requirements may change as other intersecting programs of work also aimed at increasing psychological safety are implemented. The strategies in our </w:t>
      </w:r>
      <w:r w:rsidR="00C05C92">
        <w:t>Gender Equality Action Plan</w:t>
      </w:r>
      <w:r w:rsidRPr="00D835EA">
        <w:t xml:space="preserve"> are inter</w:t>
      </w:r>
      <w:r w:rsidRPr="00D835EA">
        <w:rPr>
          <w:rFonts w:ascii="Cambria Math" w:hAnsi="Cambria Math" w:cs="Cambria Math"/>
        </w:rPr>
        <w:t>‑</w:t>
      </w:r>
      <w:r w:rsidRPr="00D835EA">
        <w:t xml:space="preserve"> related and dependent on each other. For example, </w:t>
      </w:r>
      <w:proofErr w:type="gramStart"/>
      <w:r w:rsidRPr="00D835EA">
        <w:t>in order to</w:t>
      </w:r>
      <w:proofErr w:type="gramEnd"/>
      <w:r w:rsidRPr="00D835EA">
        <w:t xml:space="preserve"> regularise flexible working arrangements and to capture improved intersectional data, leaders</w:t>
      </w:r>
      <w:r w:rsidR="00D56AAD">
        <w:t xml:space="preserve"> </w:t>
      </w:r>
      <w:r w:rsidRPr="00D835EA">
        <w:t xml:space="preserve">and individuals need to be supported with education and development opportunities that will enhance trust and psychological safety. Many of the measures will be implemented concurrently. The six strategies of our </w:t>
      </w:r>
      <w:r w:rsidR="00C05C92">
        <w:t>Gender Equality Action Plan</w:t>
      </w:r>
      <w:r w:rsidRPr="00D835EA">
        <w:t xml:space="preserve"> and their associated measures are presented below.</w:t>
      </w:r>
    </w:p>
    <w:p w14:paraId="7E1037D7" w14:textId="77777777" w:rsidR="008905F0" w:rsidRPr="00D56AAD" w:rsidRDefault="008905F0" w:rsidP="00D56AAD">
      <w:pPr>
        <w:pStyle w:val="Heading2"/>
      </w:pPr>
      <w:bookmarkStart w:id="7" w:name="_Toc110508765"/>
      <w:r w:rsidRPr="00D56AAD">
        <w:lastRenderedPageBreak/>
        <w:t>Enable our employees to achieve their full potential by improving development opportunities and support practices</w:t>
      </w:r>
      <w:bookmarkEnd w:id="7"/>
    </w:p>
    <w:p w14:paraId="5DB72C5C" w14:textId="48FB5A7A" w:rsidR="008905F0" w:rsidRPr="00D835EA" w:rsidRDefault="008905F0" w:rsidP="008905F0">
      <w:pPr>
        <w:pStyle w:val="BodyText"/>
      </w:pPr>
      <w:r w:rsidRPr="00D835EA">
        <w:t xml:space="preserve">When employees were asked about their ideas for addressing gender equality challenges, the most frequent suggestion was the provision of education and support for leaders. Discussion of this topic </w:t>
      </w:r>
      <w:r w:rsidRPr="008905F0">
        <w:t>centred</w:t>
      </w:r>
      <w:r w:rsidRPr="00D835EA">
        <w:t xml:space="preserve"> on the significant role that</w:t>
      </w:r>
      <w:r w:rsidR="00184762">
        <w:t xml:space="preserve"> </w:t>
      </w:r>
      <w:r w:rsidRPr="00D835EA">
        <w:t>leaders play in influencing workplace culture and psychological safety. The role that the organisation can play in supporting leaders to carry out these roles confidently and capably, particularly in the context</w:t>
      </w:r>
      <w:r w:rsidR="00184762">
        <w:t xml:space="preserve"> </w:t>
      </w:r>
      <w:r w:rsidRPr="00D835EA">
        <w:t>of an increased expectation of inclusive leadership behaviours, was also discussed.</w:t>
      </w:r>
    </w:p>
    <w:p w14:paraId="3CAB3BB3" w14:textId="05B061EC" w:rsidR="008905F0" w:rsidRPr="00D835EA" w:rsidRDefault="008905F0" w:rsidP="008905F0">
      <w:pPr>
        <w:pStyle w:val="BodyText"/>
      </w:pPr>
      <w:r w:rsidRPr="00D835EA">
        <w:t>Several employees described an increased willingness of leaders to demonstrate some vulnerability during the period of pandemic</w:t>
      </w:r>
      <w:r w:rsidRPr="00D835EA">
        <w:rPr>
          <w:rFonts w:ascii="Cambria Math" w:hAnsi="Cambria Math" w:cs="Cambria Math"/>
        </w:rPr>
        <w:t>‑</w:t>
      </w:r>
      <w:r w:rsidRPr="00D835EA">
        <w:t>related lockdowns by openly discussing their personal challenge to balance</w:t>
      </w:r>
      <w:r w:rsidR="00184762">
        <w:t xml:space="preserve"> </w:t>
      </w:r>
      <w:r w:rsidRPr="00D835EA">
        <w:t>work and personal commitments. Employees who had observed this type of leadership vulnerability described how this provided a feeling of safety that allowed them to disclose their own challenges and to seek the support they required to be successful. This suggests that when the need for psychological safety was heightened, some leaders recognised the</w:t>
      </w:r>
      <w:r w:rsidR="00184762">
        <w:t xml:space="preserve"> </w:t>
      </w:r>
      <w:r w:rsidRPr="00D835EA">
        <w:t>role they could play to make others feel safe and were successfully able to do so. This gives us confidence that our education strategy will provide opportunities for leaders to learn from each other and set new expectations that will promote a shift towards a more psychologically safe workplace.</w:t>
      </w:r>
    </w:p>
    <w:p w14:paraId="6C459AA8" w14:textId="410E8BE7" w:rsidR="008905F0" w:rsidRDefault="008905F0" w:rsidP="008905F0">
      <w:pPr>
        <w:pStyle w:val="BodyText"/>
      </w:pPr>
      <w:r w:rsidRPr="00D835EA">
        <w:t>The importance of providing education for all employees and supporting them in the cultural shift toward increased psychological safety was also discussed. Recognising the impact that every</w:t>
      </w:r>
      <w:r w:rsidR="00184762">
        <w:t xml:space="preserve"> </w:t>
      </w:r>
      <w:r w:rsidRPr="00D835EA">
        <w:t xml:space="preserve">individual’s words and actions can have on others is a necessary condition for workplace respect and safety. Therefore, the measures outlined in </w:t>
      </w:r>
      <w:r w:rsidR="000C44FF">
        <w:fldChar w:fldCharType="begin"/>
      </w:r>
      <w:r w:rsidR="000C44FF">
        <w:instrText xml:space="preserve"> REF _Ref110504976 \h </w:instrText>
      </w:r>
      <w:r w:rsidR="000C44FF">
        <w:fldChar w:fldCharType="separate"/>
      </w:r>
      <w:r w:rsidR="00561567">
        <w:t xml:space="preserve">Table </w:t>
      </w:r>
      <w:r w:rsidR="00561567">
        <w:rPr>
          <w:noProof/>
        </w:rPr>
        <w:t>2</w:t>
      </w:r>
      <w:r w:rsidR="000C44FF">
        <w:fldChar w:fldCharType="end"/>
      </w:r>
      <w:r w:rsidR="000C44FF">
        <w:t xml:space="preserve"> </w:t>
      </w:r>
      <w:r w:rsidRPr="00D835EA">
        <w:t>focus on providing relevant knowledge, strengthening individual capability, and providing support for employees.</w:t>
      </w:r>
    </w:p>
    <w:p w14:paraId="454B1438" w14:textId="04C24645" w:rsidR="008905F0" w:rsidRDefault="008905F0" w:rsidP="008905F0">
      <w:pPr>
        <w:pStyle w:val="BodyText"/>
      </w:pPr>
      <w:r w:rsidRPr="00D835EA">
        <w:t>People Matter Survey</w:t>
      </w:r>
      <w:r w:rsidR="0003150D">
        <w:rPr>
          <w:rStyle w:val="FootnoteReference"/>
        </w:rPr>
        <w:footnoteReference w:id="7"/>
      </w:r>
      <w:r w:rsidRPr="00D835EA">
        <w:t xml:space="preserve"> data suggested a level of employee dissatisfaction with development opportunities. Of the survey items relating to this strategy, the following were ranked lowest overall:</w:t>
      </w:r>
    </w:p>
    <w:p w14:paraId="7F67A8BE" w14:textId="403C31F3" w:rsidR="00A2753D" w:rsidRPr="00A2753D" w:rsidRDefault="00A2753D" w:rsidP="00A2753D">
      <w:pPr>
        <w:pStyle w:val="ListBullet"/>
      </w:pPr>
      <w:r w:rsidRPr="00185E03">
        <w:t>‘There are adequate opportunities for me to develop skills and experience in my organisation’</w:t>
      </w:r>
      <w:r>
        <w:t xml:space="preserve"> </w:t>
      </w:r>
      <w:r w:rsidR="00C33739">
        <w:br/>
      </w:r>
      <w:r w:rsidRPr="00A2753D">
        <w:t>(52% favourable responses)</w:t>
      </w:r>
    </w:p>
    <w:p w14:paraId="06681857" w14:textId="22DE0B49" w:rsidR="00A2753D" w:rsidRPr="00A2753D" w:rsidRDefault="00A2753D" w:rsidP="00A2753D">
      <w:pPr>
        <w:pStyle w:val="ListBullet"/>
      </w:pPr>
      <w:r w:rsidRPr="00A2753D">
        <w:t>I am satisfied with the way my learning and development needs have been addressed in the last 12 months’</w:t>
      </w:r>
      <w:r>
        <w:t xml:space="preserve"> </w:t>
      </w:r>
      <w:r w:rsidRPr="00A2753D">
        <w:t>(52% favourable responses)</w:t>
      </w:r>
    </w:p>
    <w:p w14:paraId="0CEDAF32" w14:textId="6055008E" w:rsidR="00A2753D" w:rsidRPr="00A2753D" w:rsidRDefault="00A2753D" w:rsidP="00A2753D">
      <w:pPr>
        <w:pStyle w:val="ListBullet"/>
      </w:pPr>
      <w:r w:rsidRPr="00A2753D">
        <w:t>‘Disability is not a barrier to success in my organisation’</w:t>
      </w:r>
      <w:r w:rsidR="00C33739">
        <w:br/>
      </w:r>
      <w:r>
        <w:t xml:space="preserve"> </w:t>
      </w:r>
      <w:r w:rsidRPr="00A2753D">
        <w:t>(55% favourable responses)</w:t>
      </w:r>
    </w:p>
    <w:p w14:paraId="1A5C4C64" w14:textId="78E36EC6" w:rsidR="008905F0" w:rsidRPr="00D835EA" w:rsidRDefault="008905F0" w:rsidP="00E622D5">
      <w:pPr>
        <w:pStyle w:val="BodyText"/>
      </w:pPr>
      <w:r w:rsidRPr="00D835EA">
        <w:t>Workplace Gender Audit results showed the percentage of women in leadership</w:t>
      </w:r>
      <w:r w:rsidR="0003150D">
        <w:rPr>
          <w:rStyle w:val="FootnoteReference"/>
        </w:rPr>
        <w:footnoteReference w:id="8"/>
      </w:r>
      <w:r w:rsidRPr="00D835EA">
        <w:t xml:space="preserve"> was</w:t>
      </w:r>
      <w:r w:rsidR="005F48D9">
        <w:t xml:space="preserve"> </w:t>
      </w:r>
      <w:r w:rsidRPr="00D835EA">
        <w:t xml:space="preserve">60% compared with 40% men, and 20% of all women employed at </w:t>
      </w:r>
      <w:r w:rsidR="00E24D51">
        <w:t>Court Services Victoria</w:t>
      </w:r>
      <w:r w:rsidRPr="00D835EA">
        <w:t xml:space="preserve"> were in leadership roles, compared to 33% of all men. There is decreased representation of women at the Registrar Grade 6 level (29%) when compared with Registrar Grade 5 (70%).</w:t>
      </w:r>
    </w:p>
    <w:p w14:paraId="61EB64FA" w14:textId="0704F3B7" w:rsidR="008905F0" w:rsidRDefault="00ED2B6C" w:rsidP="008905F0">
      <w:pPr>
        <w:pStyle w:val="BodyText"/>
      </w:pPr>
      <w:r w:rsidRPr="00A2753D">
        <w:fldChar w:fldCharType="begin"/>
      </w:r>
      <w:r w:rsidRPr="00A2753D">
        <w:instrText xml:space="preserve"> REF _Ref110504976 \h  \* MERGEFORMAT </w:instrText>
      </w:r>
      <w:r w:rsidRPr="00A2753D">
        <w:fldChar w:fldCharType="separate"/>
      </w:r>
      <w:r w:rsidR="00561567">
        <w:t>Table 2</w:t>
      </w:r>
      <w:r w:rsidRPr="00A2753D">
        <w:fldChar w:fldCharType="end"/>
      </w:r>
      <w:r w:rsidR="008905F0" w:rsidRPr="00D835EA">
        <w:t xml:space="preserve"> summarises the measures we will undertake to improve our development and support practices, and the development experiences of segments of our workforce.</w:t>
      </w:r>
    </w:p>
    <w:p w14:paraId="09F1EAC2" w14:textId="4F07F3AA" w:rsidR="008905F0" w:rsidRPr="00D835EA" w:rsidRDefault="00A2753D" w:rsidP="00A2753D">
      <w:pPr>
        <w:pStyle w:val="Caption"/>
      </w:pPr>
      <w:bookmarkStart w:id="8" w:name="_Ref110504976"/>
      <w:r>
        <w:lastRenderedPageBreak/>
        <w:t xml:space="preserve">Table </w:t>
      </w:r>
      <w:fldSimple w:instr=" SEQ Table \* ARABIC ">
        <w:r w:rsidR="00561567">
          <w:rPr>
            <w:noProof/>
          </w:rPr>
          <w:t>2</w:t>
        </w:r>
      </w:fldSimple>
      <w:bookmarkEnd w:id="8"/>
      <w:r>
        <w:t xml:space="preserve">: </w:t>
      </w:r>
      <w:r w:rsidR="008905F0" w:rsidRPr="00D835EA">
        <w:t>Measures to enable our employees to achieve their full potential</w:t>
      </w:r>
    </w:p>
    <w:tbl>
      <w:tblPr>
        <w:tblStyle w:val="TableGrid"/>
        <w:tblW w:w="5000" w:type="pct"/>
        <w:tblLook w:val="0620" w:firstRow="1" w:lastRow="0" w:firstColumn="0" w:lastColumn="0" w:noHBand="1" w:noVBand="1"/>
      </w:tblPr>
      <w:tblGrid>
        <w:gridCol w:w="2831"/>
        <w:gridCol w:w="3009"/>
        <w:gridCol w:w="1699"/>
        <w:gridCol w:w="2082"/>
      </w:tblGrid>
      <w:tr w:rsidR="00ED2B6C" w:rsidRPr="00D835EA" w14:paraId="16CEBE65" w14:textId="77777777" w:rsidTr="00C05C92">
        <w:trPr>
          <w:cnfStyle w:val="100000000000" w:firstRow="1" w:lastRow="0" w:firstColumn="0" w:lastColumn="0" w:oddVBand="0" w:evenVBand="0" w:oddHBand="0" w:evenHBand="0" w:firstRowFirstColumn="0" w:firstRowLastColumn="0" w:lastRowFirstColumn="0" w:lastRowLastColumn="0"/>
        </w:trPr>
        <w:tc>
          <w:tcPr>
            <w:tcW w:w="1471" w:type="pct"/>
          </w:tcPr>
          <w:p w14:paraId="7EA70342" w14:textId="77777777" w:rsidR="00ED2B6C" w:rsidRPr="00D835EA" w:rsidRDefault="00ED2B6C" w:rsidP="00E4684C">
            <w:bookmarkStart w:id="9" w:name="ColumnTitle_2"/>
            <w:r w:rsidRPr="00D835EA">
              <w:t>Measures</w:t>
            </w:r>
          </w:p>
        </w:tc>
        <w:tc>
          <w:tcPr>
            <w:tcW w:w="1564" w:type="pct"/>
          </w:tcPr>
          <w:p w14:paraId="6834ED77" w14:textId="77777777" w:rsidR="00ED2B6C" w:rsidRPr="00D835EA" w:rsidRDefault="00ED2B6C" w:rsidP="00E4684C">
            <w:r w:rsidRPr="00D835EA">
              <w:t>Outcomes</w:t>
            </w:r>
          </w:p>
        </w:tc>
        <w:tc>
          <w:tcPr>
            <w:tcW w:w="883" w:type="pct"/>
          </w:tcPr>
          <w:p w14:paraId="5186DD0C" w14:textId="77777777" w:rsidR="00ED2B6C" w:rsidRPr="00D835EA" w:rsidRDefault="00ED2B6C" w:rsidP="00E4684C">
            <w:r w:rsidRPr="00D835EA">
              <w:t>Timeline</w:t>
            </w:r>
          </w:p>
        </w:tc>
        <w:tc>
          <w:tcPr>
            <w:tcW w:w="1082" w:type="pct"/>
          </w:tcPr>
          <w:p w14:paraId="3DDB0800" w14:textId="77777777" w:rsidR="00ED2B6C" w:rsidRPr="00D835EA" w:rsidRDefault="00ED2B6C" w:rsidP="00E4684C">
            <w:r w:rsidRPr="00D835EA">
              <w:t>Accountability</w:t>
            </w:r>
          </w:p>
        </w:tc>
      </w:tr>
      <w:bookmarkEnd w:id="9"/>
      <w:tr w:rsidR="00ED2B6C" w:rsidRPr="00D835EA" w14:paraId="36DDE2BD" w14:textId="77777777" w:rsidTr="00C05C92">
        <w:tc>
          <w:tcPr>
            <w:tcW w:w="1471" w:type="pct"/>
          </w:tcPr>
          <w:p w14:paraId="650872B6" w14:textId="2019D641" w:rsidR="00ED2B6C" w:rsidRPr="00D835EA" w:rsidRDefault="00ED2B6C" w:rsidP="00E4684C">
            <w:r>
              <w:t xml:space="preserve">1.1 </w:t>
            </w:r>
            <w:r w:rsidRPr="00D835EA">
              <w:t>Embed Gender Impact Assessment processes across the organisation.</w:t>
            </w:r>
          </w:p>
        </w:tc>
        <w:tc>
          <w:tcPr>
            <w:tcW w:w="1564" w:type="pct"/>
          </w:tcPr>
          <w:p w14:paraId="1025937A" w14:textId="77777777" w:rsidR="00ED2B6C" w:rsidRPr="00D835EA" w:rsidRDefault="00ED2B6C" w:rsidP="00E4684C">
            <w:r w:rsidRPr="00D835EA">
              <w:t>Conduct of Gender Impact Assessments is incorporated into project management processes and resources.</w:t>
            </w:r>
          </w:p>
          <w:p w14:paraId="0C975D41" w14:textId="77777777" w:rsidR="00ED2B6C" w:rsidRPr="00D835EA" w:rsidRDefault="00ED2B6C" w:rsidP="00E4684C">
            <w:r w:rsidRPr="00D835EA">
              <w:t>Conduct of Gender Impact Assessments is incorporated into the annual budget bid process.</w:t>
            </w:r>
          </w:p>
          <w:p w14:paraId="25E1475A" w14:textId="77777777" w:rsidR="00ED2B6C" w:rsidRPr="00D835EA" w:rsidRDefault="00ED2B6C" w:rsidP="00E4684C">
            <w:r w:rsidRPr="00D835EA">
              <w:t>Gender Impact Assessment training program is scoped and delivered.</w:t>
            </w:r>
          </w:p>
        </w:tc>
        <w:tc>
          <w:tcPr>
            <w:tcW w:w="883" w:type="pct"/>
          </w:tcPr>
          <w:p w14:paraId="4E7B1F23" w14:textId="77777777" w:rsidR="00ED2B6C" w:rsidRPr="00D835EA" w:rsidRDefault="00ED2B6C" w:rsidP="00E4684C">
            <w:r w:rsidRPr="00D835EA">
              <w:t>Commenced 2021 and ongoing</w:t>
            </w:r>
          </w:p>
        </w:tc>
        <w:tc>
          <w:tcPr>
            <w:tcW w:w="1082" w:type="pct"/>
          </w:tcPr>
          <w:p w14:paraId="64665A94" w14:textId="77777777" w:rsidR="00ED2B6C" w:rsidRPr="00D835EA" w:rsidRDefault="00ED2B6C" w:rsidP="00E4684C">
            <w:r w:rsidRPr="00D835EA">
              <w:t>People and Culture</w:t>
            </w:r>
          </w:p>
          <w:p w14:paraId="45ADC9F0" w14:textId="77777777" w:rsidR="00ED2B6C" w:rsidRPr="00D835EA" w:rsidRDefault="00ED2B6C" w:rsidP="00E4684C">
            <w:r w:rsidRPr="00D835EA">
              <w:t>Projects and Business Improvement Services</w:t>
            </w:r>
          </w:p>
          <w:p w14:paraId="3728E4CA" w14:textId="1B27E6B1" w:rsidR="00ED2B6C" w:rsidRPr="00D835EA" w:rsidRDefault="00ED2B6C" w:rsidP="00E4684C">
            <w:r w:rsidRPr="00D835EA">
              <w:t>Performance and </w:t>
            </w:r>
            <w:r w:rsidR="00C33739" w:rsidRPr="00D835EA">
              <w:t>Planning</w:t>
            </w:r>
          </w:p>
        </w:tc>
      </w:tr>
      <w:tr w:rsidR="00ED2B6C" w:rsidRPr="00D835EA" w14:paraId="63324708" w14:textId="77777777" w:rsidTr="00C05C92">
        <w:tc>
          <w:tcPr>
            <w:tcW w:w="1471" w:type="pct"/>
          </w:tcPr>
          <w:p w14:paraId="16AD99AF" w14:textId="14A847CB" w:rsidR="00ED2B6C" w:rsidRPr="00D835EA" w:rsidRDefault="00ED2B6C" w:rsidP="00E4684C">
            <w:r>
              <w:t xml:space="preserve">1.2 </w:t>
            </w:r>
            <w:r w:rsidRPr="00D835EA">
              <w:t>Develop an overarching People Strategy to establish future directions and guide investments that support and develop our people.</w:t>
            </w:r>
          </w:p>
        </w:tc>
        <w:tc>
          <w:tcPr>
            <w:tcW w:w="1564" w:type="pct"/>
          </w:tcPr>
          <w:p w14:paraId="1CED972F" w14:textId="77777777" w:rsidR="00ED2B6C" w:rsidRPr="00D835EA" w:rsidRDefault="00ED2B6C" w:rsidP="00E4684C">
            <w:r w:rsidRPr="00D835EA">
              <w:t>A People Strategy that includes intersectionality and considers gendered work segregation is delivered.</w:t>
            </w:r>
          </w:p>
        </w:tc>
        <w:tc>
          <w:tcPr>
            <w:tcW w:w="883" w:type="pct"/>
          </w:tcPr>
          <w:p w14:paraId="61CD99EC" w14:textId="77777777" w:rsidR="00ED2B6C" w:rsidRPr="00D835EA" w:rsidRDefault="00ED2B6C" w:rsidP="00E4684C">
            <w:r w:rsidRPr="00D835EA">
              <w:t>2022</w:t>
            </w:r>
          </w:p>
        </w:tc>
        <w:tc>
          <w:tcPr>
            <w:tcW w:w="1082" w:type="pct"/>
          </w:tcPr>
          <w:p w14:paraId="2796E740" w14:textId="77777777" w:rsidR="00ED2B6C" w:rsidRPr="00D835EA" w:rsidRDefault="00ED2B6C" w:rsidP="00E4684C">
            <w:r w:rsidRPr="00D835EA">
              <w:t>People and Culture</w:t>
            </w:r>
          </w:p>
        </w:tc>
      </w:tr>
      <w:tr w:rsidR="00ED2B6C" w:rsidRPr="00D835EA" w14:paraId="0A7F6B3A" w14:textId="77777777" w:rsidTr="00C05C92">
        <w:tc>
          <w:tcPr>
            <w:tcW w:w="1471" w:type="pct"/>
          </w:tcPr>
          <w:p w14:paraId="033A9AA9" w14:textId="769DCEAD" w:rsidR="00ED2B6C" w:rsidRPr="00D835EA" w:rsidRDefault="00ED2B6C" w:rsidP="00E4684C">
            <w:r>
              <w:t xml:space="preserve">1.3 </w:t>
            </w:r>
            <w:r w:rsidRPr="00D835EA">
              <w:t xml:space="preserve">Develop an inclusive leadership program to cover topics such as gender and pronouns, intersectionality, disability in the workplace, lateral </w:t>
            </w:r>
            <w:proofErr w:type="gramStart"/>
            <w:r w:rsidRPr="00D835EA">
              <w:t>violence</w:t>
            </w:r>
            <w:proofErr w:type="gramEnd"/>
            <w:r w:rsidRPr="00D835EA">
              <w:t xml:space="preserve"> and inclusive leadership behaviours.</w:t>
            </w:r>
          </w:p>
        </w:tc>
        <w:tc>
          <w:tcPr>
            <w:tcW w:w="1564" w:type="pct"/>
          </w:tcPr>
          <w:p w14:paraId="7A4BF712" w14:textId="77777777" w:rsidR="00ED2B6C" w:rsidRPr="00D835EA" w:rsidRDefault="00ED2B6C" w:rsidP="00E4684C">
            <w:r w:rsidRPr="00D835EA">
              <w:t>Training program is scoped and delivered.</w:t>
            </w:r>
          </w:p>
        </w:tc>
        <w:tc>
          <w:tcPr>
            <w:tcW w:w="883" w:type="pct"/>
          </w:tcPr>
          <w:p w14:paraId="4F5257CA" w14:textId="77777777" w:rsidR="00ED2B6C" w:rsidRPr="00D835EA" w:rsidRDefault="00ED2B6C" w:rsidP="00E4684C">
            <w:r w:rsidRPr="00D835EA">
              <w:t>Scoping 2022</w:t>
            </w:r>
          </w:p>
          <w:p w14:paraId="24FEC0AB" w14:textId="77777777" w:rsidR="00ED2B6C" w:rsidRPr="00D835EA" w:rsidRDefault="00ED2B6C" w:rsidP="00E4684C">
            <w:r w:rsidRPr="00D835EA">
              <w:t>Pilot and rollout 2023 and ongoing</w:t>
            </w:r>
          </w:p>
        </w:tc>
        <w:tc>
          <w:tcPr>
            <w:tcW w:w="1082" w:type="pct"/>
          </w:tcPr>
          <w:p w14:paraId="5C322341" w14:textId="77777777" w:rsidR="00ED2B6C" w:rsidRPr="00D835EA" w:rsidRDefault="00ED2B6C" w:rsidP="00E4684C">
            <w:r w:rsidRPr="00D835EA">
              <w:t>People and Culture</w:t>
            </w:r>
          </w:p>
        </w:tc>
      </w:tr>
      <w:tr w:rsidR="00ED2B6C" w:rsidRPr="00D835EA" w14:paraId="73642CE2" w14:textId="77777777" w:rsidTr="00C05C92">
        <w:tc>
          <w:tcPr>
            <w:tcW w:w="1471" w:type="pct"/>
          </w:tcPr>
          <w:p w14:paraId="46DF9FF7" w14:textId="2485D3C0" w:rsidR="00ED2B6C" w:rsidRPr="00D835EA" w:rsidRDefault="00ED2B6C" w:rsidP="00E4684C">
            <w:r>
              <w:t xml:space="preserve">1.4 </w:t>
            </w:r>
            <w:r w:rsidRPr="00D835EA">
              <w:t>Deliver employee training programs, guidance materials and supports for diversity, inclusion and intersectionality including LGBTIQ+, disability, cultural and faith awareness.</w:t>
            </w:r>
          </w:p>
        </w:tc>
        <w:tc>
          <w:tcPr>
            <w:tcW w:w="1564" w:type="pct"/>
          </w:tcPr>
          <w:p w14:paraId="0C08B1BB" w14:textId="77777777" w:rsidR="00ED2B6C" w:rsidRPr="00D835EA" w:rsidRDefault="00ED2B6C" w:rsidP="00E4684C">
            <w:r w:rsidRPr="00D835EA">
              <w:t>Training programs are scoped and delivered.</w:t>
            </w:r>
          </w:p>
        </w:tc>
        <w:tc>
          <w:tcPr>
            <w:tcW w:w="883" w:type="pct"/>
          </w:tcPr>
          <w:p w14:paraId="44971518" w14:textId="77777777" w:rsidR="00ED2B6C" w:rsidRPr="00D835EA" w:rsidRDefault="00ED2B6C" w:rsidP="00E4684C">
            <w:r w:rsidRPr="00D835EA">
              <w:t>2022 and ongoing</w:t>
            </w:r>
          </w:p>
        </w:tc>
        <w:tc>
          <w:tcPr>
            <w:tcW w:w="1082" w:type="pct"/>
          </w:tcPr>
          <w:p w14:paraId="73112277" w14:textId="77777777" w:rsidR="00ED2B6C" w:rsidRPr="00D835EA" w:rsidRDefault="00ED2B6C" w:rsidP="00E4684C">
            <w:r w:rsidRPr="00D835EA">
              <w:t>People and Culture</w:t>
            </w:r>
          </w:p>
        </w:tc>
      </w:tr>
      <w:tr w:rsidR="00ED2B6C" w:rsidRPr="00D835EA" w14:paraId="66166F1B" w14:textId="77777777" w:rsidTr="00C05C92">
        <w:tc>
          <w:tcPr>
            <w:tcW w:w="1471" w:type="pct"/>
          </w:tcPr>
          <w:p w14:paraId="4FFC8DB0" w14:textId="57B7A4AC" w:rsidR="00ED2B6C" w:rsidRPr="00D835EA" w:rsidRDefault="00ED2B6C" w:rsidP="00001C31">
            <w:pPr>
              <w:rPr>
                <w:color w:val="auto"/>
              </w:rPr>
            </w:pPr>
            <w:r>
              <w:t xml:space="preserve">1.4 </w:t>
            </w:r>
            <w:r w:rsidRPr="00D835EA">
              <w:t>Deliver employee training programs, guidance materials and supports for diversity, inclusion and intersectionality including LGBTIQ+, disability, cultural and faith awareness.</w:t>
            </w:r>
          </w:p>
        </w:tc>
        <w:tc>
          <w:tcPr>
            <w:tcW w:w="1564" w:type="pct"/>
          </w:tcPr>
          <w:p w14:paraId="26D483A3" w14:textId="77777777" w:rsidR="00ED2B6C" w:rsidRPr="00D835EA" w:rsidRDefault="00ED2B6C" w:rsidP="00001C31">
            <w:r w:rsidRPr="00D835EA">
              <w:t>A dedicated diversity intranet space is established including guidance and learning materials to support employee education and reinforce expectation of inclusive and respectful behaviours.</w:t>
            </w:r>
          </w:p>
        </w:tc>
        <w:tc>
          <w:tcPr>
            <w:tcW w:w="883" w:type="pct"/>
          </w:tcPr>
          <w:p w14:paraId="41CAD0DE" w14:textId="77777777" w:rsidR="00ED2B6C" w:rsidRPr="00D835EA" w:rsidRDefault="00ED2B6C" w:rsidP="00001C31">
            <w:r w:rsidRPr="00D835EA">
              <w:t>2022 and ongoing</w:t>
            </w:r>
          </w:p>
        </w:tc>
        <w:tc>
          <w:tcPr>
            <w:tcW w:w="1082" w:type="pct"/>
          </w:tcPr>
          <w:p w14:paraId="1CBBA786" w14:textId="02740244" w:rsidR="00ED2B6C" w:rsidRPr="00D835EA" w:rsidRDefault="00ED2B6C" w:rsidP="00001C31">
            <w:r w:rsidRPr="00D835EA">
              <w:t>Strategic Communications</w:t>
            </w:r>
          </w:p>
        </w:tc>
      </w:tr>
      <w:tr w:rsidR="00ED2B6C" w:rsidRPr="00D835EA" w14:paraId="20B9CAC5" w14:textId="77777777" w:rsidTr="00C05C92">
        <w:tc>
          <w:tcPr>
            <w:tcW w:w="1471" w:type="pct"/>
          </w:tcPr>
          <w:p w14:paraId="00772930" w14:textId="589874D1" w:rsidR="00ED2B6C" w:rsidRPr="00D835EA" w:rsidRDefault="00ED2B6C" w:rsidP="00561567">
            <w:pPr>
              <w:spacing w:line="240" w:lineRule="atLeast"/>
              <w:rPr>
                <w:color w:val="auto"/>
              </w:rPr>
            </w:pPr>
            <w:r>
              <w:lastRenderedPageBreak/>
              <w:t xml:space="preserve">1.4 </w:t>
            </w:r>
            <w:r w:rsidRPr="00D835EA">
              <w:t>Deliver employee training programs, guidance materials and supports for diversity, inclusion and intersectionality including LGBTIQ+, disability, cultural and faith awareness.</w:t>
            </w:r>
          </w:p>
        </w:tc>
        <w:tc>
          <w:tcPr>
            <w:tcW w:w="1564" w:type="pct"/>
          </w:tcPr>
          <w:p w14:paraId="7673D06E" w14:textId="77777777" w:rsidR="00ED2B6C" w:rsidRPr="00D835EA" w:rsidRDefault="00ED2B6C" w:rsidP="00561567">
            <w:pPr>
              <w:spacing w:line="240" w:lineRule="atLeast"/>
            </w:pPr>
            <w:r w:rsidRPr="00D835EA">
              <w:t>Gender affirmation guidelines to support the new VPS Gender Transition Leave Policy are developed.</w:t>
            </w:r>
          </w:p>
        </w:tc>
        <w:tc>
          <w:tcPr>
            <w:tcW w:w="883" w:type="pct"/>
          </w:tcPr>
          <w:p w14:paraId="540FFC6E" w14:textId="77777777" w:rsidR="00ED2B6C" w:rsidRPr="00D835EA" w:rsidRDefault="00ED2B6C" w:rsidP="00561567">
            <w:pPr>
              <w:spacing w:line="240" w:lineRule="atLeast"/>
            </w:pPr>
            <w:r w:rsidRPr="00D835EA">
              <w:t>2023</w:t>
            </w:r>
          </w:p>
        </w:tc>
        <w:tc>
          <w:tcPr>
            <w:tcW w:w="1082" w:type="pct"/>
          </w:tcPr>
          <w:p w14:paraId="0453DFB5" w14:textId="0E0106D4" w:rsidR="00ED2B6C" w:rsidRPr="00D835EA" w:rsidRDefault="00ED2B6C" w:rsidP="00561567">
            <w:pPr>
              <w:spacing w:line="240" w:lineRule="atLeast"/>
              <w:rPr>
                <w:color w:val="auto"/>
              </w:rPr>
            </w:pPr>
            <w:r w:rsidRPr="00D835EA">
              <w:t>Strategic Communications</w:t>
            </w:r>
          </w:p>
        </w:tc>
      </w:tr>
      <w:tr w:rsidR="00ED2B6C" w:rsidRPr="00D835EA" w14:paraId="1D490C61" w14:textId="77777777" w:rsidTr="00C05C92">
        <w:tc>
          <w:tcPr>
            <w:tcW w:w="1471" w:type="pct"/>
          </w:tcPr>
          <w:p w14:paraId="4FD706ED" w14:textId="1F202F8E" w:rsidR="00ED2B6C" w:rsidRPr="00D835EA" w:rsidRDefault="00ED2B6C" w:rsidP="00561567">
            <w:pPr>
              <w:spacing w:line="240" w:lineRule="atLeast"/>
            </w:pPr>
            <w:r>
              <w:t xml:space="preserve">1.5 </w:t>
            </w:r>
            <w:r w:rsidRPr="00D835EA">
              <w:t>Support the development of employee-led networks (</w:t>
            </w:r>
            <w:proofErr w:type="gramStart"/>
            <w:r w:rsidRPr="00D835EA">
              <w:t>e.g.</w:t>
            </w:r>
            <w:proofErr w:type="gramEnd"/>
            <w:r w:rsidRPr="00D835EA">
              <w:t xml:space="preserve"> Enablers Network, Pride Network). </w:t>
            </w:r>
          </w:p>
        </w:tc>
        <w:tc>
          <w:tcPr>
            <w:tcW w:w="1564" w:type="pct"/>
          </w:tcPr>
          <w:p w14:paraId="073193BC" w14:textId="77777777" w:rsidR="00ED2B6C" w:rsidRPr="00D835EA" w:rsidRDefault="00ED2B6C" w:rsidP="00561567">
            <w:pPr>
              <w:spacing w:line="240" w:lineRule="atLeast"/>
            </w:pPr>
            <w:r w:rsidRPr="00D835EA">
              <w:t xml:space="preserve">Employee-led networks are supported where interest and employee commitment </w:t>
            </w:r>
            <w:proofErr w:type="gramStart"/>
            <w:r w:rsidRPr="00D835EA">
              <w:t>is</w:t>
            </w:r>
            <w:proofErr w:type="gramEnd"/>
            <w:r w:rsidRPr="00D835EA">
              <w:t> established.</w:t>
            </w:r>
          </w:p>
        </w:tc>
        <w:tc>
          <w:tcPr>
            <w:tcW w:w="883" w:type="pct"/>
          </w:tcPr>
          <w:p w14:paraId="13FD3A6A" w14:textId="77777777" w:rsidR="00ED2B6C" w:rsidRPr="00D835EA" w:rsidRDefault="00ED2B6C" w:rsidP="00561567">
            <w:pPr>
              <w:spacing w:line="240" w:lineRule="atLeast"/>
            </w:pPr>
            <w:r w:rsidRPr="00D835EA">
              <w:t>Commencing 2022</w:t>
            </w:r>
          </w:p>
        </w:tc>
        <w:tc>
          <w:tcPr>
            <w:tcW w:w="1082" w:type="pct"/>
          </w:tcPr>
          <w:p w14:paraId="74B6A0F0" w14:textId="77777777" w:rsidR="00ED2B6C" w:rsidRPr="00D835EA" w:rsidRDefault="00ED2B6C" w:rsidP="00561567">
            <w:pPr>
              <w:spacing w:line="240" w:lineRule="atLeast"/>
            </w:pPr>
            <w:r w:rsidRPr="00D835EA">
              <w:t>People and Culture</w:t>
            </w:r>
          </w:p>
        </w:tc>
      </w:tr>
      <w:tr w:rsidR="00ED2B6C" w:rsidRPr="00D835EA" w14:paraId="15013A4F" w14:textId="77777777" w:rsidTr="00C05C92">
        <w:tc>
          <w:tcPr>
            <w:tcW w:w="1471" w:type="pct"/>
          </w:tcPr>
          <w:p w14:paraId="5FA9F076" w14:textId="67F9AA77" w:rsidR="00ED2B6C" w:rsidRPr="00D835EA" w:rsidRDefault="00ED2B6C" w:rsidP="00561567">
            <w:pPr>
              <w:spacing w:line="240" w:lineRule="atLeast"/>
            </w:pPr>
            <w:r>
              <w:t xml:space="preserve">1.6 </w:t>
            </w:r>
            <w:r w:rsidRPr="00D835EA">
              <w:t>Introduce an employee peer support program.</w:t>
            </w:r>
          </w:p>
        </w:tc>
        <w:tc>
          <w:tcPr>
            <w:tcW w:w="1564" w:type="pct"/>
          </w:tcPr>
          <w:p w14:paraId="157AC2C0" w14:textId="33A846B0" w:rsidR="00ED2B6C" w:rsidRPr="00D835EA" w:rsidRDefault="00ED2B6C" w:rsidP="00561567">
            <w:pPr>
              <w:spacing w:line="240" w:lineRule="atLeast"/>
            </w:pPr>
            <w:r w:rsidRPr="00D835EA">
              <w:t xml:space="preserve">A person-centric peer support program is established to provide an additional avenue of wellbeing support to </w:t>
            </w:r>
            <w:r w:rsidR="00E24D51">
              <w:t>Court Services Victoria</w:t>
            </w:r>
            <w:r w:rsidRPr="00D835EA">
              <w:t> employees.</w:t>
            </w:r>
          </w:p>
        </w:tc>
        <w:tc>
          <w:tcPr>
            <w:tcW w:w="883" w:type="pct"/>
          </w:tcPr>
          <w:p w14:paraId="218DF819" w14:textId="77777777" w:rsidR="00ED2B6C" w:rsidRPr="00D835EA" w:rsidRDefault="00ED2B6C" w:rsidP="00561567">
            <w:pPr>
              <w:spacing w:line="240" w:lineRule="atLeast"/>
            </w:pPr>
            <w:r w:rsidRPr="00D835EA">
              <w:t>Commencing 2022</w:t>
            </w:r>
          </w:p>
        </w:tc>
        <w:tc>
          <w:tcPr>
            <w:tcW w:w="1082" w:type="pct"/>
          </w:tcPr>
          <w:p w14:paraId="5E73A156" w14:textId="77777777" w:rsidR="00ED2B6C" w:rsidRPr="00D835EA" w:rsidRDefault="00ED2B6C" w:rsidP="00561567">
            <w:pPr>
              <w:spacing w:line="240" w:lineRule="atLeast"/>
            </w:pPr>
            <w:r w:rsidRPr="00D835EA">
              <w:t>People and Culture</w:t>
            </w:r>
          </w:p>
        </w:tc>
      </w:tr>
      <w:tr w:rsidR="00ED2B6C" w:rsidRPr="00D835EA" w14:paraId="124A04C3" w14:textId="77777777" w:rsidTr="00C05C92">
        <w:tc>
          <w:tcPr>
            <w:tcW w:w="1471" w:type="pct"/>
          </w:tcPr>
          <w:p w14:paraId="452AE609" w14:textId="5E5E1D14" w:rsidR="00ED2B6C" w:rsidRPr="00D835EA" w:rsidRDefault="00ED2B6C" w:rsidP="00561567">
            <w:pPr>
              <w:spacing w:line="240" w:lineRule="atLeast"/>
            </w:pPr>
            <w:r>
              <w:t xml:space="preserve">1.7 </w:t>
            </w:r>
            <w:r w:rsidRPr="00D835EA">
              <w:t>Improve employee development through mentoring and coaching offerings.</w:t>
            </w:r>
          </w:p>
        </w:tc>
        <w:tc>
          <w:tcPr>
            <w:tcW w:w="1564" w:type="pct"/>
          </w:tcPr>
          <w:p w14:paraId="19C7B69F" w14:textId="77777777" w:rsidR="00ED2B6C" w:rsidRPr="00D835EA" w:rsidRDefault="00ED2B6C" w:rsidP="00561567">
            <w:pPr>
              <w:spacing w:line="240" w:lineRule="atLeast"/>
            </w:pPr>
            <w:r w:rsidRPr="00D835EA">
              <w:t>Mentoring program is scoped and implemented, ensuring streams for Registrar Grade 5 roles, different age cohorts, and other relevant groups.</w:t>
            </w:r>
          </w:p>
        </w:tc>
        <w:tc>
          <w:tcPr>
            <w:tcW w:w="883" w:type="pct"/>
          </w:tcPr>
          <w:p w14:paraId="1DB5B2F4" w14:textId="77777777" w:rsidR="00ED2B6C" w:rsidRPr="00D835EA" w:rsidRDefault="00ED2B6C" w:rsidP="00561567">
            <w:pPr>
              <w:spacing w:line="240" w:lineRule="atLeast"/>
            </w:pPr>
            <w:r w:rsidRPr="00D835EA">
              <w:t>2023 and ongoing</w:t>
            </w:r>
          </w:p>
        </w:tc>
        <w:tc>
          <w:tcPr>
            <w:tcW w:w="1082" w:type="pct"/>
          </w:tcPr>
          <w:p w14:paraId="5E9EEF2A" w14:textId="77777777" w:rsidR="00ED2B6C" w:rsidRPr="00D835EA" w:rsidRDefault="00ED2B6C" w:rsidP="00561567">
            <w:pPr>
              <w:spacing w:line="240" w:lineRule="atLeast"/>
            </w:pPr>
            <w:r w:rsidRPr="00D835EA">
              <w:t>People and Culture</w:t>
            </w:r>
          </w:p>
        </w:tc>
      </w:tr>
      <w:tr w:rsidR="00ED2B6C" w:rsidRPr="00D835EA" w14:paraId="20506CCB" w14:textId="77777777" w:rsidTr="00C05C92">
        <w:tc>
          <w:tcPr>
            <w:tcW w:w="1471" w:type="pct"/>
          </w:tcPr>
          <w:p w14:paraId="3235B507" w14:textId="394E18EE" w:rsidR="00ED2B6C" w:rsidRPr="00D835EA" w:rsidRDefault="00ED2B6C" w:rsidP="00561567">
            <w:pPr>
              <w:spacing w:line="240" w:lineRule="atLeast"/>
              <w:rPr>
                <w:color w:val="auto"/>
              </w:rPr>
            </w:pPr>
            <w:r>
              <w:t xml:space="preserve">1.7 </w:t>
            </w:r>
            <w:r w:rsidRPr="00D835EA">
              <w:t>Improve employee development through mentoring and coaching offerings.</w:t>
            </w:r>
          </w:p>
        </w:tc>
        <w:tc>
          <w:tcPr>
            <w:tcW w:w="1564" w:type="pct"/>
          </w:tcPr>
          <w:p w14:paraId="516E8E5B" w14:textId="77777777" w:rsidR="00ED2B6C" w:rsidRPr="00D835EA" w:rsidRDefault="00ED2B6C" w:rsidP="00561567">
            <w:pPr>
              <w:spacing w:line="240" w:lineRule="atLeast"/>
            </w:pPr>
            <w:r w:rsidRPr="00D835EA">
              <w:t>Increased representation of women at Registrar Grade 6.</w:t>
            </w:r>
          </w:p>
        </w:tc>
        <w:tc>
          <w:tcPr>
            <w:tcW w:w="883" w:type="pct"/>
          </w:tcPr>
          <w:p w14:paraId="19581779" w14:textId="77777777" w:rsidR="00ED2B6C" w:rsidRPr="00D835EA" w:rsidRDefault="00ED2B6C" w:rsidP="00561567">
            <w:pPr>
              <w:spacing w:line="240" w:lineRule="atLeast"/>
            </w:pPr>
            <w:r w:rsidRPr="00D835EA">
              <w:t>2024 and ongoing</w:t>
            </w:r>
          </w:p>
        </w:tc>
        <w:tc>
          <w:tcPr>
            <w:tcW w:w="1082" w:type="pct"/>
          </w:tcPr>
          <w:p w14:paraId="63892B56" w14:textId="7126349B" w:rsidR="00ED2B6C" w:rsidRPr="00D835EA" w:rsidRDefault="00ED2B6C" w:rsidP="00561567">
            <w:pPr>
              <w:spacing w:line="240" w:lineRule="atLeast"/>
            </w:pPr>
            <w:r w:rsidRPr="00D835EA">
              <w:t>People and Culture</w:t>
            </w:r>
          </w:p>
        </w:tc>
      </w:tr>
      <w:tr w:rsidR="00ED2B6C" w:rsidRPr="00D835EA" w14:paraId="6879843D" w14:textId="77777777" w:rsidTr="00C05C92">
        <w:tc>
          <w:tcPr>
            <w:tcW w:w="1471" w:type="pct"/>
          </w:tcPr>
          <w:p w14:paraId="34E997FB" w14:textId="3BBF12BA" w:rsidR="00ED2B6C" w:rsidRPr="00D835EA" w:rsidRDefault="00ED2B6C" w:rsidP="00561567">
            <w:pPr>
              <w:spacing w:line="240" w:lineRule="atLeast"/>
            </w:pPr>
            <w:r>
              <w:t xml:space="preserve">1.8 </w:t>
            </w:r>
            <w:r w:rsidRPr="00D835EA">
              <w:t>Introduce an alumni program to establish an ongoing connection with former employees and create a culture where people are welcomed back and are advocates for working in Courts.</w:t>
            </w:r>
          </w:p>
        </w:tc>
        <w:tc>
          <w:tcPr>
            <w:tcW w:w="1564" w:type="pct"/>
          </w:tcPr>
          <w:p w14:paraId="00784D3B" w14:textId="77777777" w:rsidR="00ED2B6C" w:rsidRPr="00D835EA" w:rsidRDefault="00ED2B6C" w:rsidP="00561567">
            <w:pPr>
              <w:spacing w:line="240" w:lineRule="atLeast"/>
            </w:pPr>
            <w:r w:rsidRPr="00D835EA">
              <w:t>An alumni program is scoped and piloted.</w:t>
            </w:r>
          </w:p>
        </w:tc>
        <w:tc>
          <w:tcPr>
            <w:tcW w:w="883" w:type="pct"/>
          </w:tcPr>
          <w:p w14:paraId="22378A21" w14:textId="77777777" w:rsidR="00ED2B6C" w:rsidRPr="00D835EA" w:rsidRDefault="00ED2B6C" w:rsidP="00561567">
            <w:pPr>
              <w:spacing w:line="240" w:lineRule="atLeast"/>
            </w:pPr>
            <w:r w:rsidRPr="00D835EA">
              <w:t>2024 and ongoing</w:t>
            </w:r>
          </w:p>
        </w:tc>
        <w:tc>
          <w:tcPr>
            <w:tcW w:w="1082" w:type="pct"/>
          </w:tcPr>
          <w:p w14:paraId="47BAE895" w14:textId="77777777" w:rsidR="00ED2B6C" w:rsidRPr="00D835EA" w:rsidRDefault="00ED2B6C" w:rsidP="00561567">
            <w:pPr>
              <w:spacing w:line="240" w:lineRule="atLeast"/>
            </w:pPr>
            <w:r w:rsidRPr="00D835EA">
              <w:t>People and Culture</w:t>
            </w:r>
          </w:p>
        </w:tc>
      </w:tr>
      <w:tr w:rsidR="00ED2B6C" w:rsidRPr="00D835EA" w14:paraId="6C1EE995" w14:textId="77777777" w:rsidTr="00C05C92">
        <w:tc>
          <w:tcPr>
            <w:tcW w:w="1471" w:type="pct"/>
          </w:tcPr>
          <w:p w14:paraId="74B6A0D3" w14:textId="02172398" w:rsidR="00ED2B6C" w:rsidRPr="00D835EA" w:rsidRDefault="00ED2B6C" w:rsidP="00561567">
            <w:pPr>
              <w:spacing w:line="240" w:lineRule="atLeast"/>
            </w:pPr>
            <w:r>
              <w:t xml:space="preserve">1.8 </w:t>
            </w:r>
            <w:r w:rsidRPr="00D835EA">
              <w:t>Introduce an alumni program to establish an ongoing connection with former employees and create a culture where people are welcomed back and are advocates for working in Courts.</w:t>
            </w:r>
          </w:p>
        </w:tc>
        <w:tc>
          <w:tcPr>
            <w:tcW w:w="1564" w:type="pct"/>
          </w:tcPr>
          <w:p w14:paraId="1D44C321" w14:textId="77777777" w:rsidR="00ED2B6C" w:rsidRPr="00D835EA" w:rsidRDefault="00ED2B6C" w:rsidP="00561567">
            <w:pPr>
              <w:spacing w:line="240" w:lineRule="atLeast"/>
            </w:pPr>
            <w:r w:rsidRPr="00D835EA">
              <w:t>Increased percentage of respondents rating relevant People Matter Survey (or equivalent) items favourably.</w:t>
            </w:r>
          </w:p>
        </w:tc>
        <w:tc>
          <w:tcPr>
            <w:tcW w:w="883" w:type="pct"/>
          </w:tcPr>
          <w:p w14:paraId="71FE81DB" w14:textId="77777777" w:rsidR="00ED2B6C" w:rsidRPr="00D835EA" w:rsidRDefault="00ED2B6C" w:rsidP="00561567">
            <w:pPr>
              <w:spacing w:line="240" w:lineRule="atLeast"/>
            </w:pPr>
            <w:r w:rsidRPr="00D835EA">
              <w:t>2023</w:t>
            </w:r>
          </w:p>
        </w:tc>
        <w:tc>
          <w:tcPr>
            <w:tcW w:w="1082" w:type="pct"/>
          </w:tcPr>
          <w:p w14:paraId="4BC8A997" w14:textId="1AD8AF2A" w:rsidR="00ED2B6C" w:rsidRPr="00D835EA" w:rsidRDefault="00ED2B6C" w:rsidP="00561567">
            <w:pPr>
              <w:spacing w:line="240" w:lineRule="atLeast"/>
            </w:pPr>
            <w:r w:rsidRPr="00D835EA">
              <w:t>People and Culture</w:t>
            </w:r>
          </w:p>
        </w:tc>
      </w:tr>
    </w:tbl>
    <w:p w14:paraId="7C9FC4A8" w14:textId="77777777" w:rsidR="008905F0" w:rsidRPr="00B44319" w:rsidRDefault="008905F0" w:rsidP="00B44319">
      <w:pPr>
        <w:pStyle w:val="Heading2"/>
      </w:pPr>
      <w:bookmarkStart w:id="10" w:name="_Toc110508766"/>
      <w:r w:rsidRPr="00B44319">
        <w:lastRenderedPageBreak/>
        <w:t>Foster a culture that supports a harassment</w:t>
      </w:r>
      <w:r w:rsidRPr="00B44319">
        <w:rPr>
          <w:rFonts w:ascii="Cambria Math" w:hAnsi="Cambria Math" w:cs="Cambria Math"/>
        </w:rPr>
        <w:t>‑</w:t>
      </w:r>
      <w:r w:rsidRPr="00B44319">
        <w:t>free workplace by responding to and preventing sexual harassment and other inappropriate behaviours</w:t>
      </w:r>
      <w:bookmarkEnd w:id="10"/>
    </w:p>
    <w:p w14:paraId="18484D61" w14:textId="77777777" w:rsidR="008905F0" w:rsidRPr="00D835EA" w:rsidRDefault="008905F0" w:rsidP="008905F0">
      <w:pPr>
        <w:pStyle w:val="BodyText"/>
      </w:pPr>
      <w:r w:rsidRPr="00D835EA">
        <w:t>During the reporting period, three formal reports of sexual harassment were received. Additionally, 6% of total People Matter Survey respondents reported experiencing sexual harassment in the last 12 months, equating to approximately 53 people.</w:t>
      </w:r>
    </w:p>
    <w:p w14:paraId="28CD4EE4" w14:textId="4BC21C19" w:rsidR="008905F0" w:rsidRDefault="008905F0" w:rsidP="008905F0">
      <w:pPr>
        <w:pStyle w:val="BodyText"/>
      </w:pPr>
      <w:r w:rsidRPr="00D835EA">
        <w:t xml:space="preserve">Responses to relevant People Matter Survey items suggest more can be done to ensure employees feel safe to call out inappropriate behaviour and for </w:t>
      </w:r>
      <w:r w:rsidR="00E24D51">
        <w:t>Court Services Victoria</w:t>
      </w:r>
      <w:r w:rsidRPr="00D835EA">
        <w:t xml:space="preserve"> to be regarded as effectively dealing with bullying, </w:t>
      </w:r>
      <w:proofErr w:type="gramStart"/>
      <w:r w:rsidRPr="00D835EA">
        <w:t>harassment</w:t>
      </w:r>
      <w:proofErr w:type="gramEnd"/>
      <w:r w:rsidRPr="00D835EA">
        <w:t xml:space="preserve"> and discrimination:</w:t>
      </w:r>
    </w:p>
    <w:p w14:paraId="077D3035" w14:textId="04954296" w:rsidR="00C33739" w:rsidRPr="00C33739" w:rsidRDefault="00C33739" w:rsidP="00477CC1">
      <w:pPr>
        <w:pStyle w:val="ListBullet"/>
      </w:pPr>
      <w:r w:rsidRPr="00C33739">
        <w:t>‘I feel safe to challenge inappropriate behaviour at work’</w:t>
      </w:r>
      <w:r>
        <w:t xml:space="preserve"> </w:t>
      </w:r>
      <w:r>
        <w:br/>
      </w:r>
      <w:r w:rsidRPr="00C33739">
        <w:t>(59% favourable responses)</w:t>
      </w:r>
    </w:p>
    <w:p w14:paraId="226CFC92" w14:textId="4C2362E1" w:rsidR="00C33739" w:rsidRPr="00C33739" w:rsidRDefault="00C33739" w:rsidP="004B1464">
      <w:pPr>
        <w:pStyle w:val="ListBullet"/>
      </w:pPr>
      <w:r w:rsidRPr="00C33739">
        <w:t>‘My organisation takes steps to eliminate bullying, harassment and discrimination’</w:t>
      </w:r>
      <w:r>
        <w:t xml:space="preserve"> </w:t>
      </w:r>
      <w:r>
        <w:br/>
      </w:r>
      <w:r w:rsidRPr="00C33739">
        <w:t>(60% favourable responses)</w:t>
      </w:r>
    </w:p>
    <w:p w14:paraId="1B76EBEB" w14:textId="3B8370AD" w:rsidR="00C33739" w:rsidRPr="00C33739" w:rsidRDefault="00C33739" w:rsidP="00C10312">
      <w:pPr>
        <w:pStyle w:val="ListBullet"/>
      </w:pPr>
      <w:r w:rsidRPr="00C33739">
        <w:t>‘My organisation encourages respectful workplace behaviours’</w:t>
      </w:r>
      <w:r>
        <w:br/>
      </w:r>
      <w:r w:rsidRPr="00C33739">
        <w:t>(79% favourable responses)</w:t>
      </w:r>
    </w:p>
    <w:p w14:paraId="0FA96A1E" w14:textId="170FEE1A" w:rsidR="00B44319" w:rsidRDefault="00B44319" w:rsidP="008905F0">
      <w:pPr>
        <w:pStyle w:val="BodyText"/>
      </w:pPr>
      <w:r w:rsidRPr="00D835EA">
        <w:t xml:space="preserve">On 14 July 2020, the Honourable Chief Justice </w:t>
      </w:r>
      <w:proofErr w:type="gramStart"/>
      <w:r w:rsidRPr="00D835EA">
        <w:t>Ferguson</w:t>
      </w:r>
      <w:proofErr w:type="gramEnd"/>
      <w:r w:rsidRPr="00D835EA">
        <w:t xml:space="preserve"> and the Attorney</w:t>
      </w:r>
      <w:r w:rsidRPr="00D835EA">
        <w:rPr>
          <w:rFonts w:ascii="Cambria Math" w:hAnsi="Cambria Math" w:cs="Cambria Math"/>
        </w:rPr>
        <w:t>‑</w:t>
      </w:r>
      <w:r w:rsidRPr="00D835EA">
        <w:t xml:space="preserve">General jointly initiated an independent review of sexual harassment across the Victorian courts and </w:t>
      </w:r>
      <w:r w:rsidR="00E24D51">
        <w:t>Victorian Civil and Administrative Tribunal</w:t>
      </w:r>
      <w:r w:rsidRPr="00D835EA">
        <w:t xml:space="preserve">. The Review of Sexual Harassment in Victorian Courts and </w:t>
      </w:r>
      <w:r w:rsidR="00E24D51">
        <w:t>Victorian Civil and Administrative Tribunal</w:t>
      </w:r>
      <w:r w:rsidRPr="00D835EA">
        <w:t xml:space="preserve"> Report was released on 19 April 2021 and made 20</w:t>
      </w:r>
      <w:r>
        <w:t xml:space="preserve"> </w:t>
      </w:r>
      <w:r w:rsidRPr="00D835EA">
        <w:t xml:space="preserve">recommendations to respond to and prevent sexual harassment, 11 of which were made to </w:t>
      </w:r>
      <w:r w:rsidR="00E24D51">
        <w:t>Court Services Victoria</w:t>
      </w:r>
      <w:r w:rsidRPr="00D835EA">
        <w:t xml:space="preserve">. </w:t>
      </w:r>
      <w:r w:rsidR="00F65DD7">
        <w:fldChar w:fldCharType="begin"/>
      </w:r>
      <w:r w:rsidR="00F65DD7">
        <w:instrText xml:space="preserve"> REF _Ref110506015 \h </w:instrText>
      </w:r>
      <w:r w:rsidR="00F65DD7">
        <w:fldChar w:fldCharType="separate"/>
      </w:r>
      <w:r w:rsidR="00561567">
        <w:t xml:space="preserve">Table </w:t>
      </w:r>
      <w:r w:rsidR="00561567">
        <w:rPr>
          <w:noProof/>
        </w:rPr>
        <w:t>3</w:t>
      </w:r>
      <w:r w:rsidR="00F65DD7">
        <w:fldChar w:fldCharType="end"/>
      </w:r>
      <w:r w:rsidRPr="00D835EA">
        <w:t xml:space="preserve"> provides a summary of the measures we will take to respond to and prevent sexual harassment and other inappropriate behaviours in the workplace.</w:t>
      </w:r>
    </w:p>
    <w:p w14:paraId="08E27F1D" w14:textId="43218FF1" w:rsidR="008905F0" w:rsidRDefault="00C33739" w:rsidP="00C33739">
      <w:pPr>
        <w:pStyle w:val="Caption"/>
      </w:pPr>
      <w:bookmarkStart w:id="11" w:name="_Ref110506015"/>
      <w:r>
        <w:t xml:space="preserve">Table </w:t>
      </w:r>
      <w:fldSimple w:instr=" SEQ Table \* ARABIC ">
        <w:r w:rsidR="00561567">
          <w:rPr>
            <w:noProof/>
          </w:rPr>
          <w:t>3</w:t>
        </w:r>
      </w:fldSimple>
      <w:bookmarkEnd w:id="11"/>
      <w:r w:rsidR="008905F0" w:rsidRPr="00D835EA">
        <w:t xml:space="preserve">: </w:t>
      </w:r>
      <w:r w:rsidR="008905F0" w:rsidRPr="00C33739">
        <w:t>Measures</w:t>
      </w:r>
      <w:r w:rsidR="008905F0" w:rsidRPr="00D835EA">
        <w:t xml:space="preserve"> to support a harassment</w:t>
      </w:r>
      <w:r w:rsidR="008905F0" w:rsidRPr="00D835EA">
        <w:rPr>
          <w:rFonts w:ascii="Cambria Math" w:hAnsi="Cambria Math" w:cs="Cambria Math"/>
        </w:rPr>
        <w:t>‑</w:t>
      </w:r>
      <w:r w:rsidR="008905F0" w:rsidRPr="00D835EA">
        <w:t>free workplace</w:t>
      </w:r>
    </w:p>
    <w:tbl>
      <w:tblPr>
        <w:tblStyle w:val="TableGrid"/>
        <w:tblW w:w="5000" w:type="pct"/>
        <w:tblLook w:val="0620" w:firstRow="1" w:lastRow="0" w:firstColumn="0" w:lastColumn="0" w:noHBand="1" w:noVBand="1"/>
      </w:tblPr>
      <w:tblGrid>
        <w:gridCol w:w="2122"/>
        <w:gridCol w:w="3718"/>
        <w:gridCol w:w="1699"/>
        <w:gridCol w:w="2082"/>
      </w:tblGrid>
      <w:tr w:rsidR="00C33739" w:rsidRPr="00D835EA" w14:paraId="2AC68F83" w14:textId="77777777" w:rsidTr="00C05C92">
        <w:trPr>
          <w:cnfStyle w:val="100000000000" w:firstRow="1" w:lastRow="0" w:firstColumn="0" w:lastColumn="0" w:oddVBand="0" w:evenVBand="0" w:oddHBand="0" w:evenHBand="0" w:firstRowFirstColumn="0" w:firstRowLastColumn="0" w:lastRowFirstColumn="0" w:lastRowLastColumn="0"/>
          <w:cantSplit w:val="0"/>
        </w:trPr>
        <w:tc>
          <w:tcPr>
            <w:tcW w:w="1103" w:type="pct"/>
          </w:tcPr>
          <w:p w14:paraId="23796516" w14:textId="77777777" w:rsidR="00C33739" w:rsidRPr="00D835EA" w:rsidRDefault="00C33739" w:rsidP="005C1F5F">
            <w:bookmarkStart w:id="12" w:name="ColumnTitle_3"/>
            <w:r w:rsidRPr="00D835EA">
              <w:t>Measures</w:t>
            </w:r>
          </w:p>
        </w:tc>
        <w:tc>
          <w:tcPr>
            <w:tcW w:w="1932" w:type="pct"/>
          </w:tcPr>
          <w:p w14:paraId="0327BA4A" w14:textId="77777777" w:rsidR="00C33739" w:rsidRPr="00D835EA" w:rsidRDefault="00C33739" w:rsidP="005C1F5F">
            <w:r w:rsidRPr="00D835EA">
              <w:t>Outcomes</w:t>
            </w:r>
          </w:p>
        </w:tc>
        <w:tc>
          <w:tcPr>
            <w:tcW w:w="883" w:type="pct"/>
          </w:tcPr>
          <w:p w14:paraId="26224C53" w14:textId="77777777" w:rsidR="00C33739" w:rsidRPr="00D835EA" w:rsidRDefault="00C33739" w:rsidP="005C1F5F">
            <w:r w:rsidRPr="00D835EA">
              <w:t>Timeline</w:t>
            </w:r>
          </w:p>
        </w:tc>
        <w:tc>
          <w:tcPr>
            <w:tcW w:w="1082" w:type="pct"/>
          </w:tcPr>
          <w:p w14:paraId="0CD6E2C6" w14:textId="77777777" w:rsidR="00C33739" w:rsidRPr="00D835EA" w:rsidRDefault="00C33739" w:rsidP="005C1F5F">
            <w:r w:rsidRPr="00D835EA">
              <w:t>Accountability</w:t>
            </w:r>
          </w:p>
        </w:tc>
      </w:tr>
      <w:bookmarkEnd w:id="12"/>
      <w:tr w:rsidR="00C33739" w:rsidRPr="00D835EA" w14:paraId="361FAB71" w14:textId="77777777" w:rsidTr="00C05C92">
        <w:trPr>
          <w:cantSplit w:val="0"/>
        </w:trPr>
        <w:tc>
          <w:tcPr>
            <w:tcW w:w="1103" w:type="pct"/>
          </w:tcPr>
          <w:p w14:paraId="1E7C564E" w14:textId="7F592E26" w:rsidR="00C33739" w:rsidRPr="00D835EA" w:rsidRDefault="00C33739" w:rsidP="00C33739">
            <w:r>
              <w:t xml:space="preserve">2. 1 </w:t>
            </w:r>
            <w:r w:rsidRPr="00D835EA">
              <w:t>Respond to and prevent sexual harassment in the workplace.</w:t>
            </w:r>
          </w:p>
        </w:tc>
        <w:tc>
          <w:tcPr>
            <w:tcW w:w="1932" w:type="pct"/>
          </w:tcPr>
          <w:p w14:paraId="1B4C75DF" w14:textId="0A4515C3" w:rsidR="00C33739" w:rsidRPr="00D835EA" w:rsidRDefault="00C33739" w:rsidP="0091654B">
            <w:pPr>
              <w:spacing w:after="160"/>
            </w:pPr>
            <w:r w:rsidRPr="00D835EA">
              <w:t xml:space="preserve">Implementation of the 11 </w:t>
            </w:r>
            <w:r w:rsidR="00E24D51">
              <w:t>Court Services Victoria</w:t>
            </w:r>
            <w:r w:rsidRPr="00D835EA">
              <w:t xml:space="preserve"> recommendations from the Review of Sexual Harassment in Victorian Courts and </w:t>
            </w:r>
            <w:r w:rsidR="00E24D51">
              <w:t>Victorian Civil and Administrative Tribunal</w:t>
            </w:r>
            <w:r w:rsidRPr="00D835EA">
              <w:t xml:space="preserve"> including:</w:t>
            </w:r>
          </w:p>
          <w:p w14:paraId="5F52AE79" w14:textId="77777777" w:rsidR="00C33739" w:rsidRPr="00D835EA" w:rsidRDefault="00C33739" w:rsidP="0091654B">
            <w:pPr>
              <w:spacing w:after="160"/>
            </w:pPr>
            <w:r w:rsidRPr="00D835EA">
              <w:t>Consistently and visibly champion a healthy, positive workplace culture in all jurisdictions and adopt strategies to prevent sexual harassment</w:t>
            </w:r>
          </w:p>
          <w:p w14:paraId="01FC3639" w14:textId="77777777" w:rsidR="00C33739" w:rsidRPr="00D835EA" w:rsidRDefault="00C33739" w:rsidP="0091654B">
            <w:pPr>
              <w:spacing w:after="160"/>
            </w:pPr>
            <w:r w:rsidRPr="00D835EA">
              <w:t xml:space="preserve">Develop, </w:t>
            </w:r>
            <w:proofErr w:type="gramStart"/>
            <w:r w:rsidRPr="00D835EA">
              <w:t>promote</w:t>
            </w:r>
            <w:proofErr w:type="gramEnd"/>
            <w:r w:rsidRPr="00D835EA">
              <w:t xml:space="preserve"> and implement a sexual harassment policy that covers all staff and contractors</w:t>
            </w:r>
          </w:p>
          <w:p w14:paraId="43B8C927" w14:textId="6E4DEBC4" w:rsidR="00C33739" w:rsidRPr="00D835EA" w:rsidRDefault="00C33739" w:rsidP="0091654B">
            <w:pPr>
              <w:spacing w:after="160"/>
            </w:pPr>
            <w:r w:rsidRPr="00D835EA">
              <w:t xml:space="preserve">Undertake a risk assessment of </w:t>
            </w:r>
            <w:r w:rsidR="00E24D51">
              <w:t>Court Services Victoria</w:t>
            </w:r>
            <w:r w:rsidRPr="00D835EA">
              <w:t xml:space="preserve">, the courts and </w:t>
            </w:r>
            <w:r w:rsidR="00E24D51">
              <w:t>Victorian Civil and Administrative Tribunal</w:t>
            </w:r>
            <w:r w:rsidRPr="00D835EA">
              <w:t xml:space="preserve">, to identify and assess all sexual harassment </w:t>
            </w:r>
            <w:r w:rsidRPr="00D835EA">
              <w:lastRenderedPageBreak/>
              <w:t>work hazards, using a work health and safety risk framework</w:t>
            </w:r>
          </w:p>
          <w:p w14:paraId="2309A999" w14:textId="77777777" w:rsidR="00C33739" w:rsidRPr="00D835EA" w:rsidRDefault="00C33739" w:rsidP="0091654B">
            <w:pPr>
              <w:spacing w:after="160"/>
            </w:pPr>
            <w:r w:rsidRPr="00D835EA">
              <w:t xml:space="preserve">Review and make recommendations to the Courts Council on the recruitment processes and working arrangements for staff who work in a primary relationship with judicial officers, including associates, </w:t>
            </w:r>
            <w:proofErr w:type="gramStart"/>
            <w:r w:rsidRPr="00D835EA">
              <w:t>tipstaves</w:t>
            </w:r>
            <w:proofErr w:type="gramEnd"/>
            <w:r w:rsidRPr="00D835EA">
              <w:t xml:space="preserve"> and clerks</w:t>
            </w:r>
          </w:p>
          <w:p w14:paraId="44BC278D" w14:textId="77777777" w:rsidR="00C33739" w:rsidRPr="00D835EA" w:rsidRDefault="00C33739" w:rsidP="0091654B">
            <w:pPr>
              <w:spacing w:after="160"/>
            </w:pPr>
            <w:r w:rsidRPr="00D835EA">
              <w:t>Adopt victim</w:t>
            </w:r>
            <w:r w:rsidRPr="00D835EA">
              <w:rPr>
                <w:rFonts w:ascii="Cambria Math" w:hAnsi="Cambria Math" w:cs="Cambria Math"/>
              </w:rPr>
              <w:t>‑</w:t>
            </w:r>
            <w:r w:rsidRPr="00D835EA">
              <w:t>survivor</w:t>
            </w:r>
            <w:r w:rsidRPr="00D835EA">
              <w:rPr>
                <w:rFonts w:ascii="Arial" w:hAnsi="Arial"/>
              </w:rPr>
              <w:t>–</w:t>
            </w:r>
            <w:r w:rsidRPr="00D835EA">
              <w:t>centred responses to gender</w:t>
            </w:r>
            <w:r w:rsidRPr="00D835EA">
              <w:rPr>
                <w:rFonts w:ascii="Cambria Math" w:hAnsi="Cambria Math" w:cs="Cambria Math"/>
              </w:rPr>
              <w:t>‑</w:t>
            </w:r>
            <w:r w:rsidRPr="00D835EA">
              <w:t>related misconduct that prioritise the safety and wellbeing of the victim</w:t>
            </w:r>
            <w:r w:rsidRPr="00D835EA">
              <w:rPr>
                <w:rFonts w:ascii="Cambria Math" w:hAnsi="Cambria Math" w:cs="Cambria Math"/>
              </w:rPr>
              <w:t>‑</w:t>
            </w:r>
            <w:r w:rsidRPr="00D835EA">
              <w:t>survivor and provide multiple channels and support for reporting gender</w:t>
            </w:r>
            <w:r w:rsidRPr="00D835EA">
              <w:rPr>
                <w:rFonts w:ascii="Cambria Math" w:hAnsi="Cambria Math" w:cs="Cambria Math"/>
              </w:rPr>
              <w:t>‑</w:t>
            </w:r>
            <w:r w:rsidRPr="00D835EA">
              <w:t>related misconduct, including sexual harassment</w:t>
            </w:r>
          </w:p>
          <w:p w14:paraId="01462551" w14:textId="312B39CD" w:rsidR="00C33739" w:rsidRPr="00D835EA" w:rsidRDefault="00C33739" w:rsidP="0091654B">
            <w:pPr>
              <w:spacing w:after="160"/>
            </w:pPr>
            <w:r w:rsidRPr="00D835EA">
              <w:t>Develop a coordinated awareness</w:t>
            </w:r>
            <w:r w:rsidRPr="00D835EA">
              <w:rPr>
                <w:rFonts w:ascii="Cambria Math" w:hAnsi="Cambria Math" w:cs="Cambria Math"/>
              </w:rPr>
              <w:t>‑</w:t>
            </w:r>
            <w:r w:rsidRPr="00D835EA">
              <w:t xml:space="preserve">raising campaign for the Courts, </w:t>
            </w:r>
            <w:r w:rsidR="00E24D51">
              <w:t>Victorian Civil and Administrative Tribunal</w:t>
            </w:r>
            <w:r w:rsidRPr="00D835EA">
              <w:t xml:space="preserve"> and the wider legal profession on appropriate behaviour within the courts and </w:t>
            </w:r>
            <w:r w:rsidR="00E24D51">
              <w:t>Victorian Civil and Administrative Tribunal</w:t>
            </w:r>
          </w:p>
          <w:p w14:paraId="7B1246C6" w14:textId="3A97E9E8" w:rsidR="00C33739" w:rsidRPr="00D835EA" w:rsidRDefault="00C33739" w:rsidP="0091654B">
            <w:pPr>
              <w:spacing w:after="160"/>
            </w:pPr>
            <w:r w:rsidRPr="00D835EA">
              <w:t xml:space="preserve">Provide targeted sexual harassment, gender inequality and discrimination training to all </w:t>
            </w:r>
            <w:r w:rsidR="00E24D51">
              <w:t>Court Services Victoria</w:t>
            </w:r>
            <w:r w:rsidRPr="00D835EA">
              <w:t xml:space="preserve"> staff and contractors that is delivered by independent experts</w:t>
            </w:r>
          </w:p>
          <w:p w14:paraId="07321C89" w14:textId="77777777" w:rsidR="00C33739" w:rsidRPr="00D835EA" w:rsidRDefault="00C33739" w:rsidP="0091654B">
            <w:pPr>
              <w:spacing w:after="160"/>
            </w:pPr>
            <w:r w:rsidRPr="00D835EA">
              <w:t>Appoint an additional person with specific expertise in the prevention of sexual harassment and organisational change to join the Human Resources Committee of the Courts Council</w:t>
            </w:r>
          </w:p>
          <w:p w14:paraId="287D6380" w14:textId="7B0791A3" w:rsidR="00C33739" w:rsidRPr="00D835EA" w:rsidRDefault="00C33739" w:rsidP="0091654B">
            <w:pPr>
              <w:spacing w:after="160"/>
            </w:pPr>
            <w:r w:rsidRPr="00D835EA">
              <w:t xml:space="preserve">Conduct an annual anonymous survey of all court and </w:t>
            </w:r>
            <w:r w:rsidR="00E24D51">
              <w:t>Victorian Civil and Administrative Tribunal</w:t>
            </w:r>
            <w:r w:rsidRPr="00D835EA">
              <w:t xml:space="preserve"> user groups to track progress on incidents of sexual harassment, reporting of incidents, and action by bystanders in the courts and </w:t>
            </w:r>
            <w:r w:rsidR="00E24D51">
              <w:t>Victorian Civil and Administrative Tribunal</w:t>
            </w:r>
          </w:p>
          <w:p w14:paraId="6D5EF406" w14:textId="77777777" w:rsidR="00C33739" w:rsidRPr="00D835EA" w:rsidRDefault="00C33739" w:rsidP="0091654B">
            <w:pPr>
              <w:spacing w:after="160"/>
            </w:pPr>
            <w:r w:rsidRPr="00D835EA">
              <w:t xml:space="preserve">Embed performance metrics for people managers and supervisors </w:t>
            </w:r>
            <w:r w:rsidRPr="00D835EA">
              <w:lastRenderedPageBreak/>
              <w:t>with accountability to effectively prevent, detect and respond to any sexual harassment, and take a victim</w:t>
            </w:r>
            <w:r w:rsidRPr="00D835EA">
              <w:rPr>
                <w:rFonts w:ascii="Cambria Math" w:hAnsi="Cambria Math" w:cs="Cambria Math"/>
              </w:rPr>
              <w:t>‑</w:t>
            </w:r>
            <w:r w:rsidRPr="00D835EA">
              <w:t xml:space="preserve"> survivor–centred approach in their responses</w:t>
            </w:r>
          </w:p>
          <w:p w14:paraId="2B8E7276" w14:textId="6EC471CE" w:rsidR="00C33739" w:rsidRPr="00D835EA" w:rsidRDefault="00C33739" w:rsidP="0091654B">
            <w:pPr>
              <w:spacing w:after="160"/>
            </w:pPr>
            <w:r w:rsidRPr="00D835EA">
              <w:t>Commission an independent audit of the implementation of the Review</w:t>
            </w:r>
            <w:r>
              <w:t xml:space="preserve"> </w:t>
            </w:r>
            <w:r w:rsidRPr="00D835EA">
              <w:t>recommendations and the effectiveness of the interventions implemented and make the audit report public</w:t>
            </w:r>
          </w:p>
        </w:tc>
        <w:tc>
          <w:tcPr>
            <w:tcW w:w="883" w:type="pct"/>
          </w:tcPr>
          <w:p w14:paraId="12C9D3D7" w14:textId="014ECDC5" w:rsidR="00C33739" w:rsidRPr="00D835EA" w:rsidRDefault="00C33739" w:rsidP="00C33739">
            <w:r w:rsidRPr="00D835EA">
              <w:lastRenderedPageBreak/>
              <w:t>Commenced 2021 and ongoing</w:t>
            </w:r>
          </w:p>
        </w:tc>
        <w:tc>
          <w:tcPr>
            <w:tcW w:w="1082" w:type="pct"/>
          </w:tcPr>
          <w:p w14:paraId="4738C1A1" w14:textId="77777777" w:rsidR="00C33739" w:rsidRPr="00D835EA" w:rsidRDefault="00C33739" w:rsidP="00C33739">
            <w:r w:rsidRPr="00D835EA">
              <w:t>People and Culture</w:t>
            </w:r>
          </w:p>
          <w:p w14:paraId="676906C4" w14:textId="77777777" w:rsidR="00C33739" w:rsidRPr="00D835EA" w:rsidRDefault="00C33739" w:rsidP="00C33739">
            <w:r w:rsidRPr="00D835EA">
              <w:t>Projects and Business Improvement Services</w:t>
            </w:r>
          </w:p>
          <w:p w14:paraId="321A4D99" w14:textId="43358B3C" w:rsidR="00C33739" w:rsidRPr="00D835EA" w:rsidRDefault="00C33739" w:rsidP="00C33739">
            <w:r w:rsidRPr="00D835EA">
              <w:t>Performance and Planning</w:t>
            </w:r>
          </w:p>
        </w:tc>
      </w:tr>
      <w:tr w:rsidR="00C33739" w:rsidRPr="00D835EA" w14:paraId="61599112" w14:textId="77777777" w:rsidTr="00C05C92">
        <w:trPr>
          <w:cantSplit w:val="0"/>
        </w:trPr>
        <w:tc>
          <w:tcPr>
            <w:tcW w:w="1103" w:type="pct"/>
          </w:tcPr>
          <w:p w14:paraId="2FFF3797" w14:textId="7D74FE4B" w:rsidR="00C33739" w:rsidRPr="00D835EA" w:rsidRDefault="00C33739" w:rsidP="00C33739">
            <w:r>
              <w:lastRenderedPageBreak/>
              <w:t xml:space="preserve">2.2 </w:t>
            </w:r>
            <w:r w:rsidRPr="00D835EA">
              <w:t xml:space="preserve">Review and develop policies, </w:t>
            </w:r>
            <w:proofErr w:type="gramStart"/>
            <w:r w:rsidRPr="00D835EA">
              <w:t>processes</w:t>
            </w:r>
            <w:proofErr w:type="gramEnd"/>
            <w:r w:rsidRPr="00D835EA">
              <w:t xml:space="preserve"> and guidelines to address inappropriate workplace behaviours.</w:t>
            </w:r>
          </w:p>
        </w:tc>
        <w:tc>
          <w:tcPr>
            <w:tcW w:w="1932" w:type="pct"/>
          </w:tcPr>
          <w:p w14:paraId="0C4C84CD" w14:textId="77777777" w:rsidR="00C33739" w:rsidRPr="00D835EA" w:rsidRDefault="00C33739" w:rsidP="00C33739">
            <w:r w:rsidRPr="00D835EA">
              <w:t>A Bullying, discrimination, harassment and victimisation policy and associated training and education is developed and implemented as part of the sexual harassment program</w:t>
            </w:r>
            <w:r>
              <w:t xml:space="preserve"> </w:t>
            </w:r>
            <w:r w:rsidRPr="00D835EA">
              <w:t>of work.</w:t>
            </w:r>
          </w:p>
          <w:p w14:paraId="6D047910" w14:textId="6E8F6DBC" w:rsidR="00C33739" w:rsidRPr="00D835EA" w:rsidRDefault="00C33739" w:rsidP="00C33739">
            <w:r w:rsidRPr="00D835EA">
              <w:t>A revised expanded victim</w:t>
            </w:r>
            <w:r w:rsidRPr="00D835EA">
              <w:rPr>
                <w:rFonts w:ascii="Cambria Math" w:hAnsi="Cambria Math" w:cs="Cambria Math"/>
              </w:rPr>
              <w:t>‑</w:t>
            </w:r>
            <w:r w:rsidRPr="00D835EA">
              <w:t>centred complaints process is developed and implemented.</w:t>
            </w:r>
          </w:p>
        </w:tc>
        <w:tc>
          <w:tcPr>
            <w:tcW w:w="883" w:type="pct"/>
          </w:tcPr>
          <w:p w14:paraId="5FA55984" w14:textId="0F71A728" w:rsidR="00C33739" w:rsidRPr="00D835EA" w:rsidRDefault="00C33739" w:rsidP="00C33739">
            <w:r w:rsidRPr="00D835EA">
              <w:t>Commenced 2021</w:t>
            </w:r>
          </w:p>
        </w:tc>
        <w:tc>
          <w:tcPr>
            <w:tcW w:w="1082" w:type="pct"/>
          </w:tcPr>
          <w:p w14:paraId="162665B4" w14:textId="77777777" w:rsidR="00C33739" w:rsidRPr="00D835EA" w:rsidRDefault="00C33739" w:rsidP="00C33739">
            <w:r w:rsidRPr="00D835EA">
              <w:t>Sexual Harassment and Respect team</w:t>
            </w:r>
          </w:p>
          <w:p w14:paraId="6567FCC9" w14:textId="5A185865" w:rsidR="00C33739" w:rsidRPr="00D835EA" w:rsidRDefault="00C33739" w:rsidP="00C33739">
            <w:r w:rsidRPr="00D835EA">
              <w:t>People and Culture</w:t>
            </w:r>
          </w:p>
        </w:tc>
      </w:tr>
      <w:tr w:rsidR="00C33739" w:rsidRPr="00D835EA" w14:paraId="1623C5A6" w14:textId="77777777" w:rsidTr="00C05C92">
        <w:trPr>
          <w:cantSplit w:val="0"/>
        </w:trPr>
        <w:tc>
          <w:tcPr>
            <w:tcW w:w="1103" w:type="pct"/>
          </w:tcPr>
          <w:p w14:paraId="3097AF4E" w14:textId="75622680" w:rsidR="00C33739" w:rsidRDefault="00C33739" w:rsidP="00C33739">
            <w:r>
              <w:t xml:space="preserve">2. 2 </w:t>
            </w:r>
            <w:r w:rsidRPr="00D835EA">
              <w:t xml:space="preserve">Review and develop policies, </w:t>
            </w:r>
            <w:proofErr w:type="gramStart"/>
            <w:r w:rsidRPr="00D835EA">
              <w:t>processes</w:t>
            </w:r>
            <w:proofErr w:type="gramEnd"/>
            <w:r w:rsidRPr="00D835EA">
              <w:t xml:space="preserve"> and guidelines to address inappropriate workplace behaviours.</w:t>
            </w:r>
          </w:p>
        </w:tc>
        <w:tc>
          <w:tcPr>
            <w:tcW w:w="1932" w:type="pct"/>
          </w:tcPr>
          <w:p w14:paraId="462D1169" w14:textId="516BFB5A" w:rsidR="00C33739" w:rsidRPr="00D835EA" w:rsidRDefault="00C33739" w:rsidP="00C33739">
            <w:r w:rsidRPr="00D835EA">
              <w:t>Increased percentage of respondents rating relevant People Matter Survey (or equivalent) items favourably.</w:t>
            </w:r>
          </w:p>
        </w:tc>
        <w:tc>
          <w:tcPr>
            <w:tcW w:w="883" w:type="pct"/>
          </w:tcPr>
          <w:p w14:paraId="4A01CD53" w14:textId="36969977" w:rsidR="00C33739" w:rsidRPr="00D835EA" w:rsidRDefault="00C33739" w:rsidP="00C33739">
            <w:r w:rsidRPr="00D835EA">
              <w:t>2023</w:t>
            </w:r>
          </w:p>
        </w:tc>
        <w:tc>
          <w:tcPr>
            <w:tcW w:w="1082" w:type="pct"/>
          </w:tcPr>
          <w:p w14:paraId="4A8A480A" w14:textId="77777777" w:rsidR="00C33739" w:rsidRPr="00D835EA" w:rsidRDefault="00C33739" w:rsidP="00C33739">
            <w:r w:rsidRPr="00D835EA">
              <w:t>Sexual Harassment and Respect team</w:t>
            </w:r>
          </w:p>
          <w:p w14:paraId="422EBD5F" w14:textId="35FA915C" w:rsidR="00C33739" w:rsidRPr="00D835EA" w:rsidRDefault="00C33739" w:rsidP="00C33739">
            <w:r w:rsidRPr="00D835EA">
              <w:t>People and Culture</w:t>
            </w:r>
          </w:p>
        </w:tc>
      </w:tr>
    </w:tbl>
    <w:p w14:paraId="43C7BCF7" w14:textId="77777777" w:rsidR="008905F0" w:rsidRPr="00B44319" w:rsidRDefault="008905F0" w:rsidP="00B44319">
      <w:pPr>
        <w:pStyle w:val="Heading2"/>
      </w:pPr>
      <w:bookmarkStart w:id="13" w:name="_Toc110508767"/>
      <w:r w:rsidRPr="00B44319">
        <w:t>Enhance objectivity and transparency in recruitment and promotion practices</w:t>
      </w:r>
      <w:bookmarkEnd w:id="13"/>
    </w:p>
    <w:p w14:paraId="60A934E2" w14:textId="0D0B6334" w:rsidR="008905F0" w:rsidRPr="00D835EA" w:rsidRDefault="008905F0" w:rsidP="008905F0">
      <w:pPr>
        <w:pStyle w:val="BodyText"/>
      </w:pPr>
      <w:r w:rsidRPr="00D835EA">
        <w:t xml:space="preserve">Almost 70% of new starters between 1 July 2020 and 30 June 2021 were women and approximately 30% were men which was consistent with </w:t>
      </w:r>
      <w:r w:rsidR="00E24D51">
        <w:t>Court Services Victoria</w:t>
      </w:r>
      <w:r w:rsidRPr="00D835EA">
        <w:t>’s overall gender representation.</w:t>
      </w:r>
    </w:p>
    <w:p w14:paraId="565EA42F" w14:textId="77777777" w:rsidR="008905F0" w:rsidRPr="00D835EA" w:rsidRDefault="008905F0" w:rsidP="008905F0">
      <w:pPr>
        <w:pStyle w:val="BodyText"/>
      </w:pPr>
      <w:r w:rsidRPr="00D835EA">
        <w:t>The People Matter Survey items most closely related to this strategy reveal a significant level of employee dissatisfaction with current recruitment and promotion practices:</w:t>
      </w:r>
    </w:p>
    <w:p w14:paraId="56705869" w14:textId="31F1256A" w:rsidR="00C33739" w:rsidRPr="00C33739" w:rsidRDefault="00C33739" w:rsidP="00393022">
      <w:pPr>
        <w:pStyle w:val="ListBullet"/>
      </w:pPr>
      <w:r w:rsidRPr="00C33739">
        <w:t xml:space="preserve">‘I feel I have an equal chance at promotion in my organisation’ </w:t>
      </w:r>
      <w:r>
        <w:br/>
      </w:r>
      <w:r w:rsidRPr="00C33739">
        <w:t>39% favourable responses)</w:t>
      </w:r>
    </w:p>
    <w:p w14:paraId="2ABD2443" w14:textId="17A2163F" w:rsidR="00C33739" w:rsidRPr="00C33739" w:rsidRDefault="00C33739" w:rsidP="004065A5">
      <w:pPr>
        <w:pStyle w:val="ListBullet"/>
      </w:pPr>
      <w:r w:rsidRPr="00C33739">
        <w:t xml:space="preserve">‘My organisation makes fair recruitment and promotion decisions, based on merit’ </w:t>
      </w:r>
      <w:r>
        <w:br/>
      </w:r>
      <w:r w:rsidRPr="00C33739">
        <w:t>(49% favourable responses)</w:t>
      </w:r>
    </w:p>
    <w:p w14:paraId="5140F389" w14:textId="3194799E" w:rsidR="008905F0" w:rsidRPr="00D835EA" w:rsidRDefault="008905F0" w:rsidP="008905F0">
      <w:pPr>
        <w:pStyle w:val="BodyText"/>
      </w:pPr>
      <w:r w:rsidRPr="00D835EA">
        <w:t>Further to this, during consultation workshops, many employees expressed a desire to see more targeted recruitment taking place in order that the workforce more closely resembles the community it serves, especially for public</w:t>
      </w:r>
      <w:r w:rsidRPr="00D835EA">
        <w:rPr>
          <w:rFonts w:ascii="Cambria Math" w:hAnsi="Cambria Math" w:cs="Cambria Math"/>
        </w:rPr>
        <w:t>‑</w:t>
      </w:r>
      <w:r w:rsidRPr="00D835EA">
        <w:t xml:space="preserve">facing roles in the courts. While increasing the diversity of candidate pools and shortlists is a good first step, our strategy also involves measures to </w:t>
      </w:r>
      <w:r w:rsidRPr="00D835EA">
        <w:lastRenderedPageBreak/>
        <w:t>support managers to make more objective hiring and promotion decisions. Increasing objectivity and transparency during recruitment and</w:t>
      </w:r>
      <w:r w:rsidR="002277AE">
        <w:t xml:space="preserve"> </w:t>
      </w:r>
      <w:r w:rsidRPr="00D835EA">
        <w:t>promotion is a strategy that will further enhance our shift toward a more psychologically safe workplace culture as it will increase trust around recruitment and promotion decisions.</w:t>
      </w:r>
    </w:p>
    <w:p w14:paraId="762A44B0" w14:textId="083BDE38" w:rsidR="008905F0" w:rsidRPr="00D835EA" w:rsidRDefault="008905F0" w:rsidP="008905F0">
      <w:pPr>
        <w:pStyle w:val="BodyText"/>
      </w:pPr>
      <w:r w:rsidRPr="00D835EA">
        <w:t>Additionally, appointment processes related to our governing body in the context of gender</w:t>
      </w:r>
      <w:r w:rsidR="00C47EB2">
        <w:t xml:space="preserve"> </w:t>
      </w:r>
      <w:r w:rsidRPr="00D835EA">
        <w:t xml:space="preserve">representation were also considered. The governing body for </w:t>
      </w:r>
      <w:r w:rsidR="00E24D51">
        <w:t>Court Services Victoria</w:t>
      </w:r>
      <w:r w:rsidRPr="00D835EA">
        <w:t xml:space="preserve"> is Courts Council which is comprised of the Heads of Jurisdiction and up to two other persons appointed by the judicial members of Courts Council. As the Heads of Jurisdiction are statutory appointees, direct influence by </w:t>
      </w:r>
      <w:r w:rsidR="00E24D51">
        <w:t>Court Services Victoria</w:t>
      </w:r>
      <w:r w:rsidRPr="00D835EA">
        <w:t xml:space="preserve"> over the gender composition of its governing body is limited to the appointment of up to two independent members.</w:t>
      </w:r>
    </w:p>
    <w:p w14:paraId="4E9A041B" w14:textId="0155520C" w:rsidR="008905F0" w:rsidRPr="00D835EA" w:rsidRDefault="00F65DD7" w:rsidP="008905F0">
      <w:pPr>
        <w:pStyle w:val="BodyText"/>
      </w:pPr>
      <w:r>
        <w:fldChar w:fldCharType="begin"/>
      </w:r>
      <w:r>
        <w:instrText xml:space="preserve"> REF _Ref110506046 \h </w:instrText>
      </w:r>
      <w:r>
        <w:fldChar w:fldCharType="separate"/>
      </w:r>
      <w:r w:rsidR="00561567">
        <w:t xml:space="preserve">Table </w:t>
      </w:r>
      <w:r w:rsidR="00561567">
        <w:rPr>
          <w:noProof/>
        </w:rPr>
        <w:t>4</w:t>
      </w:r>
      <w:r>
        <w:fldChar w:fldCharType="end"/>
      </w:r>
      <w:r w:rsidR="008905F0" w:rsidRPr="00D835EA">
        <w:t xml:space="preserve"> summarises the measures we will undertake to enhance objectivity and transparency in recruitment and promotion practices.</w:t>
      </w:r>
    </w:p>
    <w:p w14:paraId="059C5681" w14:textId="58408027" w:rsidR="008905F0" w:rsidRPr="00D835EA" w:rsidRDefault="00F65DD7" w:rsidP="00F65DD7">
      <w:pPr>
        <w:pStyle w:val="Caption"/>
      </w:pPr>
      <w:bookmarkStart w:id="14" w:name="_Ref110506046"/>
      <w:r>
        <w:t xml:space="preserve">Table </w:t>
      </w:r>
      <w:fldSimple w:instr=" SEQ Table \* ARABIC ">
        <w:r w:rsidR="00561567">
          <w:rPr>
            <w:noProof/>
          </w:rPr>
          <w:t>4</w:t>
        </w:r>
      </w:fldSimple>
      <w:bookmarkEnd w:id="14"/>
      <w:r w:rsidR="008905F0" w:rsidRPr="00D835EA">
        <w:t>: Measures to enhance objectivity and transparency in recruitment and promotion practices</w:t>
      </w:r>
    </w:p>
    <w:tbl>
      <w:tblPr>
        <w:tblStyle w:val="TableGrid"/>
        <w:tblW w:w="5000" w:type="pct"/>
        <w:tblLook w:val="0620" w:firstRow="1" w:lastRow="0" w:firstColumn="0" w:lastColumn="0" w:noHBand="1" w:noVBand="1"/>
      </w:tblPr>
      <w:tblGrid>
        <w:gridCol w:w="2409"/>
        <w:gridCol w:w="3433"/>
        <w:gridCol w:w="1699"/>
        <w:gridCol w:w="2080"/>
      </w:tblGrid>
      <w:tr w:rsidR="00F65DD7" w:rsidRPr="00D835EA" w14:paraId="27DB6341" w14:textId="77777777" w:rsidTr="0091654B">
        <w:trPr>
          <w:cnfStyle w:val="100000000000" w:firstRow="1" w:lastRow="0" w:firstColumn="0" w:lastColumn="0" w:oddVBand="0" w:evenVBand="0" w:oddHBand="0" w:evenHBand="0" w:firstRowFirstColumn="0" w:firstRowLastColumn="0" w:lastRowFirstColumn="0" w:lastRowLastColumn="0"/>
        </w:trPr>
        <w:tc>
          <w:tcPr>
            <w:tcW w:w="1252" w:type="pct"/>
          </w:tcPr>
          <w:p w14:paraId="39918354" w14:textId="77777777" w:rsidR="00F65DD7" w:rsidRPr="00D835EA" w:rsidRDefault="00F65DD7" w:rsidP="00E4684C">
            <w:bookmarkStart w:id="15" w:name="ColumnTitle_4"/>
            <w:r w:rsidRPr="00D835EA">
              <w:t>Measures</w:t>
            </w:r>
          </w:p>
        </w:tc>
        <w:tc>
          <w:tcPr>
            <w:tcW w:w="1784" w:type="pct"/>
          </w:tcPr>
          <w:p w14:paraId="1E67F3BA" w14:textId="77777777" w:rsidR="00F65DD7" w:rsidRPr="00D835EA" w:rsidRDefault="00F65DD7" w:rsidP="00E4684C">
            <w:r w:rsidRPr="00D835EA">
              <w:t>Outcomes</w:t>
            </w:r>
          </w:p>
        </w:tc>
        <w:tc>
          <w:tcPr>
            <w:tcW w:w="883" w:type="pct"/>
          </w:tcPr>
          <w:p w14:paraId="14FDE19E" w14:textId="77777777" w:rsidR="00F65DD7" w:rsidRPr="00D835EA" w:rsidRDefault="00F65DD7" w:rsidP="00E4684C">
            <w:r w:rsidRPr="00D835EA">
              <w:t>Timeline</w:t>
            </w:r>
          </w:p>
        </w:tc>
        <w:tc>
          <w:tcPr>
            <w:tcW w:w="1082" w:type="pct"/>
          </w:tcPr>
          <w:p w14:paraId="6AC522F8" w14:textId="77777777" w:rsidR="00F65DD7" w:rsidRPr="00D835EA" w:rsidRDefault="00F65DD7" w:rsidP="00E4684C">
            <w:r w:rsidRPr="00D835EA">
              <w:t>Accountability</w:t>
            </w:r>
          </w:p>
        </w:tc>
      </w:tr>
      <w:bookmarkEnd w:id="15"/>
      <w:tr w:rsidR="00F65DD7" w:rsidRPr="00D835EA" w14:paraId="5A3A6910" w14:textId="77777777" w:rsidTr="0091654B">
        <w:tc>
          <w:tcPr>
            <w:tcW w:w="1252" w:type="pct"/>
          </w:tcPr>
          <w:p w14:paraId="6B48DE81" w14:textId="3BCD2570" w:rsidR="00F65DD7" w:rsidRPr="00D835EA" w:rsidRDefault="00F65DD7" w:rsidP="00E4684C">
            <w:r>
              <w:t xml:space="preserve">3.1 </w:t>
            </w:r>
            <w:r w:rsidRPr="00D835EA">
              <w:t>Actively support implementation of the Koori Employment Plan 2021</w:t>
            </w:r>
            <w:r w:rsidRPr="00D835EA">
              <w:rPr>
                <w:rFonts w:ascii="Cambria Math" w:hAnsi="Cambria Math" w:cs="Cambria Math"/>
              </w:rPr>
              <w:t>‑</w:t>
            </w:r>
            <w:r w:rsidRPr="00D835EA">
              <w:t>2025.</w:t>
            </w:r>
          </w:p>
        </w:tc>
        <w:tc>
          <w:tcPr>
            <w:tcW w:w="1784" w:type="pct"/>
          </w:tcPr>
          <w:p w14:paraId="658CDB72" w14:textId="77777777" w:rsidR="00F65DD7" w:rsidRPr="00D835EA" w:rsidRDefault="00F65DD7" w:rsidP="00E4684C">
            <w:r w:rsidRPr="00D835EA">
              <w:t>Progress as determined in the Koori Employment Plan 2021</w:t>
            </w:r>
            <w:r w:rsidRPr="00D835EA">
              <w:rPr>
                <w:rFonts w:ascii="Cambria Math" w:hAnsi="Cambria Math" w:cs="Cambria Math"/>
              </w:rPr>
              <w:t>‑</w:t>
            </w:r>
            <w:r w:rsidRPr="00D835EA">
              <w:t>2025.</w:t>
            </w:r>
          </w:p>
        </w:tc>
        <w:tc>
          <w:tcPr>
            <w:tcW w:w="883" w:type="pct"/>
          </w:tcPr>
          <w:p w14:paraId="67CB837F" w14:textId="77777777" w:rsidR="00F65DD7" w:rsidRPr="00D835EA" w:rsidRDefault="00F65DD7" w:rsidP="00E4684C">
            <w:r w:rsidRPr="00D835EA">
              <w:t>Commenced 2021</w:t>
            </w:r>
          </w:p>
        </w:tc>
        <w:tc>
          <w:tcPr>
            <w:tcW w:w="1082" w:type="pct"/>
          </w:tcPr>
          <w:p w14:paraId="05808C3C" w14:textId="77777777" w:rsidR="00F65DD7" w:rsidRPr="00D835EA" w:rsidRDefault="00F65DD7" w:rsidP="00E4684C">
            <w:proofErr w:type="spellStart"/>
            <w:r w:rsidRPr="00D835EA">
              <w:t>Dhumba</w:t>
            </w:r>
            <w:proofErr w:type="spellEnd"/>
            <w:r w:rsidRPr="00D835EA">
              <w:t xml:space="preserve"> </w:t>
            </w:r>
            <w:proofErr w:type="spellStart"/>
            <w:r w:rsidRPr="00D835EA">
              <w:t>Murmuk</w:t>
            </w:r>
            <w:proofErr w:type="spellEnd"/>
            <w:r w:rsidRPr="00D835EA">
              <w:t xml:space="preserve"> </w:t>
            </w:r>
            <w:proofErr w:type="spellStart"/>
            <w:r w:rsidRPr="00D835EA">
              <w:t>Djerring</w:t>
            </w:r>
            <w:proofErr w:type="spellEnd"/>
            <w:r w:rsidRPr="00D835EA">
              <w:t xml:space="preserve"> Unit</w:t>
            </w:r>
          </w:p>
          <w:p w14:paraId="2F909F42" w14:textId="77777777" w:rsidR="00F65DD7" w:rsidRPr="00D835EA" w:rsidRDefault="00F65DD7" w:rsidP="00E4684C">
            <w:r w:rsidRPr="00D835EA">
              <w:t>People and Culture</w:t>
            </w:r>
          </w:p>
        </w:tc>
      </w:tr>
      <w:tr w:rsidR="00F65DD7" w:rsidRPr="00D835EA" w14:paraId="1788F3FE" w14:textId="77777777" w:rsidTr="0091654B">
        <w:tc>
          <w:tcPr>
            <w:tcW w:w="1252" w:type="pct"/>
          </w:tcPr>
          <w:p w14:paraId="029BDEA3" w14:textId="383BE453" w:rsidR="00F65DD7" w:rsidRPr="00D835EA" w:rsidRDefault="00F65DD7" w:rsidP="00E4684C">
            <w:r>
              <w:t xml:space="preserve">3.2 </w:t>
            </w:r>
            <w:r w:rsidRPr="00D835EA">
              <w:t>Conduct an internal audit of end</w:t>
            </w:r>
            <w:r w:rsidRPr="00D835EA">
              <w:rPr>
                <w:rFonts w:ascii="Cambria Math" w:hAnsi="Cambria Math" w:cs="Cambria Math"/>
              </w:rPr>
              <w:t>‑</w:t>
            </w:r>
            <w:r w:rsidRPr="00D835EA">
              <w:t>to</w:t>
            </w:r>
            <w:r w:rsidRPr="00D835EA">
              <w:rPr>
                <w:rFonts w:ascii="Cambria Math" w:hAnsi="Cambria Math" w:cs="Cambria Math"/>
              </w:rPr>
              <w:t>‑</w:t>
            </w:r>
            <w:r w:rsidRPr="00D835EA">
              <w:t>end recruitment activities.</w:t>
            </w:r>
          </w:p>
        </w:tc>
        <w:tc>
          <w:tcPr>
            <w:tcW w:w="1784" w:type="pct"/>
          </w:tcPr>
          <w:p w14:paraId="30B8B768" w14:textId="77777777" w:rsidR="00F65DD7" w:rsidRPr="00D835EA" w:rsidRDefault="00F65DD7" w:rsidP="00E4684C">
            <w:r w:rsidRPr="00D835EA">
              <w:t>Management actions arising from the audit are agreed and implemented.</w:t>
            </w:r>
          </w:p>
        </w:tc>
        <w:tc>
          <w:tcPr>
            <w:tcW w:w="883" w:type="pct"/>
          </w:tcPr>
          <w:p w14:paraId="3960E05C" w14:textId="77777777" w:rsidR="00F65DD7" w:rsidRPr="00D835EA" w:rsidRDefault="00F65DD7" w:rsidP="00E4684C">
            <w:r w:rsidRPr="00D835EA">
              <w:t>2022 and ongoing</w:t>
            </w:r>
          </w:p>
        </w:tc>
        <w:tc>
          <w:tcPr>
            <w:tcW w:w="1082" w:type="pct"/>
          </w:tcPr>
          <w:p w14:paraId="548BF027" w14:textId="77777777" w:rsidR="00F65DD7" w:rsidRPr="00D835EA" w:rsidRDefault="00F65DD7" w:rsidP="00E4684C">
            <w:r w:rsidRPr="00D835EA">
              <w:t>People and Culture</w:t>
            </w:r>
          </w:p>
        </w:tc>
      </w:tr>
      <w:tr w:rsidR="00F65DD7" w:rsidRPr="00D835EA" w14:paraId="1A62A596" w14:textId="77777777" w:rsidTr="0091654B">
        <w:tc>
          <w:tcPr>
            <w:tcW w:w="1252" w:type="pct"/>
          </w:tcPr>
          <w:p w14:paraId="121068C3" w14:textId="6109DD3C" w:rsidR="00F65DD7" w:rsidRPr="00D835EA" w:rsidRDefault="00F65DD7" w:rsidP="00B44319">
            <w:r>
              <w:t xml:space="preserve">3.3 </w:t>
            </w:r>
            <w:r w:rsidRPr="00D835EA">
              <w:t xml:space="preserve">Review </w:t>
            </w:r>
            <w:r w:rsidR="00E24D51">
              <w:t>Court Services Victoria</w:t>
            </w:r>
            <w:r w:rsidRPr="00D835EA">
              <w:t xml:space="preserve"> Recruitment and Selection Policy and</w:t>
            </w:r>
            <w:r>
              <w:t xml:space="preserve"> </w:t>
            </w:r>
            <w:r w:rsidRPr="00D835EA">
              <w:t>supporting guidance materials to incorporate gender equality, gender pay equity principles and intersectionality principles and remove any barriers</w:t>
            </w:r>
            <w:r>
              <w:t xml:space="preserve"> </w:t>
            </w:r>
            <w:r w:rsidRPr="00D835EA">
              <w:t>to inclusion.</w:t>
            </w:r>
          </w:p>
        </w:tc>
        <w:tc>
          <w:tcPr>
            <w:tcW w:w="1784" w:type="pct"/>
          </w:tcPr>
          <w:p w14:paraId="199D2FB7" w14:textId="6D53620C" w:rsidR="00F65DD7" w:rsidRPr="00D835EA" w:rsidRDefault="00F65DD7" w:rsidP="00E4684C">
            <w:r w:rsidRPr="00D835EA">
              <w:t>Revised Recruitment and Selection Policy and supporting guidance materials</w:t>
            </w:r>
            <w:r>
              <w:t xml:space="preserve"> </w:t>
            </w:r>
            <w:r w:rsidRPr="00D835EA">
              <w:t>are implemented.</w:t>
            </w:r>
          </w:p>
          <w:p w14:paraId="3E3C4A7C" w14:textId="77777777" w:rsidR="00F65DD7" w:rsidRPr="00D835EA" w:rsidRDefault="00F65DD7" w:rsidP="00E4684C">
            <w:r w:rsidRPr="00D835EA">
              <w:t>Job design process is reviewed to ensure that application barriers are removed.</w:t>
            </w:r>
          </w:p>
          <w:p w14:paraId="2A024A12" w14:textId="0B956283" w:rsidR="00F65DD7" w:rsidRPr="00D835EA" w:rsidRDefault="00E24D51" w:rsidP="00E4684C">
            <w:r>
              <w:t>Court Services Victoria</w:t>
            </w:r>
            <w:r w:rsidR="00F65DD7" w:rsidRPr="00D835EA">
              <w:t>’s recruitment training program is reviewed and updated in alignment with the revised Recruitment and Selection Policy.</w:t>
            </w:r>
          </w:p>
        </w:tc>
        <w:tc>
          <w:tcPr>
            <w:tcW w:w="883" w:type="pct"/>
          </w:tcPr>
          <w:p w14:paraId="34E051E8" w14:textId="77777777" w:rsidR="00F65DD7" w:rsidRPr="00D835EA" w:rsidRDefault="00F65DD7" w:rsidP="00E4684C">
            <w:r w:rsidRPr="00D835EA">
              <w:t>2022</w:t>
            </w:r>
          </w:p>
        </w:tc>
        <w:tc>
          <w:tcPr>
            <w:tcW w:w="1082" w:type="pct"/>
          </w:tcPr>
          <w:p w14:paraId="1CB3020E" w14:textId="77777777" w:rsidR="00F65DD7" w:rsidRPr="00D835EA" w:rsidRDefault="00F65DD7" w:rsidP="00E4684C">
            <w:r w:rsidRPr="00D835EA">
              <w:t>People and Culture</w:t>
            </w:r>
          </w:p>
        </w:tc>
      </w:tr>
      <w:tr w:rsidR="00F65DD7" w:rsidRPr="00D835EA" w14:paraId="0125EC42" w14:textId="77777777" w:rsidTr="0091654B">
        <w:tc>
          <w:tcPr>
            <w:tcW w:w="1252" w:type="pct"/>
          </w:tcPr>
          <w:p w14:paraId="55D7C2AB" w14:textId="6E9063AC" w:rsidR="00F65DD7" w:rsidRPr="00D835EA" w:rsidRDefault="00F65DD7" w:rsidP="00E4684C">
            <w:r>
              <w:t xml:space="preserve">3.4 </w:t>
            </w:r>
            <w:r w:rsidRPr="00D835EA">
              <w:t>Review induction and onboarding processes and materials.</w:t>
            </w:r>
          </w:p>
        </w:tc>
        <w:tc>
          <w:tcPr>
            <w:tcW w:w="1784" w:type="pct"/>
          </w:tcPr>
          <w:p w14:paraId="5154105B" w14:textId="77777777" w:rsidR="00F65DD7" w:rsidRPr="00D835EA" w:rsidRDefault="00F65DD7" w:rsidP="00E4684C">
            <w:r w:rsidRPr="00D835EA">
              <w:t>Induction and onboarding processes and materials are updated to communicate workplace behavioural expectations and raise awareness of employee support mechanisms and resources.</w:t>
            </w:r>
          </w:p>
        </w:tc>
        <w:tc>
          <w:tcPr>
            <w:tcW w:w="883" w:type="pct"/>
          </w:tcPr>
          <w:p w14:paraId="21046507" w14:textId="77777777" w:rsidR="00F65DD7" w:rsidRPr="00D835EA" w:rsidRDefault="00F65DD7" w:rsidP="00E4684C">
            <w:r w:rsidRPr="00D835EA">
              <w:t>2022</w:t>
            </w:r>
          </w:p>
        </w:tc>
        <w:tc>
          <w:tcPr>
            <w:tcW w:w="1082" w:type="pct"/>
          </w:tcPr>
          <w:p w14:paraId="40A47B95" w14:textId="77777777" w:rsidR="00F65DD7" w:rsidRPr="00D835EA" w:rsidRDefault="00F65DD7" w:rsidP="00E4684C">
            <w:r w:rsidRPr="00D835EA">
              <w:t>People and Culture</w:t>
            </w:r>
          </w:p>
        </w:tc>
      </w:tr>
      <w:tr w:rsidR="00F65DD7" w:rsidRPr="00D835EA" w14:paraId="5D877CF9" w14:textId="77777777" w:rsidTr="0091654B">
        <w:tc>
          <w:tcPr>
            <w:tcW w:w="1252" w:type="pct"/>
          </w:tcPr>
          <w:p w14:paraId="45D6854A" w14:textId="1A02BF73" w:rsidR="00F65DD7" w:rsidRPr="00D835EA" w:rsidRDefault="00F65DD7" w:rsidP="00E4684C">
            <w:r>
              <w:lastRenderedPageBreak/>
              <w:t xml:space="preserve">3.5 </w:t>
            </w:r>
            <w:r w:rsidRPr="00D835EA">
              <w:t>Deliver unconscious bias training, initially targeting hiring managers and People &amp; Culture representatives, to mitigate against recruitment and promotion biases.</w:t>
            </w:r>
          </w:p>
        </w:tc>
        <w:tc>
          <w:tcPr>
            <w:tcW w:w="1784" w:type="pct"/>
          </w:tcPr>
          <w:p w14:paraId="51C4414F" w14:textId="77777777" w:rsidR="00F65DD7" w:rsidRPr="00D835EA" w:rsidRDefault="00F65DD7" w:rsidP="00E4684C">
            <w:r w:rsidRPr="00D835EA">
              <w:t>Unconscious bias training program is scoped and delivered.</w:t>
            </w:r>
          </w:p>
        </w:tc>
        <w:tc>
          <w:tcPr>
            <w:tcW w:w="883" w:type="pct"/>
          </w:tcPr>
          <w:p w14:paraId="710A588D" w14:textId="77777777" w:rsidR="00F65DD7" w:rsidRPr="00D835EA" w:rsidRDefault="00F65DD7" w:rsidP="00E4684C">
            <w:r w:rsidRPr="00D835EA">
              <w:t>Scope 2022</w:t>
            </w:r>
          </w:p>
          <w:p w14:paraId="34F405CB" w14:textId="77777777" w:rsidR="00F65DD7" w:rsidRPr="00D835EA" w:rsidRDefault="00F65DD7" w:rsidP="00E4684C">
            <w:r w:rsidRPr="00D835EA">
              <w:t>Pilot and rollout 2023 and ongoing</w:t>
            </w:r>
          </w:p>
        </w:tc>
        <w:tc>
          <w:tcPr>
            <w:tcW w:w="1082" w:type="pct"/>
          </w:tcPr>
          <w:p w14:paraId="108F1E3B" w14:textId="77777777" w:rsidR="00F65DD7" w:rsidRPr="00D835EA" w:rsidRDefault="00F65DD7" w:rsidP="00E4684C">
            <w:r w:rsidRPr="00D835EA">
              <w:t>People and Culture</w:t>
            </w:r>
          </w:p>
        </w:tc>
      </w:tr>
      <w:tr w:rsidR="00F65DD7" w:rsidRPr="00D835EA" w14:paraId="3B4966FD" w14:textId="77777777" w:rsidTr="0091654B">
        <w:tc>
          <w:tcPr>
            <w:tcW w:w="1252" w:type="pct"/>
          </w:tcPr>
          <w:p w14:paraId="68A7D136" w14:textId="0B23FAC8" w:rsidR="00F65DD7" w:rsidRPr="00D835EA" w:rsidRDefault="00F65DD7" w:rsidP="00E4684C">
            <w:r>
              <w:t xml:space="preserve">3.6 </w:t>
            </w:r>
            <w:r w:rsidRPr="00D835EA">
              <w:t>Implement inclusive recruitment practices to mitigate against stereotypes and biases.</w:t>
            </w:r>
          </w:p>
        </w:tc>
        <w:tc>
          <w:tcPr>
            <w:tcW w:w="1784" w:type="pct"/>
          </w:tcPr>
          <w:p w14:paraId="0911E8CD" w14:textId="77777777" w:rsidR="00F65DD7" w:rsidRPr="00D835EA" w:rsidRDefault="00F65DD7" w:rsidP="00E4684C">
            <w:r w:rsidRPr="00D835EA">
              <w:t>Gender balance and broader diversity of selection panels is expressly considered.</w:t>
            </w:r>
          </w:p>
          <w:p w14:paraId="0F1CAE55" w14:textId="77777777" w:rsidR="00F65DD7" w:rsidRPr="00D835EA" w:rsidRDefault="00F65DD7" w:rsidP="00E4684C">
            <w:r w:rsidRPr="00D835EA">
              <w:t>Inclusive best practice selection methods are utilised when engaging with recruitment agencies.</w:t>
            </w:r>
          </w:p>
        </w:tc>
        <w:tc>
          <w:tcPr>
            <w:tcW w:w="883" w:type="pct"/>
          </w:tcPr>
          <w:p w14:paraId="5A58ACA6" w14:textId="77777777" w:rsidR="00F65DD7" w:rsidRDefault="00F65DD7" w:rsidP="00E4684C">
            <w:pPr>
              <w:widowControl w:val="0"/>
              <w:autoSpaceDE w:val="0"/>
              <w:autoSpaceDN w:val="0"/>
              <w:spacing w:before="0" w:after="0" w:line="240" w:lineRule="auto"/>
            </w:pPr>
            <w:r w:rsidRPr="00D835EA">
              <w:t>2022</w:t>
            </w:r>
          </w:p>
          <w:p w14:paraId="16E437DF" w14:textId="77777777" w:rsidR="00F65DD7" w:rsidRPr="00D835EA" w:rsidRDefault="00F65DD7" w:rsidP="00E4684C">
            <w:r w:rsidRPr="00D835EA">
              <w:t>2023</w:t>
            </w:r>
          </w:p>
        </w:tc>
        <w:tc>
          <w:tcPr>
            <w:tcW w:w="1082" w:type="pct"/>
          </w:tcPr>
          <w:p w14:paraId="4C401823" w14:textId="77777777" w:rsidR="00F65DD7" w:rsidRPr="00D835EA" w:rsidRDefault="00F65DD7" w:rsidP="00E4684C">
            <w:r w:rsidRPr="00D835EA">
              <w:t>People and Culture</w:t>
            </w:r>
          </w:p>
          <w:p w14:paraId="51EAE469" w14:textId="77777777" w:rsidR="00F65DD7" w:rsidRPr="00D835EA" w:rsidRDefault="00F65DD7" w:rsidP="00E4684C">
            <w:r w:rsidRPr="00D835EA">
              <w:t>Hiring Managers</w:t>
            </w:r>
          </w:p>
        </w:tc>
      </w:tr>
      <w:tr w:rsidR="00F65DD7" w:rsidRPr="00D835EA" w14:paraId="005F8554" w14:textId="77777777" w:rsidTr="0091654B">
        <w:tc>
          <w:tcPr>
            <w:tcW w:w="1252" w:type="pct"/>
          </w:tcPr>
          <w:p w14:paraId="59BB441B" w14:textId="29FE4C8D" w:rsidR="00F65DD7" w:rsidRPr="00D835EA" w:rsidRDefault="00F65DD7" w:rsidP="00E4684C">
            <w:r>
              <w:t xml:space="preserve">3.7 </w:t>
            </w:r>
            <w:r w:rsidRPr="00D835EA">
              <w:t>Source candidates using non</w:t>
            </w:r>
            <w:r w:rsidRPr="00D835EA">
              <w:rPr>
                <w:rFonts w:ascii="Cambria Math" w:hAnsi="Cambria Math" w:cs="Cambria Math"/>
              </w:rPr>
              <w:t>‑</w:t>
            </w:r>
            <w:r w:rsidRPr="00D835EA">
              <w:t>traditional means, such as community</w:t>
            </w:r>
            <w:r w:rsidRPr="00D835EA">
              <w:rPr>
                <w:rFonts w:ascii="Cambria Math" w:hAnsi="Cambria Math" w:cs="Cambria Math"/>
              </w:rPr>
              <w:t>‑</w:t>
            </w:r>
            <w:r w:rsidRPr="00D835EA">
              <w:t>based groups.</w:t>
            </w:r>
          </w:p>
        </w:tc>
        <w:tc>
          <w:tcPr>
            <w:tcW w:w="1784" w:type="pct"/>
          </w:tcPr>
          <w:p w14:paraId="0030A56A" w14:textId="77777777" w:rsidR="00F65DD7" w:rsidRPr="00D835EA" w:rsidRDefault="00F65DD7" w:rsidP="00E4684C">
            <w:r w:rsidRPr="00D835EA">
              <w:t>Appropriate partnerships with community groups (</w:t>
            </w:r>
            <w:proofErr w:type="gramStart"/>
            <w:r w:rsidRPr="00D835EA">
              <w:t>e.g.</w:t>
            </w:r>
            <w:proofErr w:type="gramEnd"/>
            <w:r w:rsidRPr="00D835EA">
              <w:t xml:space="preserve"> disability employment networks) are investigated and established.</w:t>
            </w:r>
          </w:p>
        </w:tc>
        <w:tc>
          <w:tcPr>
            <w:tcW w:w="883" w:type="pct"/>
          </w:tcPr>
          <w:p w14:paraId="654692AC" w14:textId="77777777" w:rsidR="00F65DD7" w:rsidRPr="00D835EA" w:rsidRDefault="00F65DD7" w:rsidP="00E4684C">
            <w:r w:rsidRPr="00D835EA">
              <w:t>Commencing 2022</w:t>
            </w:r>
          </w:p>
        </w:tc>
        <w:tc>
          <w:tcPr>
            <w:tcW w:w="1082" w:type="pct"/>
          </w:tcPr>
          <w:p w14:paraId="5F75AF0B" w14:textId="77777777" w:rsidR="00F65DD7" w:rsidRPr="00D835EA" w:rsidRDefault="00F65DD7" w:rsidP="00E4684C">
            <w:r w:rsidRPr="00D835EA">
              <w:t>People and Culture</w:t>
            </w:r>
          </w:p>
          <w:p w14:paraId="40C92A10" w14:textId="77777777" w:rsidR="00F65DD7" w:rsidRPr="00D835EA" w:rsidRDefault="00F65DD7" w:rsidP="00E4684C">
            <w:r w:rsidRPr="00D835EA">
              <w:t>Hiring Managers</w:t>
            </w:r>
          </w:p>
        </w:tc>
      </w:tr>
      <w:tr w:rsidR="00F65DD7" w:rsidRPr="00D835EA" w14:paraId="1957DFF4" w14:textId="77777777" w:rsidTr="0091654B">
        <w:tc>
          <w:tcPr>
            <w:tcW w:w="1252" w:type="pct"/>
          </w:tcPr>
          <w:p w14:paraId="3D9CE8A4" w14:textId="591AAA02" w:rsidR="00F65DD7" w:rsidRPr="00D835EA" w:rsidRDefault="00F65DD7" w:rsidP="00E4684C">
            <w:r>
              <w:t xml:space="preserve">3.8 </w:t>
            </w:r>
            <w:r w:rsidRPr="00D835EA">
              <w:t>Provide symbols and statements of inclusion when communicating internally and externally.</w:t>
            </w:r>
          </w:p>
        </w:tc>
        <w:tc>
          <w:tcPr>
            <w:tcW w:w="1784" w:type="pct"/>
          </w:tcPr>
          <w:p w14:paraId="52C87949" w14:textId="47EA5C92" w:rsidR="00F65DD7" w:rsidRPr="00D835EA" w:rsidRDefault="00F65DD7" w:rsidP="00E4684C">
            <w:r w:rsidRPr="00D835EA">
              <w:t>Advertising templates are reviewed to add inclusion symbols and statements to encourage applications from diverse groups (</w:t>
            </w:r>
            <w:proofErr w:type="gramStart"/>
            <w:r w:rsidRPr="00D835EA">
              <w:t>e.g.</w:t>
            </w:r>
            <w:proofErr w:type="gramEnd"/>
            <w:r w:rsidRPr="00D835EA">
              <w:t xml:space="preserve"> Aboriginal and Torres Strait</w:t>
            </w:r>
            <w:r>
              <w:t xml:space="preserve"> </w:t>
            </w:r>
            <w:r w:rsidRPr="00D835EA">
              <w:t>Islander flag and acknowledgement; Pride flag; inclusion statement encouraging applications from people with disability and supporting workplace adjustments).</w:t>
            </w:r>
          </w:p>
          <w:p w14:paraId="6FE1DA08" w14:textId="77777777" w:rsidR="00F65DD7" w:rsidRPr="00D835EA" w:rsidRDefault="00F65DD7" w:rsidP="00E4684C">
            <w:r w:rsidRPr="00D835EA">
              <w:t>Inclusion symbols and statements are added to email signatures and websites.</w:t>
            </w:r>
          </w:p>
        </w:tc>
        <w:tc>
          <w:tcPr>
            <w:tcW w:w="883" w:type="pct"/>
          </w:tcPr>
          <w:p w14:paraId="4676500E" w14:textId="77777777" w:rsidR="00F65DD7" w:rsidRPr="00D835EA" w:rsidRDefault="00F65DD7" w:rsidP="00E4684C">
            <w:r w:rsidRPr="00D835EA">
              <w:t>Commencing 2022</w:t>
            </w:r>
          </w:p>
        </w:tc>
        <w:tc>
          <w:tcPr>
            <w:tcW w:w="1082" w:type="pct"/>
          </w:tcPr>
          <w:p w14:paraId="43E9F956" w14:textId="77777777" w:rsidR="00F65DD7" w:rsidRPr="00D835EA" w:rsidRDefault="00F65DD7" w:rsidP="00E4684C">
            <w:r w:rsidRPr="00D835EA">
              <w:t>People and Culture</w:t>
            </w:r>
          </w:p>
          <w:p w14:paraId="020F2054" w14:textId="77777777" w:rsidR="00F65DD7" w:rsidRPr="00D835EA" w:rsidRDefault="00F65DD7" w:rsidP="00E4684C">
            <w:r w:rsidRPr="00D835EA">
              <w:t>Strategic Communications</w:t>
            </w:r>
          </w:p>
        </w:tc>
      </w:tr>
      <w:tr w:rsidR="00F65DD7" w:rsidRPr="00D835EA" w14:paraId="00C95D88" w14:textId="77777777" w:rsidTr="0091654B">
        <w:tc>
          <w:tcPr>
            <w:tcW w:w="1252" w:type="pct"/>
          </w:tcPr>
          <w:p w14:paraId="754274F4" w14:textId="301C91B7" w:rsidR="00F65DD7" w:rsidRPr="00D835EA" w:rsidRDefault="00F65DD7" w:rsidP="00E4684C">
            <w:r>
              <w:t xml:space="preserve">3.9 </w:t>
            </w:r>
            <w:r w:rsidRPr="00D835EA">
              <w:t>Appropriate processes are adhered to when appointing new Independent Members of Courts Council.</w:t>
            </w:r>
          </w:p>
        </w:tc>
        <w:tc>
          <w:tcPr>
            <w:tcW w:w="1784" w:type="pct"/>
          </w:tcPr>
          <w:p w14:paraId="118DBAB1" w14:textId="77777777" w:rsidR="00F65DD7" w:rsidRPr="00D835EA" w:rsidRDefault="00F65DD7" w:rsidP="00E4684C">
            <w:r w:rsidRPr="00D835EA">
              <w:t>Diversity of Council as described in the Council Charter is expressly considered when appointing new Independent Members to Courts Council.</w:t>
            </w:r>
          </w:p>
        </w:tc>
        <w:tc>
          <w:tcPr>
            <w:tcW w:w="883" w:type="pct"/>
          </w:tcPr>
          <w:p w14:paraId="053FCA22" w14:textId="77777777" w:rsidR="00F65DD7" w:rsidRPr="00D835EA" w:rsidRDefault="00F65DD7" w:rsidP="00E4684C">
            <w:r w:rsidRPr="00D835EA">
              <w:t>2022 and ongoing</w:t>
            </w:r>
          </w:p>
        </w:tc>
        <w:tc>
          <w:tcPr>
            <w:tcW w:w="1082" w:type="pct"/>
          </w:tcPr>
          <w:p w14:paraId="7B3A25CF" w14:textId="77777777" w:rsidR="00F65DD7" w:rsidRPr="00D835EA" w:rsidRDefault="00F65DD7" w:rsidP="00E4684C">
            <w:r w:rsidRPr="00D835EA">
              <w:t>Judicial Members of Courts Council</w:t>
            </w:r>
          </w:p>
        </w:tc>
      </w:tr>
      <w:tr w:rsidR="00F65DD7" w:rsidRPr="00D835EA" w14:paraId="294F46F5" w14:textId="77777777" w:rsidTr="0091654B">
        <w:tc>
          <w:tcPr>
            <w:tcW w:w="1252" w:type="pct"/>
          </w:tcPr>
          <w:p w14:paraId="06F71AEC" w14:textId="420A711B" w:rsidR="00F65DD7" w:rsidRPr="00D835EA" w:rsidRDefault="00F65DD7" w:rsidP="00E4684C">
            <w:r>
              <w:lastRenderedPageBreak/>
              <w:t xml:space="preserve">3.10 </w:t>
            </w:r>
            <w:r w:rsidRPr="00D835EA">
              <w:t xml:space="preserve">Review </w:t>
            </w:r>
            <w:r w:rsidR="00E24D51">
              <w:t>Court Services Victoria</w:t>
            </w:r>
            <w:r w:rsidRPr="00D835EA">
              <w:t xml:space="preserve"> Capability Framework to remove any gender bias and/or other barriers to inclusion.</w:t>
            </w:r>
          </w:p>
        </w:tc>
        <w:tc>
          <w:tcPr>
            <w:tcW w:w="1784" w:type="pct"/>
          </w:tcPr>
          <w:p w14:paraId="50D075A6" w14:textId="52118E87" w:rsidR="00F65DD7" w:rsidRPr="00D835EA" w:rsidRDefault="00F65DD7" w:rsidP="00E4684C">
            <w:r w:rsidRPr="00D835EA">
              <w:t xml:space="preserve">The program of work required to remove any gender bias and/or other barriers to inclusion from </w:t>
            </w:r>
            <w:r w:rsidR="00E24D51">
              <w:t>Court Services Victoria</w:t>
            </w:r>
            <w:r w:rsidRPr="00D835EA">
              <w:t>’s Capability Framework is scoped and delivered.</w:t>
            </w:r>
          </w:p>
        </w:tc>
        <w:tc>
          <w:tcPr>
            <w:tcW w:w="883" w:type="pct"/>
          </w:tcPr>
          <w:p w14:paraId="683E37B2" w14:textId="77777777" w:rsidR="00F65DD7" w:rsidRPr="00D835EA" w:rsidRDefault="00F65DD7" w:rsidP="00E4684C">
            <w:r w:rsidRPr="00D835EA">
              <w:t>2024</w:t>
            </w:r>
          </w:p>
        </w:tc>
        <w:tc>
          <w:tcPr>
            <w:tcW w:w="1082" w:type="pct"/>
          </w:tcPr>
          <w:p w14:paraId="35EB9210" w14:textId="77777777" w:rsidR="00F65DD7" w:rsidRPr="00D835EA" w:rsidRDefault="00F65DD7" w:rsidP="00E4684C">
            <w:r w:rsidRPr="00D835EA">
              <w:t>People and Culture</w:t>
            </w:r>
          </w:p>
        </w:tc>
      </w:tr>
      <w:tr w:rsidR="00F65DD7" w:rsidRPr="00D835EA" w14:paraId="2CB35C4B" w14:textId="77777777" w:rsidTr="0091654B">
        <w:tc>
          <w:tcPr>
            <w:tcW w:w="1252" w:type="pct"/>
          </w:tcPr>
          <w:p w14:paraId="0327C7EF" w14:textId="35BB3DEE" w:rsidR="00F65DD7" w:rsidRPr="00D835EA" w:rsidRDefault="00F65DD7" w:rsidP="00C47EB2">
            <w:r>
              <w:t xml:space="preserve">3.10 </w:t>
            </w:r>
            <w:r w:rsidRPr="00D835EA">
              <w:t xml:space="preserve">Review </w:t>
            </w:r>
            <w:r w:rsidR="00E24D51">
              <w:t>Court Services Victoria</w:t>
            </w:r>
            <w:r w:rsidRPr="00D835EA">
              <w:t xml:space="preserve"> Capability Framework to remove any gender bias and/or other barriers to inclusion.</w:t>
            </w:r>
          </w:p>
        </w:tc>
        <w:tc>
          <w:tcPr>
            <w:tcW w:w="1784" w:type="pct"/>
          </w:tcPr>
          <w:p w14:paraId="282DDC90" w14:textId="77777777" w:rsidR="00F65DD7" w:rsidRPr="00D835EA" w:rsidRDefault="00F65DD7" w:rsidP="00C47EB2">
            <w:r w:rsidRPr="00D835EA">
              <w:t>Increased percentage of respondents rating relevant People Matter Survey (or equivalent) items favourably.</w:t>
            </w:r>
          </w:p>
        </w:tc>
        <w:tc>
          <w:tcPr>
            <w:tcW w:w="883" w:type="pct"/>
          </w:tcPr>
          <w:p w14:paraId="027357C3" w14:textId="77777777" w:rsidR="00F65DD7" w:rsidRPr="00D835EA" w:rsidRDefault="00F65DD7" w:rsidP="00C47EB2">
            <w:r w:rsidRPr="00D835EA">
              <w:t>2023</w:t>
            </w:r>
          </w:p>
        </w:tc>
        <w:tc>
          <w:tcPr>
            <w:tcW w:w="1082" w:type="pct"/>
          </w:tcPr>
          <w:p w14:paraId="1DFA76FC" w14:textId="0450660B" w:rsidR="00F65DD7" w:rsidRPr="00D835EA" w:rsidRDefault="00F65DD7" w:rsidP="00C47EB2">
            <w:r w:rsidRPr="00D835EA">
              <w:t>People and Culture</w:t>
            </w:r>
          </w:p>
        </w:tc>
      </w:tr>
    </w:tbl>
    <w:p w14:paraId="2E025447" w14:textId="77777777" w:rsidR="008905F0" w:rsidRPr="00185E03" w:rsidRDefault="008905F0" w:rsidP="00F65DD7">
      <w:pPr>
        <w:pStyle w:val="Heading2"/>
        <w:pageBreakBefore/>
      </w:pPr>
      <w:bookmarkStart w:id="16" w:name="_Toc110508768"/>
      <w:r w:rsidRPr="00185E03">
        <w:lastRenderedPageBreak/>
        <w:t>Enable full participation of our employees by regularising flexible working arrangements for all</w:t>
      </w:r>
      <w:bookmarkEnd w:id="16"/>
    </w:p>
    <w:p w14:paraId="2A67F4E5" w14:textId="77777777" w:rsidR="008905F0" w:rsidRPr="00D835EA" w:rsidRDefault="008905F0" w:rsidP="008905F0">
      <w:pPr>
        <w:pStyle w:val="BodyText"/>
      </w:pPr>
      <w:r w:rsidRPr="00D835EA">
        <w:t>Our People Matter Survey results indicate that although there is a positive culture regarding flexible work and support for those who wish to work flexibly, family and/or caring responsibilities can negatively impact on development and career progression. Of the survey items relating to this strategy, the following were ranked lowest overall:</w:t>
      </w:r>
    </w:p>
    <w:p w14:paraId="1C81324B" w14:textId="2FB06474" w:rsidR="00F65DD7" w:rsidRPr="00F65DD7" w:rsidRDefault="00F65DD7" w:rsidP="00B74187">
      <w:pPr>
        <w:pStyle w:val="ListBullet"/>
      </w:pPr>
      <w:r w:rsidRPr="00D835EA">
        <w:t>Using flexible work arrangements is not a barrier to success in my organisation’</w:t>
      </w:r>
      <w:r>
        <w:br/>
      </w:r>
      <w:r w:rsidRPr="00F65DD7">
        <w:t>(58% favourable responses)</w:t>
      </w:r>
    </w:p>
    <w:p w14:paraId="120E7A4C" w14:textId="5119C706" w:rsidR="00F65DD7" w:rsidRPr="00F65DD7" w:rsidRDefault="00F65DD7" w:rsidP="00AD0CEF">
      <w:pPr>
        <w:pStyle w:val="ListBullet"/>
      </w:pPr>
      <w:r w:rsidRPr="00F65DD7">
        <w:t>‘Having caring responsibilities is not a barrier to success in my organisation’</w:t>
      </w:r>
      <w:r>
        <w:br/>
      </w:r>
      <w:r w:rsidRPr="00F65DD7">
        <w:t>(58% favourable responses)</w:t>
      </w:r>
    </w:p>
    <w:p w14:paraId="68BE8D44" w14:textId="41D51F27" w:rsidR="00F65DD7" w:rsidRPr="00F65DD7" w:rsidRDefault="00F65DD7" w:rsidP="00EA25AB">
      <w:pPr>
        <w:pStyle w:val="ListBullet"/>
      </w:pPr>
      <w:r w:rsidRPr="00F65DD7">
        <w:t>‘Having family responsibilities is not a barrier to success in my organisation’</w:t>
      </w:r>
      <w:r>
        <w:br/>
      </w:r>
      <w:r w:rsidRPr="00F65DD7">
        <w:t>(62% favourable responses)</w:t>
      </w:r>
    </w:p>
    <w:p w14:paraId="74665BA0" w14:textId="77777777" w:rsidR="008905F0" w:rsidRDefault="008905F0" w:rsidP="008905F0">
      <w:pPr>
        <w:pStyle w:val="BodyText"/>
      </w:pPr>
      <w:r w:rsidRPr="00F65DD7">
        <w:t>Co</w:t>
      </w:r>
      <w:r w:rsidRPr="00D835EA">
        <w:t>nsultation also revealed that for many, their lived experience is that caring responsibilities and working part</w:t>
      </w:r>
      <w:r w:rsidRPr="00D835EA">
        <w:rPr>
          <w:rFonts w:ascii="Cambria Math" w:hAnsi="Cambria Math" w:cs="Cambria Math"/>
        </w:rPr>
        <w:t>‑</w:t>
      </w:r>
      <w:r w:rsidRPr="00D835EA">
        <w:t>time have impacted their progression and development.</w:t>
      </w:r>
    </w:p>
    <w:p w14:paraId="4C4DEE93" w14:textId="1EDAAEF5" w:rsidR="008905F0" w:rsidRPr="00D835EA" w:rsidRDefault="008905F0" w:rsidP="008905F0">
      <w:pPr>
        <w:pStyle w:val="BodyText"/>
      </w:pPr>
      <w:r w:rsidRPr="00D835EA">
        <w:t xml:space="preserve">With </w:t>
      </w:r>
      <w:proofErr w:type="gramStart"/>
      <w:r w:rsidRPr="00D835EA">
        <w:t>the vast majority of</w:t>
      </w:r>
      <w:proofErr w:type="gramEnd"/>
      <w:r w:rsidRPr="00D835EA">
        <w:t xml:space="preserve"> </w:t>
      </w:r>
      <w:r w:rsidR="00E24D51">
        <w:t>Court Services Victoria</w:t>
      </w:r>
      <w:r w:rsidRPr="00D835EA">
        <w:t xml:space="preserve"> employees utilising flexible working arrangements being women (78%), the impact of flexible work and caring responsibilities</w:t>
      </w:r>
      <w:r w:rsidR="00112FE9">
        <w:t xml:space="preserve"> </w:t>
      </w:r>
      <w:r w:rsidRPr="00D835EA">
        <w:t>on development and career progression is of particular concern from a gender equality perspective. However, most men and people who identified as “non</w:t>
      </w:r>
      <w:r w:rsidRPr="00D835EA">
        <w:rPr>
          <w:rFonts w:ascii="Cambria Math" w:hAnsi="Cambria Math" w:cs="Cambria Math"/>
        </w:rPr>
        <w:t>‑</w:t>
      </w:r>
      <w:r w:rsidRPr="00D835EA">
        <w:t>binary</w:t>
      </w:r>
      <w:r w:rsidRPr="00D835EA">
        <w:rPr>
          <w:rFonts w:ascii="Biennale Book" w:hAnsi="Biennale Book" w:cs="Biennale Book"/>
        </w:rPr>
        <w:t>”</w:t>
      </w:r>
      <w:r w:rsidRPr="00D835EA">
        <w:t xml:space="preserve"> or “prefer not to say” also rated these People Matter Survey items relatively lower than other items related to this strategy.</w:t>
      </w:r>
    </w:p>
    <w:p w14:paraId="4D0CCB8D" w14:textId="7D550979" w:rsidR="008905F0" w:rsidRDefault="008905F0" w:rsidP="008905F0">
      <w:pPr>
        <w:pStyle w:val="BodyText"/>
      </w:pPr>
      <w:r w:rsidRPr="00D835EA">
        <w:t xml:space="preserve">Therefore, the provision of flexible working arrangements that are equally attractive for all genders and that do not impact on development and career progression is a critical strategy of our </w:t>
      </w:r>
      <w:r w:rsidR="00C05C92">
        <w:t>Gender Equality Action Plan</w:t>
      </w:r>
      <w:r w:rsidRPr="00D835EA">
        <w:t>. This type of flexibility can offer realistic options for</w:t>
      </w:r>
      <w:r w:rsidR="00112FE9">
        <w:t xml:space="preserve"> </w:t>
      </w:r>
      <w:r w:rsidR="00E24D51">
        <w:t>Court Services Victoria</w:t>
      </w:r>
      <w:r w:rsidRPr="00D835EA">
        <w:t xml:space="preserve"> employees to balance the division of their caring responsibilities. The regularisation of flexible working arrangements will support our efforts to shift towards a culture of increased psychological safety and is closely linked to our education and support strategy. </w:t>
      </w:r>
      <w:r w:rsidR="00F65DD7">
        <w:fldChar w:fldCharType="begin"/>
      </w:r>
      <w:r w:rsidR="00F65DD7">
        <w:instrText xml:space="preserve"> REF _Ref110506254 \h </w:instrText>
      </w:r>
      <w:r w:rsidR="00F65DD7">
        <w:fldChar w:fldCharType="separate"/>
      </w:r>
      <w:r w:rsidR="00561567">
        <w:t xml:space="preserve">Table </w:t>
      </w:r>
      <w:r w:rsidR="00561567">
        <w:rPr>
          <w:noProof/>
        </w:rPr>
        <w:t>5</w:t>
      </w:r>
      <w:r w:rsidR="00F65DD7">
        <w:fldChar w:fldCharType="end"/>
      </w:r>
      <w:r w:rsidRPr="00D835EA">
        <w:t xml:space="preserve"> outlines our measures to regularise flexible working arrangements for all.</w:t>
      </w:r>
    </w:p>
    <w:p w14:paraId="7EE9CF90" w14:textId="43D9AB3A" w:rsidR="008905F0" w:rsidRPr="00D835EA" w:rsidRDefault="00F65DD7" w:rsidP="00F65DD7">
      <w:pPr>
        <w:pStyle w:val="Caption"/>
      </w:pPr>
      <w:bookmarkStart w:id="17" w:name="_Ref110506254"/>
      <w:r>
        <w:t xml:space="preserve">Table </w:t>
      </w:r>
      <w:fldSimple w:instr=" SEQ Table \* ARABIC ">
        <w:r w:rsidR="00561567">
          <w:rPr>
            <w:noProof/>
          </w:rPr>
          <w:t>5</w:t>
        </w:r>
      </w:fldSimple>
      <w:bookmarkEnd w:id="17"/>
      <w:r w:rsidR="008905F0" w:rsidRPr="00D835EA">
        <w:t>: Measures to enable full participation by regularising flexible working arrangements for all</w:t>
      </w:r>
    </w:p>
    <w:tbl>
      <w:tblPr>
        <w:tblStyle w:val="TableGrid"/>
        <w:tblW w:w="5000" w:type="pct"/>
        <w:tblLook w:val="0620" w:firstRow="1" w:lastRow="0" w:firstColumn="0" w:lastColumn="0" w:noHBand="1" w:noVBand="1"/>
      </w:tblPr>
      <w:tblGrid>
        <w:gridCol w:w="2429"/>
        <w:gridCol w:w="3550"/>
        <w:gridCol w:w="1699"/>
        <w:gridCol w:w="1943"/>
      </w:tblGrid>
      <w:tr w:rsidR="00F65DD7" w:rsidRPr="00D835EA" w14:paraId="712437CB" w14:textId="77777777" w:rsidTr="0091654B">
        <w:trPr>
          <w:cnfStyle w:val="100000000000" w:firstRow="1" w:lastRow="0" w:firstColumn="0" w:lastColumn="0" w:oddVBand="0" w:evenVBand="0" w:oddHBand="0" w:evenHBand="0" w:firstRowFirstColumn="0" w:firstRowLastColumn="0" w:lastRowFirstColumn="0" w:lastRowLastColumn="0"/>
        </w:trPr>
        <w:tc>
          <w:tcPr>
            <w:tcW w:w="1262" w:type="pct"/>
          </w:tcPr>
          <w:p w14:paraId="37DB280E" w14:textId="77777777" w:rsidR="00F65DD7" w:rsidRPr="00D835EA" w:rsidRDefault="00F65DD7" w:rsidP="00E4684C">
            <w:bookmarkStart w:id="18" w:name="ColumnTitle_5"/>
            <w:r w:rsidRPr="00D835EA">
              <w:t>Measures</w:t>
            </w:r>
          </w:p>
        </w:tc>
        <w:tc>
          <w:tcPr>
            <w:tcW w:w="1845" w:type="pct"/>
          </w:tcPr>
          <w:p w14:paraId="6D9C626C" w14:textId="77777777" w:rsidR="00F65DD7" w:rsidRPr="00D835EA" w:rsidRDefault="00F65DD7" w:rsidP="00E4684C">
            <w:r w:rsidRPr="00D835EA">
              <w:t>Outcomes</w:t>
            </w:r>
          </w:p>
        </w:tc>
        <w:tc>
          <w:tcPr>
            <w:tcW w:w="883" w:type="pct"/>
          </w:tcPr>
          <w:p w14:paraId="2378B210" w14:textId="77777777" w:rsidR="00F65DD7" w:rsidRPr="00D835EA" w:rsidRDefault="00F65DD7" w:rsidP="00E4684C">
            <w:r w:rsidRPr="00D835EA">
              <w:t>Timeline</w:t>
            </w:r>
          </w:p>
        </w:tc>
        <w:tc>
          <w:tcPr>
            <w:tcW w:w="1010" w:type="pct"/>
          </w:tcPr>
          <w:p w14:paraId="6853C7C8" w14:textId="77777777" w:rsidR="00F65DD7" w:rsidRPr="00D835EA" w:rsidRDefault="00F65DD7" w:rsidP="00E4684C">
            <w:r w:rsidRPr="00D835EA">
              <w:t>Accountability</w:t>
            </w:r>
          </w:p>
        </w:tc>
      </w:tr>
      <w:bookmarkEnd w:id="18"/>
      <w:tr w:rsidR="00F65DD7" w:rsidRPr="00D835EA" w14:paraId="133F4C7E" w14:textId="77777777" w:rsidTr="0091654B">
        <w:tc>
          <w:tcPr>
            <w:tcW w:w="1262" w:type="pct"/>
          </w:tcPr>
          <w:p w14:paraId="0C3EDE20" w14:textId="6D92BE66" w:rsidR="00F65DD7" w:rsidRPr="00D835EA" w:rsidRDefault="00F65DD7" w:rsidP="00F65DD7">
            <w:r>
              <w:t xml:space="preserve">4.1 </w:t>
            </w:r>
            <w:r w:rsidRPr="00D835EA">
              <w:t>Review and develop policies and guidelines to</w:t>
            </w:r>
            <w:r>
              <w:t xml:space="preserve"> </w:t>
            </w:r>
            <w:r w:rsidRPr="00D835EA">
              <w:t>regularise and embed flexible working arrangements.</w:t>
            </w:r>
          </w:p>
        </w:tc>
        <w:tc>
          <w:tcPr>
            <w:tcW w:w="1845" w:type="pct"/>
          </w:tcPr>
          <w:p w14:paraId="62DC30CA" w14:textId="77777777" w:rsidR="00F65DD7" w:rsidRPr="00D835EA" w:rsidRDefault="00F65DD7" w:rsidP="00E4684C">
            <w:r w:rsidRPr="00D835EA">
              <w:t>Revised Flexible Working Policy and guidelines is implemented.</w:t>
            </w:r>
          </w:p>
          <w:p w14:paraId="344893F1" w14:textId="77777777" w:rsidR="00F65DD7" w:rsidRPr="00D835EA" w:rsidRDefault="00F65DD7" w:rsidP="00E4684C">
            <w:r w:rsidRPr="00D835EA">
              <w:t>Workplace Adjustments Policy and guidelines is implemented.</w:t>
            </w:r>
          </w:p>
        </w:tc>
        <w:tc>
          <w:tcPr>
            <w:tcW w:w="883" w:type="pct"/>
          </w:tcPr>
          <w:p w14:paraId="5F60673B" w14:textId="77777777" w:rsidR="00F65DD7" w:rsidRPr="00D835EA" w:rsidRDefault="00F65DD7" w:rsidP="00E4684C">
            <w:r w:rsidRPr="00D835EA">
              <w:t>2022</w:t>
            </w:r>
          </w:p>
        </w:tc>
        <w:tc>
          <w:tcPr>
            <w:tcW w:w="1010" w:type="pct"/>
          </w:tcPr>
          <w:p w14:paraId="106524BE" w14:textId="77777777" w:rsidR="00F65DD7" w:rsidRPr="00D835EA" w:rsidRDefault="00F65DD7" w:rsidP="00E4684C">
            <w:r w:rsidRPr="00D835EA">
              <w:t>People and Culture</w:t>
            </w:r>
          </w:p>
        </w:tc>
      </w:tr>
      <w:tr w:rsidR="00F65DD7" w:rsidRPr="00D835EA" w14:paraId="642CBDA9" w14:textId="77777777" w:rsidTr="0091654B">
        <w:tc>
          <w:tcPr>
            <w:tcW w:w="1262" w:type="pct"/>
          </w:tcPr>
          <w:p w14:paraId="309EDFE2" w14:textId="131B30FB" w:rsidR="00F65DD7" w:rsidRPr="00D835EA" w:rsidRDefault="00F65DD7" w:rsidP="00E4684C">
            <w:r>
              <w:t xml:space="preserve">4.2 </w:t>
            </w:r>
            <w:r w:rsidRPr="00D835EA">
              <w:t>Support leaders to apply flexible working arrangements.</w:t>
            </w:r>
          </w:p>
        </w:tc>
        <w:tc>
          <w:tcPr>
            <w:tcW w:w="1845" w:type="pct"/>
          </w:tcPr>
          <w:p w14:paraId="59FF9E9E" w14:textId="77777777" w:rsidR="00F65DD7" w:rsidRPr="00D835EA" w:rsidRDefault="00F65DD7" w:rsidP="00E4684C">
            <w:r w:rsidRPr="00D835EA">
              <w:t>Skills development training program is scoped and delivered.</w:t>
            </w:r>
          </w:p>
        </w:tc>
        <w:tc>
          <w:tcPr>
            <w:tcW w:w="883" w:type="pct"/>
          </w:tcPr>
          <w:p w14:paraId="3E74F21C" w14:textId="77777777" w:rsidR="00F65DD7" w:rsidRPr="00D835EA" w:rsidRDefault="00F65DD7" w:rsidP="00E4684C">
            <w:r w:rsidRPr="00D835EA">
              <w:t>2022</w:t>
            </w:r>
          </w:p>
        </w:tc>
        <w:tc>
          <w:tcPr>
            <w:tcW w:w="1010" w:type="pct"/>
          </w:tcPr>
          <w:p w14:paraId="2778E66D" w14:textId="77777777" w:rsidR="00F65DD7" w:rsidRPr="00D835EA" w:rsidRDefault="00F65DD7" w:rsidP="00E4684C">
            <w:r w:rsidRPr="00D835EA">
              <w:t>People and Culture</w:t>
            </w:r>
          </w:p>
        </w:tc>
      </w:tr>
      <w:tr w:rsidR="00F65DD7" w:rsidRPr="00D835EA" w14:paraId="6A8AC8A5" w14:textId="77777777" w:rsidTr="0091654B">
        <w:tc>
          <w:tcPr>
            <w:tcW w:w="1262" w:type="pct"/>
          </w:tcPr>
          <w:p w14:paraId="5634377B" w14:textId="7BBE750E" w:rsidR="00F65DD7" w:rsidRPr="00D835EA" w:rsidRDefault="00F65DD7" w:rsidP="00E4684C">
            <w:r>
              <w:t xml:space="preserve">4.3 </w:t>
            </w:r>
            <w:r w:rsidRPr="00D835EA">
              <w:t>Communicate and promote success stories of working flexibly.</w:t>
            </w:r>
          </w:p>
        </w:tc>
        <w:tc>
          <w:tcPr>
            <w:tcW w:w="1845" w:type="pct"/>
          </w:tcPr>
          <w:p w14:paraId="2C415F66" w14:textId="77777777" w:rsidR="00F65DD7" w:rsidRPr="00D835EA" w:rsidRDefault="00F65DD7" w:rsidP="00E4684C">
            <w:r w:rsidRPr="00D835EA">
              <w:t>Success stories of working flexibly are regularly communicated across the organisation.</w:t>
            </w:r>
          </w:p>
        </w:tc>
        <w:tc>
          <w:tcPr>
            <w:tcW w:w="883" w:type="pct"/>
          </w:tcPr>
          <w:p w14:paraId="62F58D3E" w14:textId="77777777" w:rsidR="00F65DD7" w:rsidRPr="00D835EA" w:rsidRDefault="00F65DD7" w:rsidP="00E4684C">
            <w:r w:rsidRPr="00D835EA">
              <w:t>Commencing 2022 and ongoing</w:t>
            </w:r>
          </w:p>
        </w:tc>
        <w:tc>
          <w:tcPr>
            <w:tcW w:w="1010" w:type="pct"/>
          </w:tcPr>
          <w:p w14:paraId="01385E6A" w14:textId="77777777" w:rsidR="00F65DD7" w:rsidRPr="00D835EA" w:rsidRDefault="00F65DD7" w:rsidP="00E4684C">
            <w:r w:rsidRPr="00D835EA">
              <w:t>People and Culture</w:t>
            </w:r>
          </w:p>
        </w:tc>
      </w:tr>
      <w:tr w:rsidR="00F65DD7" w:rsidRPr="00D835EA" w14:paraId="48CBD40B" w14:textId="77777777" w:rsidTr="0091654B">
        <w:tc>
          <w:tcPr>
            <w:tcW w:w="1262" w:type="pct"/>
          </w:tcPr>
          <w:p w14:paraId="630B24B8" w14:textId="44632C99" w:rsidR="00F65DD7" w:rsidRPr="00D835EA" w:rsidRDefault="00F65DD7" w:rsidP="00E4684C">
            <w:r>
              <w:lastRenderedPageBreak/>
              <w:t xml:space="preserve">4.4 </w:t>
            </w:r>
            <w:r w:rsidRPr="00D835EA">
              <w:t>Introduce support programs/ offerings for employees</w:t>
            </w:r>
          </w:p>
          <w:p w14:paraId="3D8C8601" w14:textId="77777777" w:rsidR="00F65DD7" w:rsidRPr="00D835EA" w:rsidRDefault="00F65DD7" w:rsidP="00E4684C">
            <w:r w:rsidRPr="00D835EA">
              <w:t>with family and/or caring responsibilities and employees with disability.</w:t>
            </w:r>
          </w:p>
        </w:tc>
        <w:tc>
          <w:tcPr>
            <w:tcW w:w="1845" w:type="pct"/>
          </w:tcPr>
          <w:p w14:paraId="52FDA210" w14:textId="2DCA1195" w:rsidR="00F65DD7" w:rsidRPr="00D835EA" w:rsidRDefault="00F65DD7" w:rsidP="00E4684C">
            <w:r w:rsidRPr="00D835EA">
              <w:t xml:space="preserve">Support programs are established to provide an additional avenue of wellbeing support to </w:t>
            </w:r>
            <w:r w:rsidR="00E24D51">
              <w:t>Court Services Victoria</w:t>
            </w:r>
            <w:r w:rsidRPr="00D835EA">
              <w:t xml:space="preserve"> employees with family and/ or caring responsibilities and employees with disability.</w:t>
            </w:r>
          </w:p>
          <w:p w14:paraId="673F2783" w14:textId="77777777" w:rsidR="00F65DD7" w:rsidRPr="00D835EA" w:rsidRDefault="00F65DD7" w:rsidP="00E4684C">
            <w:r w:rsidRPr="00D835EA">
              <w:t xml:space="preserve">Court building design standards are regularly reviewed to incorporate best practice in relation to safe, </w:t>
            </w:r>
            <w:proofErr w:type="gramStart"/>
            <w:r w:rsidRPr="00D835EA">
              <w:t>inclusive</w:t>
            </w:r>
            <w:proofErr w:type="gramEnd"/>
            <w:r w:rsidRPr="00D835EA">
              <w:t xml:space="preserve"> and accessible workplaces and facilities.</w:t>
            </w:r>
          </w:p>
        </w:tc>
        <w:tc>
          <w:tcPr>
            <w:tcW w:w="883" w:type="pct"/>
          </w:tcPr>
          <w:p w14:paraId="7CDBB569" w14:textId="77777777" w:rsidR="00F65DD7" w:rsidRPr="00D835EA" w:rsidRDefault="00F65DD7" w:rsidP="00E4684C">
            <w:r w:rsidRPr="00D835EA">
              <w:t>Commencing 2022 and ongoing</w:t>
            </w:r>
          </w:p>
        </w:tc>
        <w:tc>
          <w:tcPr>
            <w:tcW w:w="1010" w:type="pct"/>
          </w:tcPr>
          <w:p w14:paraId="13CB81C5" w14:textId="77777777" w:rsidR="00F65DD7" w:rsidRDefault="00F65DD7" w:rsidP="00E4684C">
            <w:pPr>
              <w:widowControl w:val="0"/>
              <w:autoSpaceDE w:val="0"/>
              <w:autoSpaceDN w:val="0"/>
              <w:spacing w:before="0" w:after="0" w:line="240" w:lineRule="auto"/>
            </w:pPr>
            <w:r w:rsidRPr="00D835EA">
              <w:t>People and Culture</w:t>
            </w:r>
          </w:p>
          <w:p w14:paraId="013E2987" w14:textId="77777777" w:rsidR="00F65DD7" w:rsidRPr="00D835EA" w:rsidRDefault="00F65DD7" w:rsidP="00E4684C">
            <w:r w:rsidRPr="00D835EA">
              <w:t>Built Environment</w:t>
            </w:r>
          </w:p>
        </w:tc>
      </w:tr>
      <w:tr w:rsidR="00F65DD7" w:rsidRPr="00D835EA" w14:paraId="1AFA498A" w14:textId="77777777" w:rsidTr="0091654B">
        <w:tc>
          <w:tcPr>
            <w:tcW w:w="1262" w:type="pct"/>
          </w:tcPr>
          <w:p w14:paraId="71AB62FC" w14:textId="0B0D8D28" w:rsidR="00F65DD7" w:rsidRPr="00D835EA" w:rsidRDefault="00F65DD7" w:rsidP="00C47EB2">
            <w:r>
              <w:t xml:space="preserve">4.4 </w:t>
            </w:r>
            <w:r w:rsidRPr="00D835EA">
              <w:t>Introduce support programs/ offerings for employees</w:t>
            </w:r>
          </w:p>
          <w:p w14:paraId="662EC1FF" w14:textId="5701532F" w:rsidR="00F65DD7" w:rsidRPr="00D835EA" w:rsidRDefault="00F65DD7" w:rsidP="00C47EB2">
            <w:r w:rsidRPr="00D835EA">
              <w:t>with family and/or caring responsibilities and employees with disability.</w:t>
            </w:r>
          </w:p>
        </w:tc>
        <w:tc>
          <w:tcPr>
            <w:tcW w:w="1845" w:type="pct"/>
          </w:tcPr>
          <w:p w14:paraId="2AD542D5" w14:textId="77777777" w:rsidR="00F65DD7" w:rsidRPr="00D835EA" w:rsidRDefault="00F65DD7" w:rsidP="00C47EB2">
            <w:r w:rsidRPr="00D835EA">
              <w:t>Increased number of flexible working arrangements are taken up by all genders.</w:t>
            </w:r>
          </w:p>
          <w:p w14:paraId="5271AE22" w14:textId="77777777" w:rsidR="00F65DD7" w:rsidRPr="00D835EA" w:rsidRDefault="00F65DD7" w:rsidP="00C47EB2">
            <w:r w:rsidRPr="00D835EA">
              <w:t>Increased percentage of respondents rating relevant People Matter Survey (or equivalent) items favourably.</w:t>
            </w:r>
          </w:p>
        </w:tc>
        <w:tc>
          <w:tcPr>
            <w:tcW w:w="883" w:type="pct"/>
          </w:tcPr>
          <w:p w14:paraId="6E323680" w14:textId="77777777" w:rsidR="00F65DD7" w:rsidRPr="00D835EA" w:rsidRDefault="00F65DD7" w:rsidP="00C47EB2">
            <w:r w:rsidRPr="00D835EA">
              <w:t>2023</w:t>
            </w:r>
          </w:p>
        </w:tc>
        <w:tc>
          <w:tcPr>
            <w:tcW w:w="1010" w:type="pct"/>
          </w:tcPr>
          <w:p w14:paraId="729F91AB" w14:textId="77777777" w:rsidR="00F65DD7" w:rsidRDefault="00F65DD7" w:rsidP="00C47EB2">
            <w:pPr>
              <w:widowControl w:val="0"/>
              <w:autoSpaceDE w:val="0"/>
              <w:autoSpaceDN w:val="0"/>
              <w:spacing w:before="0" w:after="0" w:line="240" w:lineRule="auto"/>
            </w:pPr>
            <w:r w:rsidRPr="00D835EA">
              <w:t>People and Culture</w:t>
            </w:r>
          </w:p>
          <w:p w14:paraId="1761B8C6" w14:textId="6EA44860" w:rsidR="00F65DD7" w:rsidRPr="00D835EA" w:rsidRDefault="00F65DD7" w:rsidP="00C47EB2">
            <w:r w:rsidRPr="00D835EA">
              <w:t>Built Environment</w:t>
            </w:r>
          </w:p>
        </w:tc>
      </w:tr>
    </w:tbl>
    <w:p w14:paraId="5C59EF12" w14:textId="77777777" w:rsidR="008905F0" w:rsidRPr="00A571CA" w:rsidRDefault="008905F0" w:rsidP="00A571CA">
      <w:pPr>
        <w:pStyle w:val="Heading2"/>
      </w:pPr>
      <w:bookmarkStart w:id="19" w:name="_Toc110508769"/>
      <w:r w:rsidRPr="00A571CA">
        <w:t>Achieve equal pay for equal work by understanding and addressing factors contributing to our gender pay gap</w:t>
      </w:r>
      <w:bookmarkEnd w:id="19"/>
    </w:p>
    <w:p w14:paraId="3D7C4B11" w14:textId="7BF66626" w:rsidR="008905F0" w:rsidRPr="00F65DD7" w:rsidRDefault="008905F0" w:rsidP="008905F0">
      <w:pPr>
        <w:pStyle w:val="BodyText"/>
      </w:pPr>
      <w:r w:rsidRPr="00F65DD7">
        <w:t>The median base salary</w:t>
      </w:r>
      <w:r w:rsidR="00D94DC8" w:rsidRPr="00F520F7">
        <w:rPr>
          <w:rStyle w:val="FootnoteReference"/>
        </w:rPr>
        <w:footnoteReference w:id="9"/>
      </w:r>
      <w:r w:rsidRPr="00F65DD7">
        <w:t xml:space="preserve"> gap at </w:t>
      </w:r>
      <w:r w:rsidR="00E24D51">
        <w:t>Court Services Victoria</w:t>
      </w:r>
      <w:r w:rsidRPr="00F65DD7">
        <w:t xml:space="preserve"> between men and women was 10.1% as at the last main pay run prior to 30 June 2021.</w:t>
      </w:r>
    </w:p>
    <w:p w14:paraId="38E76ECE" w14:textId="0E052A1E" w:rsidR="008905F0" w:rsidRPr="00F65DD7" w:rsidRDefault="008905F0" w:rsidP="008905F0">
      <w:pPr>
        <w:pStyle w:val="BodyText"/>
      </w:pPr>
      <w:r w:rsidRPr="00F65DD7">
        <w:t>The median total remuneration</w:t>
      </w:r>
      <w:r w:rsidR="00D94DC8" w:rsidRPr="00F520F7">
        <w:rPr>
          <w:rStyle w:val="FootnoteReference"/>
        </w:rPr>
        <w:footnoteReference w:id="10"/>
      </w:r>
      <w:r w:rsidRPr="00F65DD7">
        <w:t xml:space="preserve"> gap at </w:t>
      </w:r>
      <w:r w:rsidR="00E24D51">
        <w:t>Court Services Victoria</w:t>
      </w:r>
      <w:r w:rsidRPr="00F65DD7">
        <w:t xml:space="preserve"> between men and women was 9.0% as at the last main pay run prior to 30 June 2021.</w:t>
      </w:r>
    </w:p>
    <w:p w14:paraId="12D3D991" w14:textId="24E7C348" w:rsidR="008905F0" w:rsidRDefault="008905F0" w:rsidP="008905F0">
      <w:pPr>
        <w:pStyle w:val="BodyText"/>
      </w:pPr>
      <w:r w:rsidRPr="00D835EA">
        <w:t xml:space="preserve">Whilst gender pay gaps are often attributable to more than one factor, our Workplace Gender Audit reveals that 80% of all women employed by </w:t>
      </w:r>
      <w:r w:rsidR="00E24D51">
        <w:t>Court Services Victoria</w:t>
      </w:r>
      <w:r w:rsidRPr="00D835EA">
        <w:t xml:space="preserve"> occupied classification levels VPS Grades 2 to 4, and Trainee Registrar to Registrar Grade 4. Data analysis showed that 60% of all flexible working arrangements currently in place were utilised by this cohort. We approached some of these employees for confidential consultation interviews and found that the majority were satisfied with their flexible work arrangements because the arrangements suited their stage of life and personal circumstances. Promotion and development were</w:t>
      </w:r>
      <w:r w:rsidR="00112FE9">
        <w:t xml:space="preserve"> </w:t>
      </w:r>
      <w:r w:rsidRPr="00D835EA">
        <w:t>not immediate concerns for these employees, rather, job security and flexibility were the most salient considerations.</w:t>
      </w:r>
    </w:p>
    <w:p w14:paraId="6045F006" w14:textId="06606085" w:rsidR="00112FE9" w:rsidRPr="00D835EA" w:rsidRDefault="00112FE9" w:rsidP="00112FE9">
      <w:pPr>
        <w:pStyle w:val="BodyText"/>
      </w:pPr>
      <w:r w:rsidRPr="00D835EA">
        <w:t xml:space="preserve">These data pose an important challenge for us in considering strategies to reduce the gender pay gap. Whilst we recognise and value the role that </w:t>
      </w:r>
      <w:r w:rsidR="00E24D51">
        <w:t>Court Services Victoria</w:t>
      </w:r>
      <w:r w:rsidRPr="00D835EA">
        <w:t xml:space="preserve"> plays in offering secure, flexible, and interesting work for </w:t>
      </w:r>
      <w:proofErr w:type="gramStart"/>
      <w:r w:rsidRPr="00D835EA">
        <w:t>a large number of</w:t>
      </w:r>
      <w:proofErr w:type="gramEnd"/>
      <w:r w:rsidRPr="00D835EA">
        <w:t xml:space="preserve"> women in roles classified as VPS Grades 2 to 4, we also recognise that this higher representation of women at lower role classifications</w:t>
      </w:r>
      <w:r>
        <w:t xml:space="preserve"> </w:t>
      </w:r>
      <w:r w:rsidRPr="00D835EA">
        <w:t>may be a significant contributor to our overall gender pay gap.</w:t>
      </w:r>
    </w:p>
    <w:p w14:paraId="644E49F8" w14:textId="4554C294" w:rsidR="008905F0" w:rsidRPr="00D835EA" w:rsidRDefault="00112FE9" w:rsidP="00F520F7">
      <w:pPr>
        <w:pStyle w:val="BodyText"/>
        <w:keepLines/>
      </w:pPr>
      <w:r w:rsidRPr="00D835EA">
        <w:lastRenderedPageBreak/>
        <w:t xml:space="preserve">Therefore, further analysis of our remuneration data will continue to be undertaken </w:t>
      </w:r>
      <w:proofErr w:type="gramStart"/>
      <w:r w:rsidRPr="00D835EA">
        <w:t>in order to</w:t>
      </w:r>
      <w:proofErr w:type="gramEnd"/>
      <w:r w:rsidRPr="00D835EA">
        <w:t xml:space="preserve"> provide</w:t>
      </w:r>
      <w:r>
        <w:t xml:space="preserve"> </w:t>
      </w:r>
      <w:r w:rsidRPr="00D835EA">
        <w:t>a more comprehensive understanding of our gender pay gap and other contributing factors. For</w:t>
      </w:r>
      <w:r>
        <w:t xml:space="preserve"> </w:t>
      </w:r>
      <w:r w:rsidR="008905F0" w:rsidRPr="00D835EA">
        <w:t>example, are women falling behind when they take extended leave or work flexibly? Is there a relationship between extended leave/flexible work and rate of progression/development?</w:t>
      </w:r>
    </w:p>
    <w:p w14:paraId="2A789513" w14:textId="5BB04162" w:rsidR="008905F0" w:rsidRDefault="008905F0" w:rsidP="008905F0">
      <w:pPr>
        <w:pStyle w:val="BodyText"/>
      </w:pPr>
      <w:r w:rsidRPr="00D835EA">
        <w:t xml:space="preserve">Current measures to reduce the gender pay gap are outlined in </w:t>
      </w:r>
      <w:r w:rsidR="00F520F7">
        <w:fldChar w:fldCharType="begin"/>
      </w:r>
      <w:r w:rsidR="00F520F7">
        <w:instrText xml:space="preserve"> REF _Ref110506357 \h </w:instrText>
      </w:r>
      <w:r w:rsidR="00F520F7">
        <w:fldChar w:fldCharType="separate"/>
      </w:r>
      <w:r w:rsidR="00561567">
        <w:t xml:space="preserve">Table </w:t>
      </w:r>
      <w:r w:rsidR="00561567">
        <w:rPr>
          <w:noProof/>
        </w:rPr>
        <w:t>6</w:t>
      </w:r>
      <w:r w:rsidR="00F520F7">
        <w:fldChar w:fldCharType="end"/>
      </w:r>
      <w:r w:rsidRPr="00D835EA">
        <w:t>. Further measures will be implemented once detailed analysis is completed.</w:t>
      </w:r>
    </w:p>
    <w:p w14:paraId="7CCA6130" w14:textId="2E0FEAF7" w:rsidR="008905F0" w:rsidRPr="00D835EA" w:rsidRDefault="00F520F7" w:rsidP="00F520F7">
      <w:pPr>
        <w:pStyle w:val="Caption"/>
      </w:pPr>
      <w:bookmarkStart w:id="20" w:name="_Ref110506357"/>
      <w:r>
        <w:t xml:space="preserve">Table </w:t>
      </w:r>
      <w:fldSimple w:instr=" SEQ Table \* ARABIC ">
        <w:r w:rsidR="00561567">
          <w:rPr>
            <w:noProof/>
          </w:rPr>
          <w:t>6</w:t>
        </w:r>
      </w:fldSimple>
      <w:bookmarkEnd w:id="20"/>
      <w:r w:rsidR="008905F0" w:rsidRPr="00D835EA">
        <w:t>: Measures to achieve equal pay for equal work</w:t>
      </w:r>
    </w:p>
    <w:tbl>
      <w:tblPr>
        <w:tblStyle w:val="TableGrid"/>
        <w:tblW w:w="5000" w:type="pct"/>
        <w:tblLook w:val="0620" w:firstRow="1" w:lastRow="0" w:firstColumn="0" w:lastColumn="0" w:noHBand="1" w:noVBand="1"/>
      </w:tblPr>
      <w:tblGrid>
        <w:gridCol w:w="2858"/>
        <w:gridCol w:w="3575"/>
        <w:gridCol w:w="1245"/>
        <w:gridCol w:w="1943"/>
      </w:tblGrid>
      <w:tr w:rsidR="00F520F7" w:rsidRPr="00D835EA" w14:paraId="09F1AEF8" w14:textId="77777777" w:rsidTr="0091654B">
        <w:trPr>
          <w:cnfStyle w:val="100000000000" w:firstRow="1" w:lastRow="0" w:firstColumn="0" w:lastColumn="0" w:oddVBand="0" w:evenVBand="0" w:oddHBand="0" w:evenHBand="0" w:firstRowFirstColumn="0" w:firstRowLastColumn="0" w:lastRowFirstColumn="0" w:lastRowLastColumn="0"/>
        </w:trPr>
        <w:tc>
          <w:tcPr>
            <w:tcW w:w="1485" w:type="pct"/>
          </w:tcPr>
          <w:p w14:paraId="3F7940A0" w14:textId="77777777" w:rsidR="00F520F7" w:rsidRPr="00D835EA" w:rsidRDefault="00F520F7" w:rsidP="00E4684C">
            <w:bookmarkStart w:id="21" w:name="ColumnTitle_6"/>
            <w:r w:rsidRPr="00D835EA">
              <w:t>Measures</w:t>
            </w:r>
          </w:p>
        </w:tc>
        <w:tc>
          <w:tcPr>
            <w:tcW w:w="1858" w:type="pct"/>
          </w:tcPr>
          <w:p w14:paraId="29B12294" w14:textId="77777777" w:rsidR="00F520F7" w:rsidRPr="00D835EA" w:rsidRDefault="00F520F7" w:rsidP="00E4684C">
            <w:r w:rsidRPr="00D835EA">
              <w:t>Outcomes</w:t>
            </w:r>
          </w:p>
        </w:tc>
        <w:tc>
          <w:tcPr>
            <w:tcW w:w="647" w:type="pct"/>
          </w:tcPr>
          <w:p w14:paraId="0B884330" w14:textId="77777777" w:rsidR="00F520F7" w:rsidRPr="00D835EA" w:rsidRDefault="00F520F7" w:rsidP="00E4684C">
            <w:r w:rsidRPr="00D835EA">
              <w:t>Timeline</w:t>
            </w:r>
          </w:p>
        </w:tc>
        <w:tc>
          <w:tcPr>
            <w:tcW w:w="1010" w:type="pct"/>
          </w:tcPr>
          <w:p w14:paraId="05863D7E" w14:textId="77777777" w:rsidR="00F520F7" w:rsidRPr="00D835EA" w:rsidRDefault="00F520F7" w:rsidP="00E4684C">
            <w:r w:rsidRPr="00D835EA">
              <w:rPr>
                <w:b/>
              </w:rPr>
              <w:t>Accountability</w:t>
            </w:r>
          </w:p>
        </w:tc>
      </w:tr>
      <w:bookmarkEnd w:id="21"/>
      <w:tr w:rsidR="00F520F7" w:rsidRPr="00D835EA" w14:paraId="51B97CFC" w14:textId="77777777" w:rsidTr="0091654B">
        <w:tc>
          <w:tcPr>
            <w:tcW w:w="1485" w:type="pct"/>
          </w:tcPr>
          <w:p w14:paraId="6FBBCB6D" w14:textId="1E4E11BB" w:rsidR="00F520F7" w:rsidRPr="00D835EA" w:rsidRDefault="00F520F7" w:rsidP="00E4684C">
            <w:r>
              <w:t xml:space="preserve">5.1 </w:t>
            </w:r>
            <w:r w:rsidRPr="00D835EA">
              <w:t>Conduct detailed analysis to understand causes of the gender pay gap.</w:t>
            </w:r>
          </w:p>
        </w:tc>
        <w:tc>
          <w:tcPr>
            <w:tcW w:w="1858" w:type="pct"/>
          </w:tcPr>
          <w:p w14:paraId="1278097D" w14:textId="77777777" w:rsidR="00F520F7" w:rsidRPr="00D835EA" w:rsidRDefault="00F520F7" w:rsidP="00E4684C">
            <w:r w:rsidRPr="00D835EA">
              <w:t>Informed strategies to reduce the gender pay gap are identified and developed.</w:t>
            </w:r>
          </w:p>
        </w:tc>
        <w:tc>
          <w:tcPr>
            <w:tcW w:w="647" w:type="pct"/>
          </w:tcPr>
          <w:p w14:paraId="2210C1AD" w14:textId="77777777" w:rsidR="00F520F7" w:rsidRPr="00D835EA" w:rsidRDefault="00F520F7" w:rsidP="00E4684C">
            <w:r w:rsidRPr="00D835EA">
              <w:t>2022</w:t>
            </w:r>
          </w:p>
        </w:tc>
        <w:tc>
          <w:tcPr>
            <w:tcW w:w="1010" w:type="pct"/>
          </w:tcPr>
          <w:p w14:paraId="77E2C556" w14:textId="77777777" w:rsidR="00F520F7" w:rsidRPr="00D835EA" w:rsidRDefault="00F520F7" w:rsidP="00E4684C">
            <w:r w:rsidRPr="00D835EA">
              <w:t>People and Culture</w:t>
            </w:r>
          </w:p>
        </w:tc>
      </w:tr>
      <w:tr w:rsidR="00F520F7" w:rsidRPr="00D835EA" w14:paraId="3BFD31FF" w14:textId="77777777" w:rsidTr="0091654B">
        <w:tc>
          <w:tcPr>
            <w:tcW w:w="1485" w:type="pct"/>
          </w:tcPr>
          <w:p w14:paraId="21D52BCA" w14:textId="0B068FE5" w:rsidR="00F520F7" w:rsidRPr="00D835EA" w:rsidRDefault="00F520F7" w:rsidP="00E4684C">
            <w:r>
              <w:t xml:space="preserve">5.2 </w:t>
            </w:r>
            <w:r w:rsidRPr="00D835EA">
              <w:t>Monitor in</w:t>
            </w:r>
            <w:r w:rsidRPr="00D835EA">
              <w:rPr>
                <w:rFonts w:ascii="Cambria Math" w:hAnsi="Cambria Math" w:cs="Cambria Math"/>
              </w:rPr>
              <w:t>‑</w:t>
            </w:r>
            <w:r w:rsidRPr="00D835EA">
              <w:t>band pay gap data to ensure that VPS Grades 2 to 4 roles continue to offer secure, flexible work without gendered impact</w:t>
            </w:r>
          </w:p>
          <w:p w14:paraId="09FDB2D6" w14:textId="77777777" w:rsidR="00F520F7" w:rsidRPr="00D835EA" w:rsidRDefault="00F520F7" w:rsidP="00E4684C">
            <w:r w:rsidRPr="00D835EA">
              <w:t>on salaries.</w:t>
            </w:r>
          </w:p>
        </w:tc>
        <w:tc>
          <w:tcPr>
            <w:tcW w:w="1858" w:type="pct"/>
          </w:tcPr>
          <w:p w14:paraId="64C27609" w14:textId="77777777" w:rsidR="00F520F7" w:rsidRPr="00D835EA" w:rsidRDefault="00F520F7" w:rsidP="00E4684C">
            <w:r w:rsidRPr="00D835EA">
              <w:t>In</w:t>
            </w:r>
            <w:r w:rsidRPr="00D835EA">
              <w:rPr>
                <w:rFonts w:ascii="Cambria Math" w:hAnsi="Cambria Math" w:cs="Cambria Math"/>
              </w:rPr>
              <w:t>‑</w:t>
            </w:r>
            <w:r w:rsidRPr="00D835EA">
              <w:t>band gender pay gap analysis is conducted annually.</w:t>
            </w:r>
          </w:p>
          <w:p w14:paraId="13371D40" w14:textId="77777777" w:rsidR="00F520F7" w:rsidRPr="00D835EA" w:rsidRDefault="00F520F7" w:rsidP="00E4684C">
            <w:r w:rsidRPr="00D835EA">
              <w:t>In</w:t>
            </w:r>
            <w:r w:rsidRPr="00D835EA">
              <w:rPr>
                <w:rFonts w:ascii="Cambria Math" w:hAnsi="Cambria Math" w:cs="Cambria Math"/>
              </w:rPr>
              <w:t>‑</w:t>
            </w:r>
            <w:r w:rsidRPr="00D835EA">
              <w:t>band gender pay gaps for VPS Grades 2 to 4 roles remain stable or reduce.</w:t>
            </w:r>
          </w:p>
        </w:tc>
        <w:tc>
          <w:tcPr>
            <w:tcW w:w="647" w:type="pct"/>
          </w:tcPr>
          <w:p w14:paraId="4469DBE5" w14:textId="77777777" w:rsidR="00F520F7" w:rsidRPr="00D835EA" w:rsidRDefault="00F520F7" w:rsidP="00E4684C">
            <w:r w:rsidRPr="00D835EA">
              <w:t>2022 and ongoing</w:t>
            </w:r>
          </w:p>
        </w:tc>
        <w:tc>
          <w:tcPr>
            <w:tcW w:w="1010" w:type="pct"/>
          </w:tcPr>
          <w:p w14:paraId="2C25AA26" w14:textId="77777777" w:rsidR="00F520F7" w:rsidRPr="00D835EA" w:rsidRDefault="00F520F7" w:rsidP="00E4684C">
            <w:r w:rsidRPr="00D835EA">
              <w:t>People and Culture</w:t>
            </w:r>
          </w:p>
        </w:tc>
      </w:tr>
      <w:tr w:rsidR="00F520F7" w:rsidRPr="00D835EA" w14:paraId="7E98162F" w14:textId="77777777" w:rsidTr="0091654B">
        <w:tc>
          <w:tcPr>
            <w:tcW w:w="1485" w:type="pct"/>
          </w:tcPr>
          <w:p w14:paraId="25A5B2C6" w14:textId="4075761B" w:rsidR="00F520F7" w:rsidRPr="00D835EA" w:rsidRDefault="00F520F7" w:rsidP="00E4684C">
            <w:r>
              <w:t xml:space="preserve">5.3 </w:t>
            </w:r>
            <w:r w:rsidRPr="00D835EA">
              <w:t>Conduct Executive remuneration review.</w:t>
            </w:r>
          </w:p>
        </w:tc>
        <w:tc>
          <w:tcPr>
            <w:tcW w:w="1858" w:type="pct"/>
          </w:tcPr>
          <w:p w14:paraId="60C80D00" w14:textId="77777777" w:rsidR="00F520F7" w:rsidRPr="00D835EA" w:rsidRDefault="00F520F7" w:rsidP="00E4684C">
            <w:r w:rsidRPr="00D835EA">
              <w:t>Executive remuneration review is conducted and appropriate</w:t>
            </w:r>
          </w:p>
          <w:p w14:paraId="75A7A63E" w14:textId="77777777" w:rsidR="00F520F7" w:rsidRPr="00D835EA" w:rsidRDefault="00F520F7" w:rsidP="00E4684C">
            <w:r w:rsidRPr="00D835EA">
              <w:t>recommendations are implemented.</w:t>
            </w:r>
          </w:p>
        </w:tc>
        <w:tc>
          <w:tcPr>
            <w:tcW w:w="647" w:type="pct"/>
          </w:tcPr>
          <w:p w14:paraId="3BA19248" w14:textId="77777777" w:rsidR="00F520F7" w:rsidRPr="00D835EA" w:rsidRDefault="00F520F7" w:rsidP="00E4684C">
            <w:r w:rsidRPr="00D835EA">
              <w:t>2022</w:t>
            </w:r>
          </w:p>
        </w:tc>
        <w:tc>
          <w:tcPr>
            <w:tcW w:w="1010" w:type="pct"/>
          </w:tcPr>
          <w:p w14:paraId="4075B470" w14:textId="77777777" w:rsidR="00F520F7" w:rsidRPr="00D835EA" w:rsidRDefault="00F520F7" w:rsidP="00E4684C">
            <w:r w:rsidRPr="00D835EA">
              <w:t>People and Culture</w:t>
            </w:r>
          </w:p>
        </w:tc>
      </w:tr>
      <w:tr w:rsidR="00F520F7" w:rsidRPr="00D835EA" w14:paraId="5DC0EC5E" w14:textId="77777777" w:rsidTr="0091654B">
        <w:tc>
          <w:tcPr>
            <w:tcW w:w="1485" w:type="pct"/>
          </w:tcPr>
          <w:p w14:paraId="0138CB19" w14:textId="16368A90" w:rsidR="00F520F7" w:rsidRPr="00D835EA" w:rsidRDefault="00F520F7" w:rsidP="00E4684C">
            <w:r>
              <w:t xml:space="preserve">5.4 </w:t>
            </w:r>
            <w:r w:rsidRPr="00D835EA">
              <w:t>Monitor pay gap data to analyse effectiveness of identified strategies.</w:t>
            </w:r>
          </w:p>
        </w:tc>
        <w:tc>
          <w:tcPr>
            <w:tcW w:w="1858" w:type="pct"/>
          </w:tcPr>
          <w:p w14:paraId="7AD42E7C" w14:textId="174BD0DA" w:rsidR="00F520F7" w:rsidRPr="00D835EA" w:rsidRDefault="00F520F7" w:rsidP="00E4684C">
            <w:r w:rsidRPr="00D835EA">
              <w:t>Annual pay gap report including in</w:t>
            </w:r>
            <w:r w:rsidRPr="00D835EA">
              <w:rPr>
                <w:rFonts w:ascii="Cambria Math" w:hAnsi="Cambria Math" w:cs="Cambria Math"/>
              </w:rPr>
              <w:t>‑</w:t>
            </w:r>
            <w:r w:rsidRPr="00D835EA">
              <w:t xml:space="preserve">band pay gaps is provided to </w:t>
            </w:r>
            <w:r w:rsidR="00E24D51">
              <w:t>Court Services Victoria</w:t>
            </w:r>
            <w:r w:rsidRPr="00D835EA">
              <w:t xml:space="preserve"> CEO and Courts Council.</w:t>
            </w:r>
          </w:p>
          <w:p w14:paraId="390831ED" w14:textId="29E58B92" w:rsidR="00F520F7" w:rsidRPr="00D835EA" w:rsidRDefault="00F520F7" w:rsidP="00E4684C">
            <w:proofErr w:type="gramStart"/>
            <w:r w:rsidRPr="00D835EA">
              <w:t>Overall</w:t>
            </w:r>
            <w:proofErr w:type="gramEnd"/>
            <w:r w:rsidRPr="00D835EA">
              <w:t xml:space="preserve"> </w:t>
            </w:r>
            <w:r w:rsidR="00E24D51">
              <w:t>Court Services Victoria</w:t>
            </w:r>
            <w:r w:rsidRPr="00D835EA">
              <w:t xml:space="preserve"> gender pay gap is reduced.</w:t>
            </w:r>
          </w:p>
        </w:tc>
        <w:tc>
          <w:tcPr>
            <w:tcW w:w="647" w:type="pct"/>
          </w:tcPr>
          <w:p w14:paraId="0A701F40" w14:textId="77777777" w:rsidR="00F520F7" w:rsidRPr="00D835EA" w:rsidRDefault="00F520F7" w:rsidP="00E4684C">
            <w:r w:rsidRPr="00D835EA">
              <w:t>2022 and ongoing</w:t>
            </w:r>
          </w:p>
        </w:tc>
        <w:tc>
          <w:tcPr>
            <w:tcW w:w="1010" w:type="pct"/>
          </w:tcPr>
          <w:p w14:paraId="0A6B9F0A" w14:textId="77777777" w:rsidR="00F520F7" w:rsidRPr="00D835EA" w:rsidRDefault="00F520F7" w:rsidP="00E4684C">
            <w:r w:rsidRPr="00D835EA">
              <w:t>People and Culture</w:t>
            </w:r>
          </w:p>
        </w:tc>
      </w:tr>
    </w:tbl>
    <w:p w14:paraId="132AAF13" w14:textId="77777777" w:rsidR="008905F0" w:rsidRPr="00A571CA" w:rsidRDefault="008905F0" w:rsidP="00A571CA">
      <w:pPr>
        <w:pStyle w:val="Heading2"/>
      </w:pPr>
      <w:bookmarkStart w:id="22" w:name="_Toc110508770"/>
      <w:r w:rsidRPr="00A571CA">
        <w:t>Effectively measure and monitor gender equality outcomes through improved data and insights</w:t>
      </w:r>
      <w:bookmarkEnd w:id="22"/>
    </w:p>
    <w:p w14:paraId="7CD66316" w14:textId="2F558904" w:rsidR="008905F0" w:rsidRPr="00D835EA" w:rsidRDefault="008905F0" w:rsidP="008905F0">
      <w:pPr>
        <w:pStyle w:val="BodyText"/>
      </w:pPr>
      <w:r w:rsidRPr="00D835EA">
        <w:t xml:space="preserve">As </w:t>
      </w:r>
      <w:proofErr w:type="gramStart"/>
      <w:r w:rsidRPr="00D835EA">
        <w:t>at</w:t>
      </w:r>
      <w:proofErr w:type="gramEnd"/>
      <w:r w:rsidRPr="00D835EA">
        <w:t xml:space="preserve"> 30 June 2021, the gender composition of Courts Council was 50.0%, comprising four women (including the Chair) and four men. </w:t>
      </w:r>
      <w:r w:rsidR="00E24D51">
        <w:t>Court Services Victoria</w:t>
      </w:r>
      <w:r w:rsidRPr="00D835EA">
        <w:t>’s workforce comprised</w:t>
      </w:r>
      <w:r w:rsidR="00112FE9">
        <w:t xml:space="preserve"> </w:t>
      </w:r>
      <w:r w:rsidRPr="00D835EA">
        <w:t>2,598 employees including 71% women, 29% men and</w:t>
      </w:r>
      <w:r w:rsidR="00112FE9">
        <w:t xml:space="preserve"> </w:t>
      </w:r>
      <w:r w:rsidRPr="00D835EA">
        <w:t>0.1% self</w:t>
      </w:r>
      <w:r w:rsidRPr="00D835EA">
        <w:rPr>
          <w:rFonts w:ascii="Cambria Math" w:hAnsi="Cambria Math" w:cs="Cambria Math"/>
        </w:rPr>
        <w:t>‑</w:t>
      </w:r>
      <w:r w:rsidRPr="00D835EA">
        <w:t>described.</w:t>
      </w:r>
    </w:p>
    <w:p w14:paraId="78483DD1" w14:textId="660DF906" w:rsidR="008905F0" w:rsidRPr="00D835EA" w:rsidRDefault="008905F0" w:rsidP="008905F0">
      <w:pPr>
        <w:pStyle w:val="BodyText"/>
      </w:pPr>
      <w:r w:rsidRPr="00D835EA">
        <w:t>People Matter Survey results revealed that of the 881 employees who responded to the survey, 115 identified</w:t>
      </w:r>
      <w:r w:rsidR="00112FE9">
        <w:t xml:space="preserve"> </w:t>
      </w:r>
      <w:r w:rsidRPr="00D835EA">
        <w:t>as non</w:t>
      </w:r>
      <w:r w:rsidRPr="00D835EA">
        <w:rPr>
          <w:rFonts w:ascii="Cambria Math" w:hAnsi="Cambria Math" w:cs="Cambria Math"/>
        </w:rPr>
        <w:t>‑</w:t>
      </w:r>
      <w:r w:rsidRPr="00D835EA">
        <w:t>binary, or preferred not to say. This may suggest</w:t>
      </w:r>
      <w:r w:rsidR="00112FE9">
        <w:t xml:space="preserve"> </w:t>
      </w:r>
      <w:r w:rsidRPr="00D835EA">
        <w:t>that employees are either dissatisfied with the option of “self</w:t>
      </w:r>
      <w:r w:rsidRPr="00D835EA">
        <w:rPr>
          <w:rFonts w:ascii="Cambria Math" w:hAnsi="Cambria Math" w:cs="Cambria Math"/>
        </w:rPr>
        <w:t>‑</w:t>
      </w:r>
      <w:r w:rsidRPr="00D835EA">
        <w:t>described</w:t>
      </w:r>
      <w:r w:rsidRPr="00D835EA">
        <w:rPr>
          <w:rFonts w:ascii="Biennale Book" w:hAnsi="Biennale Book" w:cs="Biennale Book"/>
        </w:rPr>
        <w:t>”</w:t>
      </w:r>
      <w:r w:rsidRPr="00D835EA">
        <w:t xml:space="preserve"> as a gender category in the payroll </w:t>
      </w:r>
      <w:proofErr w:type="gramStart"/>
      <w:r w:rsidRPr="00D835EA">
        <w:t>system, or</w:t>
      </w:r>
      <w:proofErr w:type="gramEnd"/>
      <w:r w:rsidRPr="00D835EA">
        <w:t xml:space="preserve"> are only comfortable disclosing their gender when it can be done anonymously.</w:t>
      </w:r>
    </w:p>
    <w:p w14:paraId="3EE6A2EE" w14:textId="71317F23" w:rsidR="008905F0" w:rsidRPr="00D835EA" w:rsidRDefault="008905F0" w:rsidP="008905F0">
      <w:pPr>
        <w:pStyle w:val="BodyText"/>
      </w:pPr>
      <w:r w:rsidRPr="00D835EA">
        <w:t>The concept of intersectional disadvantage or discrimination is sometimes referred to as</w:t>
      </w:r>
      <w:r w:rsidR="00112FE9">
        <w:t xml:space="preserve"> </w:t>
      </w:r>
      <w:r w:rsidRPr="00D835EA">
        <w:t>intersectionality. Intersectionality explains how people may experience overlapping forms of discrimination or disadvantage based on social characteristics</w:t>
      </w:r>
      <w:r w:rsidR="00112FE9">
        <w:t xml:space="preserve"> </w:t>
      </w:r>
      <w:r w:rsidRPr="00D835EA">
        <w:t xml:space="preserve">such as (but not limited to) sex, </w:t>
      </w:r>
      <w:r w:rsidRPr="00D835EA">
        <w:lastRenderedPageBreak/>
        <w:t xml:space="preserve">gender identity, sexual orientation, ethnicity, language, religion, class, socioeconomic status, gender identity, </w:t>
      </w:r>
      <w:proofErr w:type="gramStart"/>
      <w:r w:rsidRPr="00D835EA">
        <w:t>ability</w:t>
      </w:r>
      <w:proofErr w:type="gramEnd"/>
      <w:r w:rsidRPr="00D835EA">
        <w:t xml:space="preserve"> or age.</w:t>
      </w:r>
      <w:r w:rsidR="00D94DC8">
        <w:rPr>
          <w:rStyle w:val="FootnoteReference"/>
        </w:rPr>
        <w:footnoteReference w:id="11"/>
      </w:r>
    </w:p>
    <w:p w14:paraId="3105481F" w14:textId="742F745D" w:rsidR="008905F0" w:rsidRPr="00D835EA" w:rsidRDefault="008905F0" w:rsidP="008905F0">
      <w:pPr>
        <w:pStyle w:val="BodyText"/>
      </w:pPr>
      <w:r w:rsidRPr="00D835EA">
        <w:t xml:space="preserve">Available intersectional </w:t>
      </w:r>
      <w:r w:rsidR="00E24D51">
        <w:t>Court Services Victoria</w:t>
      </w:r>
      <w:r w:rsidRPr="00D835EA">
        <w:t xml:space="preserve"> workforce data included:</w:t>
      </w:r>
    </w:p>
    <w:p w14:paraId="24B300B2" w14:textId="77777777" w:rsidR="008905F0" w:rsidRPr="00575F3B" w:rsidRDefault="008905F0" w:rsidP="00F520F7">
      <w:pPr>
        <w:pStyle w:val="ListBullet"/>
      </w:pPr>
      <w:r w:rsidRPr="00D835EA">
        <w:t>2.5</w:t>
      </w:r>
      <w:r w:rsidRPr="00575F3B">
        <w:t>% Aboriginal and/or Torres Strait Islander people (44 women and 19 men)</w:t>
      </w:r>
    </w:p>
    <w:p w14:paraId="5BFAB70C" w14:textId="08730278" w:rsidR="008905F0" w:rsidRPr="00575F3B" w:rsidRDefault="008905F0" w:rsidP="00F520F7">
      <w:pPr>
        <w:pStyle w:val="ListBullet"/>
      </w:pPr>
      <w:r w:rsidRPr="00575F3B">
        <w:t xml:space="preserve">0.7% people with disability (13 women and 4 men) recorded in </w:t>
      </w:r>
      <w:r w:rsidR="00E24D51">
        <w:t>Court Services Victoria</w:t>
      </w:r>
      <w:r w:rsidRPr="00575F3B">
        <w:t>’s workforce data. This compares to 50 people who indicated they had a disability in the People Matter Survey (34 women and</w:t>
      </w:r>
      <w:r w:rsidR="00112FE9" w:rsidRPr="00575F3B">
        <w:t xml:space="preserve"> </w:t>
      </w:r>
      <w:r w:rsidRPr="00575F3B">
        <w:t xml:space="preserve">16 men), which represents 1.9% of </w:t>
      </w:r>
      <w:r w:rsidR="00E24D51">
        <w:t>Court Services Victoria</w:t>
      </w:r>
      <w:r w:rsidRPr="00575F3B">
        <w:t xml:space="preserve"> employees. This suggests that employees are either unaware that this information can be captured in the payroll system or are only comfortable sharing information about their disability when it can</w:t>
      </w:r>
      <w:r w:rsidR="00112FE9" w:rsidRPr="00575F3B">
        <w:t xml:space="preserve"> </w:t>
      </w:r>
      <w:r w:rsidRPr="00575F3B">
        <w:t>be done anonymously.</w:t>
      </w:r>
    </w:p>
    <w:p w14:paraId="7EA34814" w14:textId="01D885CE" w:rsidR="00112FE9" w:rsidRPr="00D835EA" w:rsidRDefault="00112FE9" w:rsidP="00F520F7">
      <w:pPr>
        <w:pStyle w:val="ListBullet"/>
      </w:pPr>
      <w:r w:rsidRPr="00575F3B">
        <w:t>59% of the workforce was aged between 25</w:t>
      </w:r>
      <w:r w:rsidR="00184762" w:rsidRPr="00575F3B">
        <w:t xml:space="preserve"> </w:t>
      </w:r>
      <w:r w:rsidRPr="00575F3B">
        <w:t>and 44 (42% women and 17% men of the total workforce</w:t>
      </w:r>
      <w:r w:rsidRPr="00D835EA">
        <w:t>), and 32% of employees were above 45 years of age (21% women and 11% men of the total workforce).</w:t>
      </w:r>
    </w:p>
    <w:p w14:paraId="3C4D33C8" w14:textId="77777777" w:rsidR="008905F0" w:rsidRPr="00D835EA" w:rsidRDefault="008905F0" w:rsidP="008905F0">
      <w:pPr>
        <w:pStyle w:val="BodyText"/>
      </w:pPr>
      <w:r w:rsidRPr="00D835EA">
        <w:t xml:space="preserve">Our Workplace Gender Audit revealed that current intersectionality data capture is limited. </w:t>
      </w:r>
      <w:proofErr w:type="gramStart"/>
      <w:r w:rsidRPr="00D835EA">
        <w:t>In order to</w:t>
      </w:r>
      <w:proofErr w:type="gramEnd"/>
      <w:r w:rsidRPr="00D835EA">
        <w:t xml:space="preserve"> better understand our workforce and how workplace culture and practices impact individuals, our data collection processes and systems require updating. The need for improved collection and reporting of exit interview and learning and development data was also identified.</w:t>
      </w:r>
    </w:p>
    <w:p w14:paraId="78C85320" w14:textId="055755E7" w:rsidR="008905F0" w:rsidRDefault="008905F0" w:rsidP="008905F0">
      <w:pPr>
        <w:pStyle w:val="BodyText"/>
      </w:pPr>
      <w:r w:rsidRPr="00D835EA">
        <w:t>Additionally, the People Matter Survey item relating to this strategy was rated favourably by only 63% of respondents who identified as non</w:t>
      </w:r>
      <w:r w:rsidRPr="00D835EA">
        <w:rPr>
          <w:rFonts w:ascii="Cambria Math" w:hAnsi="Cambria Math" w:cs="Cambria Math"/>
        </w:rPr>
        <w:t>‑</w:t>
      </w:r>
      <w:r w:rsidRPr="00D835EA">
        <w:t>binary or preferred not to say:</w:t>
      </w:r>
    </w:p>
    <w:p w14:paraId="51DE931D" w14:textId="3D7F0ECD" w:rsidR="00F520F7" w:rsidRPr="00A571CA" w:rsidRDefault="00F520F7" w:rsidP="00F520F7">
      <w:pPr>
        <w:pStyle w:val="ListBullet"/>
      </w:pPr>
      <w:r w:rsidRPr="00A571CA">
        <w:t>‘There is a positive culture within my organisation in relation to employees of different sexes/genders.’</w:t>
      </w:r>
      <w:r>
        <w:t xml:space="preserve"> </w:t>
      </w:r>
      <w:r w:rsidRPr="00F65DD7">
        <w:t>(6</w:t>
      </w:r>
      <w:r>
        <w:t>3</w:t>
      </w:r>
      <w:r w:rsidRPr="00F65DD7">
        <w:t>% favourable responses)</w:t>
      </w:r>
    </w:p>
    <w:p w14:paraId="575B71B7" w14:textId="77777777" w:rsidR="008905F0" w:rsidRDefault="008905F0" w:rsidP="008905F0">
      <w:pPr>
        <w:pStyle w:val="BodyText"/>
      </w:pPr>
      <w:r w:rsidRPr="00D835EA">
        <w:t>This pattern of responses suggests that measures need to be taken to improve intersectional data capture and psychological safety in the workplace. These are summarised in Table 7. It is worth noting that this strategy relies on some of the measures outlined in Strategy 1 (inclusive leadership and employee training programs) to create the conditions necessary for improved psychological safety.</w:t>
      </w:r>
    </w:p>
    <w:p w14:paraId="1BD2FFE4" w14:textId="5F6EE580" w:rsidR="008905F0" w:rsidRPr="00D835EA" w:rsidRDefault="00F520F7" w:rsidP="00F520F7">
      <w:pPr>
        <w:pStyle w:val="Caption"/>
      </w:pPr>
      <w:r>
        <w:t xml:space="preserve">Table </w:t>
      </w:r>
      <w:fldSimple w:instr=" SEQ Table \* ARABIC ">
        <w:r w:rsidR="00561567">
          <w:rPr>
            <w:noProof/>
          </w:rPr>
          <w:t>7</w:t>
        </w:r>
      </w:fldSimple>
      <w:r w:rsidR="008905F0" w:rsidRPr="00D835EA">
        <w:t>: Measures to effectively measure and monitor gender equality outcomes</w:t>
      </w:r>
    </w:p>
    <w:tbl>
      <w:tblPr>
        <w:tblStyle w:val="TableGrid"/>
        <w:tblW w:w="5000" w:type="pct"/>
        <w:tblLook w:val="0620" w:firstRow="1" w:lastRow="0" w:firstColumn="0" w:lastColumn="0" w:noHBand="1" w:noVBand="1"/>
      </w:tblPr>
      <w:tblGrid>
        <w:gridCol w:w="2410"/>
        <w:gridCol w:w="3569"/>
        <w:gridCol w:w="1699"/>
        <w:gridCol w:w="1943"/>
      </w:tblGrid>
      <w:tr w:rsidR="00F520F7" w:rsidRPr="00D835EA" w14:paraId="2091E3A9" w14:textId="77777777" w:rsidTr="0091654B">
        <w:trPr>
          <w:cnfStyle w:val="100000000000" w:firstRow="1" w:lastRow="0" w:firstColumn="0" w:lastColumn="0" w:oddVBand="0" w:evenVBand="0" w:oddHBand="0" w:evenHBand="0" w:firstRowFirstColumn="0" w:firstRowLastColumn="0" w:lastRowFirstColumn="0" w:lastRowLastColumn="0"/>
        </w:trPr>
        <w:tc>
          <w:tcPr>
            <w:tcW w:w="1252" w:type="pct"/>
          </w:tcPr>
          <w:p w14:paraId="3EDF3833" w14:textId="77777777" w:rsidR="00F520F7" w:rsidRPr="00D835EA" w:rsidRDefault="00F520F7" w:rsidP="00E4684C">
            <w:bookmarkStart w:id="23" w:name="ColumnTitle_7"/>
            <w:r w:rsidRPr="00D835EA">
              <w:t>Measures</w:t>
            </w:r>
          </w:p>
        </w:tc>
        <w:tc>
          <w:tcPr>
            <w:tcW w:w="1855" w:type="pct"/>
          </w:tcPr>
          <w:p w14:paraId="147BE535" w14:textId="77777777" w:rsidR="00F520F7" w:rsidRPr="00D835EA" w:rsidRDefault="00F520F7" w:rsidP="00E4684C">
            <w:r w:rsidRPr="00D835EA">
              <w:t>Outcomes</w:t>
            </w:r>
          </w:p>
        </w:tc>
        <w:tc>
          <w:tcPr>
            <w:tcW w:w="883" w:type="pct"/>
          </w:tcPr>
          <w:p w14:paraId="7014CC36" w14:textId="77777777" w:rsidR="00F520F7" w:rsidRPr="00D835EA" w:rsidRDefault="00F520F7" w:rsidP="00E4684C">
            <w:r w:rsidRPr="00D835EA">
              <w:t>Timeline</w:t>
            </w:r>
          </w:p>
        </w:tc>
        <w:tc>
          <w:tcPr>
            <w:tcW w:w="1010" w:type="pct"/>
          </w:tcPr>
          <w:p w14:paraId="68EB2907" w14:textId="77777777" w:rsidR="00F520F7" w:rsidRPr="00D835EA" w:rsidRDefault="00F520F7" w:rsidP="00E4684C">
            <w:r w:rsidRPr="00D835EA">
              <w:t>Accountability</w:t>
            </w:r>
          </w:p>
        </w:tc>
      </w:tr>
      <w:bookmarkEnd w:id="23"/>
      <w:tr w:rsidR="00F520F7" w:rsidRPr="00D835EA" w14:paraId="577CB6DC" w14:textId="77777777" w:rsidTr="0091654B">
        <w:tc>
          <w:tcPr>
            <w:tcW w:w="1252" w:type="pct"/>
          </w:tcPr>
          <w:p w14:paraId="44B09B65" w14:textId="52572C0C" w:rsidR="00F520F7" w:rsidRPr="00D835EA" w:rsidRDefault="00F520F7" w:rsidP="00E4684C">
            <w:r>
              <w:t xml:space="preserve">6.1 </w:t>
            </w:r>
            <w:r w:rsidRPr="00D835EA">
              <w:t>Monitor and report on gender composition of Courts Council.</w:t>
            </w:r>
          </w:p>
        </w:tc>
        <w:tc>
          <w:tcPr>
            <w:tcW w:w="1855" w:type="pct"/>
          </w:tcPr>
          <w:p w14:paraId="46464636" w14:textId="77777777" w:rsidR="00F520F7" w:rsidRPr="00D835EA" w:rsidRDefault="00F520F7" w:rsidP="00E4684C">
            <w:r w:rsidRPr="00D835EA">
              <w:t>Annual gender audit report is conducted.</w:t>
            </w:r>
          </w:p>
        </w:tc>
        <w:tc>
          <w:tcPr>
            <w:tcW w:w="883" w:type="pct"/>
          </w:tcPr>
          <w:p w14:paraId="11005B43" w14:textId="77777777" w:rsidR="00F520F7" w:rsidRPr="00D835EA" w:rsidRDefault="00F520F7" w:rsidP="00E4684C">
            <w:r w:rsidRPr="00D835EA">
              <w:t>2022 and ongoing</w:t>
            </w:r>
          </w:p>
        </w:tc>
        <w:tc>
          <w:tcPr>
            <w:tcW w:w="1010" w:type="pct"/>
          </w:tcPr>
          <w:p w14:paraId="55B9E46B" w14:textId="77777777" w:rsidR="00F520F7" w:rsidRPr="00D835EA" w:rsidRDefault="00F520F7" w:rsidP="00E4684C">
            <w:r w:rsidRPr="00D835EA">
              <w:t>People and Culture</w:t>
            </w:r>
          </w:p>
        </w:tc>
      </w:tr>
      <w:tr w:rsidR="00F520F7" w:rsidRPr="00D835EA" w14:paraId="6DA308A1" w14:textId="77777777" w:rsidTr="0091654B">
        <w:tc>
          <w:tcPr>
            <w:tcW w:w="1252" w:type="pct"/>
          </w:tcPr>
          <w:p w14:paraId="55FB338D" w14:textId="0B910DBE" w:rsidR="00F520F7" w:rsidRPr="00D835EA" w:rsidRDefault="00F520F7" w:rsidP="00E4684C">
            <w:r>
              <w:t xml:space="preserve">6.2 </w:t>
            </w:r>
            <w:r w:rsidRPr="00D835EA">
              <w:t xml:space="preserve">Provide communications to new and existing </w:t>
            </w:r>
            <w:r w:rsidR="00E24D51">
              <w:t>Court Services Victoria</w:t>
            </w:r>
            <w:r w:rsidRPr="00D835EA">
              <w:t xml:space="preserve"> employees regarding the capture, </w:t>
            </w:r>
            <w:proofErr w:type="gramStart"/>
            <w:r w:rsidRPr="00D835EA">
              <w:t>privacy</w:t>
            </w:r>
            <w:proofErr w:type="gramEnd"/>
            <w:r w:rsidRPr="00D835EA">
              <w:t xml:space="preserve"> and use of personal data.</w:t>
            </w:r>
          </w:p>
        </w:tc>
        <w:tc>
          <w:tcPr>
            <w:tcW w:w="1855" w:type="pct"/>
          </w:tcPr>
          <w:p w14:paraId="20F59D90" w14:textId="77777777" w:rsidR="00F520F7" w:rsidRPr="00D835EA" w:rsidRDefault="00F520F7" w:rsidP="00E4684C">
            <w:r w:rsidRPr="00D835EA">
              <w:t>Employee Information Collection Notice to be developed and communicated.</w:t>
            </w:r>
          </w:p>
        </w:tc>
        <w:tc>
          <w:tcPr>
            <w:tcW w:w="883" w:type="pct"/>
          </w:tcPr>
          <w:p w14:paraId="09AA6206" w14:textId="77777777" w:rsidR="00F520F7" w:rsidRPr="00D835EA" w:rsidRDefault="00F520F7" w:rsidP="00E4684C">
            <w:r w:rsidRPr="00D835EA">
              <w:t>2022 and ongoing</w:t>
            </w:r>
          </w:p>
        </w:tc>
        <w:tc>
          <w:tcPr>
            <w:tcW w:w="1010" w:type="pct"/>
          </w:tcPr>
          <w:p w14:paraId="687F494F" w14:textId="77777777" w:rsidR="00F520F7" w:rsidRPr="00D835EA" w:rsidRDefault="00F520F7" w:rsidP="00E4684C">
            <w:r w:rsidRPr="00D835EA">
              <w:t>Legal and Governance</w:t>
            </w:r>
          </w:p>
          <w:p w14:paraId="762C4053" w14:textId="77777777" w:rsidR="00F520F7" w:rsidRPr="00D835EA" w:rsidRDefault="00F520F7" w:rsidP="00E4684C">
            <w:r w:rsidRPr="00D835EA">
              <w:t>People and Culture</w:t>
            </w:r>
          </w:p>
          <w:p w14:paraId="1AACAE2F" w14:textId="77777777" w:rsidR="00F520F7" w:rsidRPr="00D835EA" w:rsidRDefault="00F520F7" w:rsidP="00E4684C">
            <w:r w:rsidRPr="00D835EA">
              <w:t>Hiring Managers</w:t>
            </w:r>
          </w:p>
        </w:tc>
      </w:tr>
      <w:tr w:rsidR="00F520F7" w:rsidRPr="00D835EA" w14:paraId="227B4D2E" w14:textId="77777777" w:rsidTr="0091654B">
        <w:tc>
          <w:tcPr>
            <w:tcW w:w="1252" w:type="pct"/>
          </w:tcPr>
          <w:p w14:paraId="613C836D" w14:textId="21DA4925" w:rsidR="00F520F7" w:rsidRPr="00D835EA" w:rsidRDefault="00F520F7" w:rsidP="00E4684C">
            <w:r>
              <w:lastRenderedPageBreak/>
              <w:t xml:space="preserve">6.3 </w:t>
            </w:r>
            <w:r w:rsidRPr="00D835EA">
              <w:t>Improve intersectional data collection.</w:t>
            </w:r>
          </w:p>
        </w:tc>
        <w:tc>
          <w:tcPr>
            <w:tcW w:w="1855" w:type="pct"/>
          </w:tcPr>
          <w:p w14:paraId="698AE06F" w14:textId="5A52AA1C" w:rsidR="00F520F7" w:rsidRPr="00D835EA" w:rsidRDefault="00F520F7" w:rsidP="00E4684C">
            <w:r w:rsidRPr="00D835EA">
              <w:t>Relevant systems and processes updated to capture intersectional data.</w:t>
            </w:r>
            <w:r>
              <w:rPr>
                <w:rStyle w:val="FootnoteReference"/>
              </w:rPr>
              <w:footnoteReference w:id="12"/>
            </w:r>
          </w:p>
          <w:p w14:paraId="0FD0FB7D" w14:textId="77777777" w:rsidR="00F520F7" w:rsidRPr="00D835EA" w:rsidRDefault="00F520F7" w:rsidP="00E4684C">
            <w:r w:rsidRPr="00D835EA">
              <w:t>Improved intersectional data included in future workplace gender audits.</w:t>
            </w:r>
          </w:p>
        </w:tc>
        <w:tc>
          <w:tcPr>
            <w:tcW w:w="883" w:type="pct"/>
          </w:tcPr>
          <w:p w14:paraId="5F4C92DF" w14:textId="77777777" w:rsidR="00F520F7" w:rsidRPr="00D835EA" w:rsidRDefault="00F520F7" w:rsidP="00E4684C">
            <w:r w:rsidRPr="00D835EA">
              <w:t>Commencing 2022 and ongoing</w:t>
            </w:r>
          </w:p>
        </w:tc>
        <w:tc>
          <w:tcPr>
            <w:tcW w:w="1010" w:type="pct"/>
          </w:tcPr>
          <w:p w14:paraId="17AB5226" w14:textId="77777777" w:rsidR="00F520F7" w:rsidRPr="00D835EA" w:rsidRDefault="00F520F7" w:rsidP="00E4684C">
            <w:r w:rsidRPr="00D835EA">
              <w:t>People and Culture</w:t>
            </w:r>
          </w:p>
        </w:tc>
      </w:tr>
      <w:tr w:rsidR="00F520F7" w:rsidRPr="00D835EA" w14:paraId="5B13AA81" w14:textId="77777777" w:rsidTr="0091654B">
        <w:tc>
          <w:tcPr>
            <w:tcW w:w="1252" w:type="pct"/>
          </w:tcPr>
          <w:p w14:paraId="68EBDEC7" w14:textId="083965A1" w:rsidR="00F520F7" w:rsidRPr="00D835EA" w:rsidRDefault="00F520F7" w:rsidP="00E4684C">
            <w:r>
              <w:t xml:space="preserve">6.4 </w:t>
            </w:r>
            <w:r w:rsidRPr="00D835EA">
              <w:t>Improve data collection methods for career development opportunities.</w:t>
            </w:r>
          </w:p>
        </w:tc>
        <w:tc>
          <w:tcPr>
            <w:tcW w:w="1855" w:type="pct"/>
          </w:tcPr>
          <w:p w14:paraId="3BCE68E9" w14:textId="77777777" w:rsidR="00F520F7" w:rsidRPr="00D835EA" w:rsidRDefault="00F520F7" w:rsidP="00E4684C">
            <w:r w:rsidRPr="00D835EA">
              <w:t>Improved development data collection process is implemented.</w:t>
            </w:r>
          </w:p>
        </w:tc>
        <w:tc>
          <w:tcPr>
            <w:tcW w:w="883" w:type="pct"/>
          </w:tcPr>
          <w:p w14:paraId="789B8CB5" w14:textId="77777777" w:rsidR="00F520F7" w:rsidRPr="00D835EA" w:rsidRDefault="00F520F7" w:rsidP="00E4684C">
            <w:r w:rsidRPr="00D835EA">
              <w:t>2023</w:t>
            </w:r>
          </w:p>
        </w:tc>
        <w:tc>
          <w:tcPr>
            <w:tcW w:w="1010" w:type="pct"/>
          </w:tcPr>
          <w:p w14:paraId="0271E256" w14:textId="77777777" w:rsidR="00F520F7" w:rsidRPr="00D835EA" w:rsidRDefault="00F520F7" w:rsidP="00E4684C">
            <w:r w:rsidRPr="00D835EA">
              <w:t>People and Culture</w:t>
            </w:r>
          </w:p>
          <w:p w14:paraId="6604A3FA" w14:textId="77777777" w:rsidR="00F520F7" w:rsidRPr="00D835EA" w:rsidRDefault="00F520F7" w:rsidP="00E4684C">
            <w:r w:rsidRPr="00D835EA">
              <w:t>Finance</w:t>
            </w:r>
          </w:p>
        </w:tc>
      </w:tr>
      <w:tr w:rsidR="00F520F7" w:rsidRPr="00D835EA" w14:paraId="7914DBFF" w14:textId="77777777" w:rsidTr="0091654B">
        <w:tc>
          <w:tcPr>
            <w:tcW w:w="1252" w:type="pct"/>
          </w:tcPr>
          <w:p w14:paraId="18C1A506" w14:textId="4A3F7413" w:rsidR="00F520F7" w:rsidRPr="00D835EA" w:rsidRDefault="00F520F7" w:rsidP="00E4684C">
            <w:r>
              <w:t xml:space="preserve">6.5 </w:t>
            </w:r>
            <w:r w:rsidRPr="00D835EA">
              <w:t>Improve consistency of exit data collection and reporting.</w:t>
            </w:r>
          </w:p>
        </w:tc>
        <w:tc>
          <w:tcPr>
            <w:tcW w:w="1855" w:type="pct"/>
          </w:tcPr>
          <w:p w14:paraId="57E4949F" w14:textId="77777777" w:rsidR="00F520F7" w:rsidRPr="00D835EA" w:rsidRDefault="00F520F7" w:rsidP="00E4684C">
            <w:r w:rsidRPr="00D835EA">
              <w:t>Improved exit data collection and reporting process is implemented.</w:t>
            </w:r>
          </w:p>
        </w:tc>
        <w:tc>
          <w:tcPr>
            <w:tcW w:w="883" w:type="pct"/>
          </w:tcPr>
          <w:p w14:paraId="77266F80" w14:textId="77777777" w:rsidR="00F520F7" w:rsidRPr="00D835EA" w:rsidRDefault="00F520F7" w:rsidP="00E4684C">
            <w:r w:rsidRPr="00D835EA">
              <w:t>2023 and ongoing</w:t>
            </w:r>
          </w:p>
        </w:tc>
        <w:tc>
          <w:tcPr>
            <w:tcW w:w="1010" w:type="pct"/>
          </w:tcPr>
          <w:p w14:paraId="1890763E" w14:textId="77777777" w:rsidR="00F520F7" w:rsidRPr="00D835EA" w:rsidRDefault="00F520F7" w:rsidP="00E4684C">
            <w:r w:rsidRPr="00D835EA">
              <w:t>People and Culture</w:t>
            </w:r>
          </w:p>
        </w:tc>
      </w:tr>
      <w:tr w:rsidR="00F520F7" w:rsidRPr="00D835EA" w14:paraId="4FEF5FA0" w14:textId="77777777" w:rsidTr="0091654B">
        <w:tc>
          <w:tcPr>
            <w:tcW w:w="1252" w:type="pct"/>
          </w:tcPr>
          <w:p w14:paraId="71A14905" w14:textId="5902C2EA" w:rsidR="00F520F7" w:rsidRPr="00D835EA" w:rsidRDefault="00F520F7" w:rsidP="00E4684C">
            <w:r>
              <w:t xml:space="preserve">6.6 </w:t>
            </w:r>
            <w:r w:rsidRPr="00D835EA">
              <w:t>Conduct a review of the impact of gender stereotypes on workforce composition.</w:t>
            </w:r>
          </w:p>
        </w:tc>
        <w:tc>
          <w:tcPr>
            <w:tcW w:w="1855" w:type="pct"/>
          </w:tcPr>
          <w:p w14:paraId="537B4757" w14:textId="77777777" w:rsidR="00F520F7" w:rsidRPr="00D835EA" w:rsidRDefault="00F520F7" w:rsidP="00E4684C">
            <w:r w:rsidRPr="00D835EA">
              <w:t>Review is completed and actions identified to address are implemented.</w:t>
            </w:r>
          </w:p>
          <w:p w14:paraId="3B6CBEA1" w14:textId="77777777" w:rsidR="00F520F7" w:rsidRPr="00D835EA" w:rsidRDefault="00F520F7" w:rsidP="00E4684C">
            <w:r w:rsidRPr="00D835EA">
              <w:t>Reduction in gendered work segregation.</w:t>
            </w:r>
          </w:p>
        </w:tc>
        <w:tc>
          <w:tcPr>
            <w:tcW w:w="883" w:type="pct"/>
          </w:tcPr>
          <w:p w14:paraId="55DA0127" w14:textId="77777777" w:rsidR="00F520F7" w:rsidRPr="00D835EA" w:rsidRDefault="00F520F7" w:rsidP="00E4684C">
            <w:r w:rsidRPr="00D835EA">
              <w:t>2024</w:t>
            </w:r>
          </w:p>
        </w:tc>
        <w:tc>
          <w:tcPr>
            <w:tcW w:w="1010" w:type="pct"/>
          </w:tcPr>
          <w:p w14:paraId="276B06C4" w14:textId="77777777" w:rsidR="00F520F7" w:rsidRPr="00D835EA" w:rsidRDefault="00F520F7" w:rsidP="00E4684C">
            <w:r w:rsidRPr="00D835EA">
              <w:t>People and Culture</w:t>
            </w:r>
          </w:p>
        </w:tc>
      </w:tr>
      <w:tr w:rsidR="00F520F7" w:rsidRPr="00D835EA" w14:paraId="319DB908" w14:textId="77777777" w:rsidTr="0091654B">
        <w:tc>
          <w:tcPr>
            <w:tcW w:w="1252" w:type="pct"/>
          </w:tcPr>
          <w:p w14:paraId="4AD9A056" w14:textId="7210B047" w:rsidR="00F520F7" w:rsidRPr="00D835EA" w:rsidRDefault="00F520F7" w:rsidP="003420C1">
            <w:r>
              <w:t xml:space="preserve">6.6 </w:t>
            </w:r>
            <w:r w:rsidRPr="00D835EA">
              <w:t>Conduct a review of the impact of gender stereotypes on workforce composition.</w:t>
            </w:r>
          </w:p>
        </w:tc>
        <w:tc>
          <w:tcPr>
            <w:tcW w:w="1855" w:type="pct"/>
          </w:tcPr>
          <w:p w14:paraId="19E8D2BE" w14:textId="77777777" w:rsidR="00F520F7" w:rsidRPr="00D835EA" w:rsidRDefault="00F520F7" w:rsidP="003420C1">
            <w:r w:rsidRPr="00D835EA">
              <w:t>Gap between intersectional data in payroll system and anonymous data in People Matter Survey (or equivalent) is reduced.</w:t>
            </w:r>
          </w:p>
        </w:tc>
        <w:tc>
          <w:tcPr>
            <w:tcW w:w="883" w:type="pct"/>
          </w:tcPr>
          <w:p w14:paraId="13E99227" w14:textId="77777777" w:rsidR="00F520F7" w:rsidRPr="00D835EA" w:rsidRDefault="00F520F7" w:rsidP="003420C1">
            <w:r w:rsidRPr="00D835EA">
              <w:t>2023</w:t>
            </w:r>
          </w:p>
        </w:tc>
        <w:tc>
          <w:tcPr>
            <w:tcW w:w="1010" w:type="pct"/>
          </w:tcPr>
          <w:p w14:paraId="02988E74" w14:textId="52720F85" w:rsidR="00F520F7" w:rsidRPr="00D835EA" w:rsidRDefault="00F520F7" w:rsidP="003420C1">
            <w:r w:rsidRPr="00D835EA">
              <w:t>People and Culture</w:t>
            </w:r>
          </w:p>
        </w:tc>
      </w:tr>
    </w:tbl>
    <w:p w14:paraId="295D9248" w14:textId="680821E5" w:rsidR="008905F0" w:rsidRPr="00D835EA" w:rsidRDefault="008905F0" w:rsidP="00D94DC8"/>
    <w:p w14:paraId="05C19054" w14:textId="27F766F3" w:rsidR="008905F0" w:rsidRPr="00BA2C4A" w:rsidRDefault="008905F0" w:rsidP="008905F0">
      <w:pPr>
        <w:pStyle w:val="Heading1"/>
        <w:spacing w:before="480" w:line="276" w:lineRule="auto"/>
      </w:pPr>
      <w:bookmarkStart w:id="24" w:name="_Toc110508771"/>
      <w:r w:rsidRPr="00BA2C4A">
        <w:lastRenderedPageBreak/>
        <w:t xml:space="preserve">Resourcing our </w:t>
      </w:r>
      <w:r w:rsidR="00C05C92">
        <w:t>Gender Equality Action Plan</w:t>
      </w:r>
      <w:bookmarkEnd w:id="24"/>
    </w:p>
    <w:p w14:paraId="0FB0A064" w14:textId="6C6E4826" w:rsidR="008905F0" w:rsidRPr="00F520F7" w:rsidRDefault="00E24D51" w:rsidP="008905F0">
      <w:pPr>
        <w:pStyle w:val="BodyText"/>
      </w:pPr>
      <w:r>
        <w:t>Court Services Victoria</w:t>
      </w:r>
      <w:r w:rsidR="008905F0" w:rsidRPr="00F520F7">
        <w:t xml:space="preserve"> is committed to implementing our inaugural </w:t>
      </w:r>
      <w:r w:rsidR="00C05C92">
        <w:t>Gender Equality Action Plan</w:t>
      </w:r>
      <w:r w:rsidR="008905F0" w:rsidRPr="00F520F7">
        <w:t xml:space="preserve"> and we recognise that leadership and dedicated resources will be critical for the delivery of our strategies and measures as structural and cultural change will be necessary to achieve our vision of</w:t>
      </w:r>
      <w:r w:rsidR="00572F68" w:rsidRPr="00F520F7">
        <w:t xml:space="preserve"> </w:t>
      </w:r>
      <w:r w:rsidR="008905F0" w:rsidRPr="00F520F7">
        <w:t>a more psychologically safe workplace.</w:t>
      </w:r>
    </w:p>
    <w:p w14:paraId="0605C95D" w14:textId="78CC60E4" w:rsidR="008905F0" w:rsidRPr="00D835EA" w:rsidRDefault="008905F0" w:rsidP="008905F0">
      <w:pPr>
        <w:pStyle w:val="BodyText"/>
      </w:pPr>
      <w:r w:rsidRPr="00D835EA">
        <w:t xml:space="preserve">Resourcing required to implement our </w:t>
      </w:r>
      <w:r w:rsidR="00C05C92">
        <w:t>Gender Equality Action Plan</w:t>
      </w:r>
      <w:r w:rsidRPr="00D835EA">
        <w:t xml:space="preserve"> will include a time commitment for the following:</w:t>
      </w:r>
    </w:p>
    <w:p w14:paraId="270AAEA2" w14:textId="77777777" w:rsidR="008905F0" w:rsidRDefault="008905F0" w:rsidP="00572F68">
      <w:pPr>
        <w:pStyle w:val="ListBullet"/>
      </w:pPr>
      <w:r w:rsidRPr="00D835EA">
        <w:t>development and implementation of strategies and programs</w:t>
      </w:r>
    </w:p>
    <w:p w14:paraId="5FDA3904" w14:textId="77777777" w:rsidR="008905F0" w:rsidRPr="00D835EA" w:rsidRDefault="008905F0" w:rsidP="00572F68">
      <w:pPr>
        <w:pStyle w:val="ListBullet"/>
      </w:pPr>
      <w:r w:rsidRPr="00D835EA">
        <w:t>development and delivery of training policy review and implementation consultation</w:t>
      </w:r>
    </w:p>
    <w:p w14:paraId="51CA492F" w14:textId="77777777" w:rsidR="008905F0" w:rsidRDefault="008905F0" w:rsidP="00572F68">
      <w:pPr>
        <w:pStyle w:val="ListBullet"/>
      </w:pPr>
      <w:r w:rsidRPr="00D835EA">
        <w:t>development of communications</w:t>
      </w:r>
    </w:p>
    <w:p w14:paraId="58667E25" w14:textId="77777777" w:rsidR="008905F0" w:rsidRDefault="008905F0" w:rsidP="00572F68">
      <w:pPr>
        <w:pStyle w:val="ListBullet"/>
      </w:pPr>
      <w:r w:rsidRPr="00D835EA">
        <w:t>creation of reporting tools and ongoing delivery of reports</w:t>
      </w:r>
    </w:p>
    <w:p w14:paraId="6F0224C2" w14:textId="77777777" w:rsidR="008905F0" w:rsidRDefault="008905F0" w:rsidP="00572F68">
      <w:pPr>
        <w:pStyle w:val="ListBullet"/>
      </w:pPr>
      <w:r w:rsidRPr="00D835EA">
        <w:t>data and insights analysis</w:t>
      </w:r>
    </w:p>
    <w:p w14:paraId="40492614" w14:textId="77777777" w:rsidR="008905F0" w:rsidRDefault="008905F0" w:rsidP="00572F68">
      <w:pPr>
        <w:pStyle w:val="ListBullet"/>
      </w:pPr>
      <w:r w:rsidRPr="00D835EA">
        <w:t>program management and co</w:t>
      </w:r>
      <w:r w:rsidRPr="00D835EA">
        <w:rPr>
          <w:rFonts w:ascii="Cambria Math" w:hAnsi="Cambria Math" w:cs="Cambria Math"/>
        </w:rPr>
        <w:t>‑</w:t>
      </w:r>
      <w:r w:rsidRPr="00D835EA">
        <w:t>ordination.</w:t>
      </w:r>
    </w:p>
    <w:p w14:paraId="5146B3FE" w14:textId="7A714CF1" w:rsidR="008905F0" w:rsidRPr="00D835EA" w:rsidRDefault="008905F0" w:rsidP="00575F3B">
      <w:pPr>
        <w:pStyle w:val="BodyText"/>
      </w:pPr>
      <w:r w:rsidRPr="00D835EA">
        <w:t xml:space="preserve">To enable the gender equality program of work to be delivered, </w:t>
      </w:r>
      <w:r w:rsidR="00E24D51">
        <w:t>Court Services Victoria</w:t>
      </w:r>
      <w:r w:rsidRPr="00D835EA">
        <w:t xml:space="preserve"> will ensure appropriate and dedicated resources are allocated. The program of work will be championed by the Chief People Officer.</w:t>
      </w:r>
    </w:p>
    <w:p w14:paraId="1B20D545" w14:textId="587991C0" w:rsidR="008905F0" w:rsidRPr="00D835EA" w:rsidRDefault="008905F0" w:rsidP="008905F0">
      <w:pPr>
        <w:pStyle w:val="BodyText"/>
      </w:pPr>
      <w:r w:rsidRPr="00D835EA">
        <w:t xml:space="preserve">Ongoing resourcing will be established to drive the delivery of our </w:t>
      </w:r>
      <w:r w:rsidR="00C05C92">
        <w:t>Gender Equality Action Plan</w:t>
      </w:r>
      <w:r w:rsidRPr="00D835EA">
        <w:t xml:space="preserve"> including specialist expertise in diversity and inclusion and dedicated program</w:t>
      </w:r>
      <w:r w:rsidR="00572F68">
        <w:t xml:space="preserve"> </w:t>
      </w:r>
      <w:r w:rsidRPr="00D835EA">
        <w:t xml:space="preserve">management support. </w:t>
      </w:r>
      <w:r w:rsidR="00E24D51">
        <w:t>Court Services Victoria</w:t>
      </w:r>
      <w:r w:rsidRPr="00D835EA">
        <w:t xml:space="preserve"> will increase its capacity to provide data insights and </w:t>
      </w:r>
      <w:proofErr w:type="gramStart"/>
      <w:r w:rsidRPr="00D835EA">
        <w:t>reporting, and</w:t>
      </w:r>
      <w:proofErr w:type="gramEnd"/>
      <w:r w:rsidRPr="00D835EA">
        <w:t xml:space="preserve"> ensure the sexual harassment and respect program of work is resourced ongoing. This will result in overall additional resourcing equating to three FTE who will work collaboratively with existing expertise in people and culture and across the organisation.</w:t>
      </w:r>
    </w:p>
    <w:p w14:paraId="55A27A01" w14:textId="0FC612BA" w:rsidR="008905F0" w:rsidRPr="00D835EA" w:rsidRDefault="008905F0" w:rsidP="008905F0">
      <w:pPr>
        <w:pStyle w:val="BodyText"/>
      </w:pPr>
      <w:r w:rsidRPr="00D835EA">
        <w:t xml:space="preserve">Additional external resourcing and subject matter expertise will be sourced and engaged throughout the life of the </w:t>
      </w:r>
      <w:r w:rsidR="00C05C92">
        <w:t>Gender Equality Action Plan</w:t>
      </w:r>
      <w:r w:rsidRPr="00D835EA">
        <w:t xml:space="preserve"> </w:t>
      </w:r>
      <w:proofErr w:type="gramStart"/>
      <w:r w:rsidRPr="00D835EA">
        <w:t>in order to</w:t>
      </w:r>
      <w:proofErr w:type="gramEnd"/>
      <w:r w:rsidRPr="00D835EA">
        <w:t xml:space="preserve"> support delivery of key aspects, such as specialist training programs.</w:t>
      </w:r>
    </w:p>
    <w:p w14:paraId="128B70E9" w14:textId="09CE0E26" w:rsidR="008905F0" w:rsidRPr="00D835EA" w:rsidRDefault="008905F0" w:rsidP="008905F0">
      <w:pPr>
        <w:pStyle w:val="BodyText"/>
      </w:pPr>
      <w:r w:rsidRPr="00D835EA">
        <w:t xml:space="preserve">Arising from the measures implemented as part of the </w:t>
      </w:r>
      <w:r w:rsidR="00C05C92">
        <w:t>Gender Equality Action Plan</w:t>
      </w:r>
      <w:r w:rsidRPr="00D835EA">
        <w:t>, it is estimated that leaders will attend</w:t>
      </w:r>
      <w:r w:rsidR="00572F68">
        <w:t xml:space="preserve"> </w:t>
      </w:r>
      <w:r w:rsidRPr="00D835EA">
        <w:t xml:space="preserve">approximately 1.5 days of training and development per year. Resources, </w:t>
      </w:r>
      <w:proofErr w:type="gramStart"/>
      <w:r w:rsidRPr="00D835EA">
        <w:t>training</w:t>
      </w:r>
      <w:proofErr w:type="gramEnd"/>
      <w:r w:rsidRPr="00D835EA">
        <w:t xml:space="preserve"> and development opportunities will be available for all employees. It is estimated that uptake for most employees will equate to an average of one day per year.</w:t>
      </w:r>
    </w:p>
    <w:p w14:paraId="6DEC56A1" w14:textId="704AF1AE" w:rsidR="008905F0" w:rsidRPr="00D835EA" w:rsidRDefault="008905F0" w:rsidP="008905F0">
      <w:pPr>
        <w:pStyle w:val="BodyText"/>
      </w:pPr>
      <w:r w:rsidRPr="00D835EA">
        <w:t>Recognising the independence of each jurisdiction and its specific needs, the implementation of</w:t>
      </w:r>
      <w:r w:rsidR="00572F68">
        <w:t xml:space="preserve"> </w:t>
      </w:r>
      <w:r w:rsidRPr="00D835EA">
        <w:t xml:space="preserve">the </w:t>
      </w:r>
      <w:r w:rsidR="00C05C92">
        <w:t>Gender Equality Action Plan</w:t>
      </w:r>
      <w:r w:rsidRPr="00D835EA">
        <w:t xml:space="preserve"> will be achieved through partnership and collaboration. This will be realised</w:t>
      </w:r>
      <w:proofErr w:type="gramStart"/>
      <w:r w:rsidRPr="00D835EA">
        <w:t>, in particular, through</w:t>
      </w:r>
      <w:proofErr w:type="gramEnd"/>
      <w:r w:rsidRPr="00D835EA">
        <w:t xml:space="preserve"> the people and culture teams across the Courts</w:t>
      </w:r>
      <w:r w:rsidR="00572F68">
        <w:t xml:space="preserve"> </w:t>
      </w:r>
      <w:r w:rsidRPr="00D835EA">
        <w:t>Group, and via the establishment of a Gender Equality Advisory Group.</w:t>
      </w:r>
    </w:p>
    <w:p w14:paraId="1EC442F8" w14:textId="77777777" w:rsidR="008905F0" w:rsidRPr="00BA2C4A" w:rsidRDefault="008905F0" w:rsidP="008905F0">
      <w:pPr>
        <w:pStyle w:val="Heading1"/>
        <w:spacing w:before="480" w:line="276" w:lineRule="auto"/>
      </w:pPr>
      <w:bookmarkStart w:id="25" w:name="_Toc110508772"/>
      <w:r w:rsidRPr="00BA2C4A">
        <w:lastRenderedPageBreak/>
        <w:t>Governance and Monitoring Progress</w:t>
      </w:r>
      <w:bookmarkEnd w:id="25"/>
    </w:p>
    <w:p w14:paraId="6A49EDE5" w14:textId="103F7520" w:rsidR="008905F0" w:rsidRPr="00C05C92" w:rsidRDefault="008905F0" w:rsidP="00C05C92">
      <w:pPr>
        <w:pStyle w:val="BodyText"/>
      </w:pPr>
      <w:r w:rsidRPr="00C05C92">
        <w:t xml:space="preserve">Courts Council is the governing body of </w:t>
      </w:r>
      <w:r w:rsidR="00E24D51" w:rsidRPr="00C05C92">
        <w:t>Court Services Victoria</w:t>
      </w:r>
      <w:r w:rsidRPr="00C05C92">
        <w:t xml:space="preserve">. It directs </w:t>
      </w:r>
      <w:r w:rsidR="00E24D51" w:rsidRPr="00C05C92">
        <w:t>Court Services Victoria</w:t>
      </w:r>
      <w:r w:rsidRPr="00C05C92">
        <w:t xml:space="preserve">’s strategy, </w:t>
      </w:r>
      <w:proofErr w:type="gramStart"/>
      <w:r w:rsidRPr="00C05C92">
        <w:t>governance</w:t>
      </w:r>
      <w:proofErr w:type="gramEnd"/>
      <w:r w:rsidRPr="00C05C92">
        <w:t xml:space="preserve"> and risk management, and to that extent has a leadership and governance role in relation to aspects of the Courts Group.</w:t>
      </w:r>
    </w:p>
    <w:p w14:paraId="3138672C" w14:textId="72B2B1FF" w:rsidR="008905F0" w:rsidRPr="00D835EA" w:rsidRDefault="008905F0" w:rsidP="008905F0">
      <w:pPr>
        <w:pStyle w:val="BodyText"/>
      </w:pPr>
      <w:r w:rsidRPr="00D835EA">
        <w:t>The Health Safety and Culture Committee (</w:t>
      </w:r>
      <w:proofErr w:type="spellStart"/>
      <w:r w:rsidRPr="00D835EA">
        <w:t>HSCC</w:t>
      </w:r>
      <w:proofErr w:type="spellEnd"/>
      <w:r w:rsidRPr="00D835EA">
        <w:t xml:space="preserve">) assists the Courts Council by providing guidance and leadership on strategy, policy and practice associated with the leadership, management, </w:t>
      </w:r>
      <w:proofErr w:type="gramStart"/>
      <w:r w:rsidRPr="00D835EA">
        <w:t>support</w:t>
      </w:r>
      <w:proofErr w:type="gramEnd"/>
      <w:r w:rsidRPr="00D835EA">
        <w:t xml:space="preserve"> and development of </w:t>
      </w:r>
      <w:r w:rsidR="00E24D51">
        <w:t>Court Services Victoria</w:t>
      </w:r>
      <w:r w:rsidRPr="00D835EA">
        <w:t>’s people.</w:t>
      </w:r>
    </w:p>
    <w:p w14:paraId="5BDADBEC" w14:textId="11104943" w:rsidR="008905F0" w:rsidRPr="00D835EA" w:rsidRDefault="008905F0" w:rsidP="008905F0">
      <w:pPr>
        <w:pStyle w:val="BodyText"/>
      </w:pPr>
      <w:r w:rsidRPr="00D835EA">
        <w:t xml:space="preserve">The </w:t>
      </w:r>
      <w:r w:rsidR="00E24D51">
        <w:t>Health Safety and Culture Committee</w:t>
      </w:r>
      <w:r w:rsidRPr="00D835EA">
        <w:t xml:space="preserve"> will oversight delivery of the </w:t>
      </w:r>
      <w:r w:rsidR="00C05C92">
        <w:t>Gender Equality Action Plan</w:t>
      </w:r>
      <w:r w:rsidRPr="00D835EA">
        <w:t xml:space="preserve"> and ensure Courts Council is appropriately and regularly updated and informed of progress.</w:t>
      </w:r>
    </w:p>
    <w:p w14:paraId="3ED3BEDB" w14:textId="38081C9F" w:rsidR="008905F0" w:rsidRDefault="008905F0" w:rsidP="008905F0">
      <w:pPr>
        <w:pStyle w:val="BodyText"/>
      </w:pPr>
      <w:r w:rsidRPr="00D835EA">
        <w:t xml:space="preserve">The Courts Executive, which comprises the </w:t>
      </w:r>
      <w:r w:rsidR="00E24D51">
        <w:t>Court Services Victoria</w:t>
      </w:r>
      <w:r w:rsidRPr="00D835EA">
        <w:t xml:space="preserve"> CEO, jurisdictional </w:t>
      </w:r>
      <w:proofErr w:type="gramStart"/>
      <w:r w:rsidRPr="00D835EA">
        <w:t>CEOs</w:t>
      </w:r>
      <w:proofErr w:type="gramEnd"/>
      <w:r w:rsidRPr="00D835EA">
        <w:t xml:space="preserve"> and </w:t>
      </w:r>
      <w:r w:rsidR="00E24D51">
        <w:t>Court Services Victoria</w:t>
      </w:r>
      <w:r w:rsidRPr="00D835EA">
        <w:t xml:space="preserve"> senior executives, collaboratively focuses on the delivery of strategy,</w:t>
      </w:r>
      <w:r w:rsidR="00572F68">
        <w:t xml:space="preserve"> </w:t>
      </w:r>
      <w:r w:rsidRPr="00D835EA">
        <w:t xml:space="preserve">quality administration, and continuous improvement. In alignment with </w:t>
      </w:r>
      <w:r w:rsidR="00E24D51">
        <w:t>Health Safety and Culture Committee</w:t>
      </w:r>
      <w:r w:rsidRPr="00D835EA">
        <w:t xml:space="preserve"> reporting, the Courts Executive will be regularly updated and informed of progress towards implementation of the </w:t>
      </w:r>
      <w:r w:rsidR="00C05C92">
        <w:t>Gender Equality Action Plan</w:t>
      </w:r>
      <w:r w:rsidRPr="00D835EA">
        <w:t>.</w:t>
      </w:r>
    </w:p>
    <w:p w14:paraId="29344367" w14:textId="2AA0F1A3" w:rsidR="008905F0" w:rsidRPr="00D835EA" w:rsidRDefault="008905F0" w:rsidP="008905F0">
      <w:pPr>
        <w:pStyle w:val="BodyText"/>
      </w:pPr>
      <w:r w:rsidRPr="00D835EA">
        <w:t xml:space="preserve">A Gender Equality Advisory Group will also be established and include representation from each jurisdiction to enable employee voices to be heard and appropriate consultation to be conducted throughout delivery and implementation of the </w:t>
      </w:r>
      <w:r w:rsidR="00C05C92">
        <w:t>Gender Equality Action Plan</w:t>
      </w:r>
      <w:r w:rsidRPr="00D835EA">
        <w:t>. Membership of the Gender Equality Advisory Group will aim to include intersectional diversity and representation</w:t>
      </w:r>
      <w:r w:rsidR="00572F68">
        <w:t xml:space="preserve"> </w:t>
      </w:r>
      <w:r w:rsidRPr="00D835EA">
        <w:t xml:space="preserve">of employees with lived experience. This group will continue to build on the enthusiastic employee engagement and participation that was evidenced during the consultation process that was undertaken to develop our </w:t>
      </w:r>
      <w:r w:rsidR="00C05C92">
        <w:t>Gender Equality Action Plan</w:t>
      </w:r>
      <w:r w:rsidRPr="00D835EA">
        <w:t>.</w:t>
      </w:r>
    </w:p>
    <w:p w14:paraId="550A9F5B" w14:textId="77777777" w:rsidR="008905F0" w:rsidRPr="00D835EA" w:rsidRDefault="008905F0" w:rsidP="008905F0">
      <w:pPr>
        <w:pStyle w:val="BodyText"/>
      </w:pPr>
      <w:r w:rsidRPr="00D835EA">
        <w:t>Progress will be regularly communicated with employees across the organisation to demonstrate positive action towards achieving workplace gender equality. This will be facilitated through email communications, news items, a dedicated intranet space and the establishment of an achievement register.</w:t>
      </w:r>
    </w:p>
    <w:p w14:paraId="13905734" w14:textId="77777777" w:rsidR="008905F0" w:rsidRDefault="008905F0" w:rsidP="008905F0">
      <w:pPr>
        <w:pStyle w:val="BodyText"/>
      </w:pPr>
      <w:r w:rsidRPr="00D835EA">
        <w:t>Progress will be monitored through several reporting mechanisms as outlined above and shown in the table below.</w:t>
      </w:r>
    </w:p>
    <w:p w14:paraId="236E2402" w14:textId="30FFCCAE" w:rsidR="008905F0" w:rsidRPr="00D835EA" w:rsidRDefault="0091654B" w:rsidP="0091654B">
      <w:pPr>
        <w:pStyle w:val="Caption"/>
      </w:pPr>
      <w:r>
        <w:t xml:space="preserve">Table </w:t>
      </w:r>
      <w:fldSimple w:instr=" SEQ Table \* ARABIC ">
        <w:r w:rsidR="00561567">
          <w:rPr>
            <w:noProof/>
          </w:rPr>
          <w:t>8</w:t>
        </w:r>
      </w:fldSimple>
      <w:r w:rsidR="008905F0" w:rsidRPr="00D835EA">
        <w:t>: Monitoring progress through governance reporting</w:t>
      </w:r>
    </w:p>
    <w:tbl>
      <w:tblPr>
        <w:tblStyle w:val="TableGrid"/>
        <w:tblW w:w="5000" w:type="pct"/>
        <w:tblLook w:val="0620" w:firstRow="1" w:lastRow="0" w:firstColumn="0" w:lastColumn="0" w:noHBand="1" w:noVBand="1"/>
      </w:tblPr>
      <w:tblGrid>
        <w:gridCol w:w="2747"/>
        <w:gridCol w:w="2904"/>
        <w:gridCol w:w="3970"/>
      </w:tblGrid>
      <w:tr w:rsidR="008905F0" w:rsidRPr="00A571CA" w14:paraId="498795BE" w14:textId="77777777" w:rsidTr="0091654B">
        <w:trPr>
          <w:cnfStyle w:val="100000000000" w:firstRow="1" w:lastRow="0" w:firstColumn="0" w:lastColumn="0" w:oddVBand="0" w:evenVBand="0" w:oddHBand="0" w:evenHBand="0" w:firstRowFirstColumn="0" w:firstRowLastColumn="0" w:lastRowFirstColumn="0" w:lastRowLastColumn="0"/>
        </w:trPr>
        <w:tc>
          <w:tcPr>
            <w:tcW w:w="1428" w:type="pct"/>
          </w:tcPr>
          <w:p w14:paraId="5E319A27" w14:textId="77777777" w:rsidR="008905F0" w:rsidRPr="00A571CA" w:rsidRDefault="008905F0" w:rsidP="00A571CA">
            <w:bookmarkStart w:id="26" w:name="ColumnTitle_8"/>
            <w:r w:rsidRPr="00A571CA">
              <w:t>Body</w:t>
            </w:r>
          </w:p>
        </w:tc>
        <w:tc>
          <w:tcPr>
            <w:tcW w:w="1509" w:type="pct"/>
          </w:tcPr>
          <w:p w14:paraId="2FF3A73B" w14:textId="77777777" w:rsidR="008905F0" w:rsidRPr="00A571CA" w:rsidRDefault="008905F0" w:rsidP="00A571CA">
            <w:r w:rsidRPr="00A571CA">
              <w:t>Report Frequency</w:t>
            </w:r>
          </w:p>
        </w:tc>
        <w:tc>
          <w:tcPr>
            <w:tcW w:w="2063" w:type="pct"/>
          </w:tcPr>
          <w:p w14:paraId="31634CD7" w14:textId="77777777" w:rsidR="008905F0" w:rsidRPr="00A571CA" w:rsidRDefault="008905F0" w:rsidP="00A571CA">
            <w:r w:rsidRPr="00A571CA">
              <w:t>Report Content</w:t>
            </w:r>
          </w:p>
        </w:tc>
      </w:tr>
      <w:bookmarkEnd w:id="26"/>
      <w:tr w:rsidR="008905F0" w:rsidRPr="00A571CA" w14:paraId="43B81F0B" w14:textId="77777777" w:rsidTr="0091654B">
        <w:tc>
          <w:tcPr>
            <w:tcW w:w="1428" w:type="pct"/>
          </w:tcPr>
          <w:p w14:paraId="7188785B" w14:textId="77777777" w:rsidR="008905F0" w:rsidRPr="00A571CA" w:rsidRDefault="008905F0" w:rsidP="00A571CA">
            <w:r w:rsidRPr="00A571CA">
              <w:t>Courts Council</w:t>
            </w:r>
          </w:p>
        </w:tc>
        <w:tc>
          <w:tcPr>
            <w:tcW w:w="1509" w:type="pct"/>
          </w:tcPr>
          <w:p w14:paraId="1B7E2F33" w14:textId="77777777" w:rsidR="008905F0" w:rsidRPr="00A571CA" w:rsidRDefault="008905F0" w:rsidP="00A571CA">
            <w:r w:rsidRPr="00A571CA">
              <w:t>Annual</w:t>
            </w:r>
          </w:p>
        </w:tc>
        <w:tc>
          <w:tcPr>
            <w:tcW w:w="2063" w:type="pct"/>
          </w:tcPr>
          <w:p w14:paraId="52E57FFB" w14:textId="175466F2" w:rsidR="008905F0" w:rsidRPr="00A571CA" w:rsidRDefault="00C05C92" w:rsidP="00A571CA">
            <w:r>
              <w:t>Gender Equality Action Plan</w:t>
            </w:r>
            <w:r w:rsidR="008905F0" w:rsidRPr="00A571CA">
              <w:t xml:space="preserve"> implementation progress update</w:t>
            </w:r>
          </w:p>
          <w:p w14:paraId="496BB2D3" w14:textId="77777777" w:rsidR="008905F0" w:rsidRPr="00A571CA" w:rsidRDefault="008905F0" w:rsidP="00A571CA">
            <w:r w:rsidRPr="00A571CA">
              <w:t>Workplace gender report</w:t>
            </w:r>
          </w:p>
        </w:tc>
      </w:tr>
      <w:tr w:rsidR="008905F0" w:rsidRPr="00A571CA" w14:paraId="2D627698" w14:textId="77777777" w:rsidTr="0091654B">
        <w:tc>
          <w:tcPr>
            <w:tcW w:w="1428" w:type="pct"/>
          </w:tcPr>
          <w:p w14:paraId="098BD366" w14:textId="77777777" w:rsidR="008905F0" w:rsidRPr="00A571CA" w:rsidRDefault="008905F0" w:rsidP="00A571CA">
            <w:r w:rsidRPr="00A571CA">
              <w:t>Health, Safety and Culture Committee</w:t>
            </w:r>
          </w:p>
        </w:tc>
        <w:tc>
          <w:tcPr>
            <w:tcW w:w="1509" w:type="pct"/>
          </w:tcPr>
          <w:p w14:paraId="5439A0D5" w14:textId="77777777" w:rsidR="008905F0" w:rsidRPr="00A571CA" w:rsidRDefault="008905F0" w:rsidP="00A571CA">
            <w:r w:rsidRPr="00A571CA">
              <w:t>Biannual</w:t>
            </w:r>
          </w:p>
        </w:tc>
        <w:tc>
          <w:tcPr>
            <w:tcW w:w="2063" w:type="pct"/>
          </w:tcPr>
          <w:p w14:paraId="41DBEEBC" w14:textId="7B9499D3" w:rsidR="008905F0" w:rsidRPr="00A571CA" w:rsidRDefault="00C05C92" w:rsidP="00A571CA">
            <w:r>
              <w:t>Gender Equality Action Plan</w:t>
            </w:r>
            <w:r w:rsidR="008905F0" w:rsidRPr="00A571CA">
              <w:t xml:space="preserve"> implementation progress update</w:t>
            </w:r>
          </w:p>
        </w:tc>
      </w:tr>
      <w:tr w:rsidR="003420C1" w:rsidRPr="00A571CA" w14:paraId="410F7AF7" w14:textId="77777777" w:rsidTr="0091654B">
        <w:tc>
          <w:tcPr>
            <w:tcW w:w="1428" w:type="pct"/>
          </w:tcPr>
          <w:p w14:paraId="356C65F5" w14:textId="4677CAAC" w:rsidR="003420C1" w:rsidRPr="00A571CA" w:rsidRDefault="003420C1" w:rsidP="00A571CA">
            <w:r w:rsidRPr="00A571CA">
              <w:t>Health, Safety and Culture Committee</w:t>
            </w:r>
          </w:p>
        </w:tc>
        <w:tc>
          <w:tcPr>
            <w:tcW w:w="1509" w:type="pct"/>
          </w:tcPr>
          <w:p w14:paraId="1A903F73" w14:textId="77777777" w:rsidR="003420C1" w:rsidRPr="00A571CA" w:rsidRDefault="003420C1" w:rsidP="00A571CA">
            <w:r w:rsidRPr="00A571CA">
              <w:t>Annual</w:t>
            </w:r>
          </w:p>
        </w:tc>
        <w:tc>
          <w:tcPr>
            <w:tcW w:w="2063" w:type="pct"/>
          </w:tcPr>
          <w:p w14:paraId="2ADED148" w14:textId="77777777" w:rsidR="003420C1" w:rsidRPr="00A571CA" w:rsidRDefault="003420C1" w:rsidP="00A571CA">
            <w:r w:rsidRPr="00A571CA">
              <w:t>Workplace gender report</w:t>
            </w:r>
          </w:p>
        </w:tc>
      </w:tr>
      <w:tr w:rsidR="003420C1" w:rsidRPr="00A571CA" w14:paraId="6C08F18B" w14:textId="77777777" w:rsidTr="0091654B">
        <w:tc>
          <w:tcPr>
            <w:tcW w:w="1428" w:type="pct"/>
          </w:tcPr>
          <w:p w14:paraId="09ED3E56" w14:textId="464A5360" w:rsidR="003420C1" w:rsidRPr="00A571CA" w:rsidRDefault="003420C1" w:rsidP="00A571CA">
            <w:r w:rsidRPr="00A571CA">
              <w:t>Courts Executive</w:t>
            </w:r>
          </w:p>
        </w:tc>
        <w:tc>
          <w:tcPr>
            <w:tcW w:w="1509" w:type="pct"/>
          </w:tcPr>
          <w:p w14:paraId="6D7D0C3B" w14:textId="77777777" w:rsidR="003420C1" w:rsidRPr="00A571CA" w:rsidRDefault="003420C1" w:rsidP="00A571CA">
            <w:r w:rsidRPr="00A571CA">
              <w:t>Biannual</w:t>
            </w:r>
          </w:p>
        </w:tc>
        <w:tc>
          <w:tcPr>
            <w:tcW w:w="2063" w:type="pct"/>
          </w:tcPr>
          <w:p w14:paraId="714B2CF7" w14:textId="7BB1FEBC" w:rsidR="003420C1" w:rsidRPr="00A571CA" w:rsidRDefault="00C05C92" w:rsidP="00A571CA">
            <w:r>
              <w:t>Gender Equality Action Plan</w:t>
            </w:r>
            <w:r w:rsidR="003420C1" w:rsidRPr="00A571CA">
              <w:t xml:space="preserve"> implementation progress update</w:t>
            </w:r>
          </w:p>
        </w:tc>
      </w:tr>
      <w:tr w:rsidR="003420C1" w:rsidRPr="00A571CA" w14:paraId="48F79D11" w14:textId="77777777" w:rsidTr="0091654B">
        <w:tc>
          <w:tcPr>
            <w:tcW w:w="1428" w:type="pct"/>
          </w:tcPr>
          <w:p w14:paraId="2E275E67" w14:textId="7D807D6A" w:rsidR="003420C1" w:rsidRPr="00A571CA" w:rsidRDefault="003420C1" w:rsidP="00A571CA">
            <w:r w:rsidRPr="00A571CA">
              <w:t>Courts Executive</w:t>
            </w:r>
          </w:p>
        </w:tc>
        <w:tc>
          <w:tcPr>
            <w:tcW w:w="1509" w:type="pct"/>
          </w:tcPr>
          <w:p w14:paraId="375D6777" w14:textId="77777777" w:rsidR="003420C1" w:rsidRPr="00A571CA" w:rsidRDefault="003420C1" w:rsidP="00A571CA">
            <w:r w:rsidRPr="00A571CA">
              <w:t>Annual</w:t>
            </w:r>
          </w:p>
        </w:tc>
        <w:tc>
          <w:tcPr>
            <w:tcW w:w="2063" w:type="pct"/>
          </w:tcPr>
          <w:p w14:paraId="1557161A" w14:textId="77777777" w:rsidR="003420C1" w:rsidRPr="00A571CA" w:rsidRDefault="003420C1" w:rsidP="00A571CA">
            <w:r w:rsidRPr="00A571CA">
              <w:t>Workplace gender report</w:t>
            </w:r>
          </w:p>
        </w:tc>
      </w:tr>
    </w:tbl>
    <w:p w14:paraId="73483334" w14:textId="77777777" w:rsidR="008905F0" w:rsidRPr="00BA2C4A" w:rsidRDefault="008905F0" w:rsidP="008905F0">
      <w:pPr>
        <w:pStyle w:val="Heading1"/>
      </w:pPr>
      <w:bookmarkStart w:id="27" w:name="_Toc110508773"/>
      <w:r w:rsidRPr="00BA2C4A">
        <w:lastRenderedPageBreak/>
        <w:t>Glossary</w:t>
      </w:r>
      <w:bookmarkEnd w:id="27"/>
    </w:p>
    <w:p w14:paraId="33E13ED6" w14:textId="77777777" w:rsidR="008905F0" w:rsidRPr="00D835EA" w:rsidRDefault="008905F0" w:rsidP="000C6F23">
      <w:pPr>
        <w:pStyle w:val="BodyText"/>
      </w:pPr>
      <w:r w:rsidRPr="007B0087">
        <w:t>Associate</w:t>
      </w:r>
    </w:p>
    <w:p w14:paraId="633475C6" w14:textId="77777777" w:rsidR="008905F0" w:rsidRPr="00D835EA" w:rsidRDefault="008905F0" w:rsidP="000C6F23">
      <w:pPr>
        <w:pStyle w:val="ListBulletContinue"/>
      </w:pPr>
      <w:r w:rsidRPr="00D835EA">
        <w:t>Associates are judicial employees who provide legal research, in</w:t>
      </w:r>
      <w:r w:rsidRPr="00D835EA">
        <w:rPr>
          <w:rFonts w:ascii="Cambria Math" w:hAnsi="Cambria Math" w:cs="Cambria Math"/>
        </w:rPr>
        <w:t>‑</w:t>
      </w:r>
      <w:r w:rsidRPr="00D835EA">
        <w:t>court duties and other support for judges of the Supreme Court and County Court.</w:t>
      </w:r>
    </w:p>
    <w:p w14:paraId="6E972B8E" w14:textId="77777777" w:rsidR="008905F0" w:rsidRPr="00D835EA" w:rsidRDefault="008905F0" w:rsidP="000C6F23">
      <w:pPr>
        <w:pStyle w:val="BodyText"/>
      </w:pPr>
      <w:r w:rsidRPr="00D835EA">
        <w:t>Court Services Victoria (CSV)</w:t>
      </w:r>
    </w:p>
    <w:p w14:paraId="386EE5BD" w14:textId="77777777" w:rsidR="008905F0" w:rsidRPr="00D835EA" w:rsidRDefault="008905F0" w:rsidP="000C6F23">
      <w:pPr>
        <w:pStyle w:val="ListContinue"/>
      </w:pPr>
      <w:r w:rsidRPr="00D835EA">
        <w:t xml:space="preserve">Court Services Victoria is an independent statutory body established under section 5 of the </w:t>
      </w:r>
      <w:r w:rsidRPr="00D835EA">
        <w:rPr>
          <w:i/>
        </w:rPr>
        <w:t xml:space="preserve">Court Services Victoria Act 2014 </w:t>
      </w:r>
      <w:r w:rsidRPr="00D835EA">
        <w:t>to support the operation of the courts and tribunals independently of the direction of the executive branch of government.</w:t>
      </w:r>
    </w:p>
    <w:p w14:paraId="117066F1" w14:textId="77777777" w:rsidR="008905F0" w:rsidRPr="00D835EA" w:rsidRDefault="008905F0" w:rsidP="000C6F23">
      <w:pPr>
        <w:pStyle w:val="ListContinue"/>
      </w:pPr>
      <w:r w:rsidRPr="00D835EA">
        <w:t>Its function is to provide, or arrange for the provision of, the administrative services and facilities necessary or desirable to support the performance of the judicial, quasi</w:t>
      </w:r>
      <w:r w:rsidRPr="00D835EA">
        <w:rPr>
          <w:rFonts w:ascii="Cambria Math" w:hAnsi="Cambria Math" w:cs="Cambria Math"/>
        </w:rPr>
        <w:t>‑</w:t>
      </w:r>
      <w:r w:rsidRPr="00D835EA">
        <w:t xml:space="preserve">judicial and administrative functions of the Victoria’s courts and tribunal, Judicial </w:t>
      </w:r>
      <w:proofErr w:type="gramStart"/>
      <w:r w:rsidRPr="00D835EA">
        <w:t>College</w:t>
      </w:r>
      <w:proofErr w:type="gramEnd"/>
      <w:r w:rsidRPr="00D835EA">
        <w:t xml:space="preserve"> and Judicial Commission.</w:t>
      </w:r>
    </w:p>
    <w:p w14:paraId="2029F8E1" w14:textId="1E2BCBBF" w:rsidR="008905F0" w:rsidRPr="00D835EA" w:rsidRDefault="008905F0" w:rsidP="000C6F23">
      <w:pPr>
        <w:pStyle w:val="ListContinue"/>
      </w:pPr>
      <w:r w:rsidRPr="00D835EA">
        <w:t xml:space="preserve">Collectively, Victoria’s Supreme, County, Magistrates’, </w:t>
      </w:r>
      <w:proofErr w:type="gramStart"/>
      <w:r w:rsidRPr="00D835EA">
        <w:t>Children’s</w:t>
      </w:r>
      <w:proofErr w:type="gramEnd"/>
      <w:r w:rsidRPr="00D835EA">
        <w:t xml:space="preserve"> and Coroners courts, the Victorian Civil and Administrative Tribunal, the Judicial College of Victoria and the Judicial Commission of Victoria, and Court Services Victoria are referred to in this Plan as ‘CSV’ or the ‘Courts Group’.</w:t>
      </w:r>
    </w:p>
    <w:p w14:paraId="053D949A" w14:textId="77777777" w:rsidR="008905F0" w:rsidRPr="00D835EA" w:rsidRDefault="008905F0" w:rsidP="000C6F23">
      <w:pPr>
        <w:pStyle w:val="BodyText"/>
      </w:pPr>
      <w:r w:rsidRPr="00D835EA">
        <w:t>Courts Council</w:t>
      </w:r>
    </w:p>
    <w:p w14:paraId="267A88A7" w14:textId="77777777" w:rsidR="008905F0" w:rsidRPr="00D835EA" w:rsidRDefault="008905F0" w:rsidP="000C6F23">
      <w:pPr>
        <w:pStyle w:val="ListContinue"/>
      </w:pPr>
      <w:r w:rsidRPr="00D835EA">
        <w:t>The governing body of Court Services Victoria, comprising the Heads of Jurisdiction and up to two non</w:t>
      </w:r>
      <w:r w:rsidRPr="00D835EA">
        <w:rPr>
          <w:rFonts w:ascii="Cambria Math" w:hAnsi="Cambria Math" w:cs="Cambria Math"/>
        </w:rPr>
        <w:t>‑</w:t>
      </w:r>
      <w:r w:rsidRPr="00D835EA">
        <w:t>judicial members appointed by the Heads of Jurisdiction.</w:t>
      </w:r>
    </w:p>
    <w:p w14:paraId="45D924B1" w14:textId="77777777" w:rsidR="008905F0" w:rsidRPr="00D835EA" w:rsidRDefault="008905F0" w:rsidP="000C6F23">
      <w:pPr>
        <w:pStyle w:val="BodyText"/>
      </w:pPr>
      <w:r w:rsidRPr="00D835EA">
        <w:t>Courts Group</w:t>
      </w:r>
    </w:p>
    <w:p w14:paraId="366172B8" w14:textId="191934DE" w:rsidR="008905F0" w:rsidRDefault="008905F0" w:rsidP="000C6F23">
      <w:pPr>
        <w:pStyle w:val="ListContinue"/>
      </w:pPr>
      <w:r w:rsidRPr="00D835EA">
        <w:t xml:space="preserve">Victoria’s Supreme, County, Magistrates’, </w:t>
      </w:r>
      <w:proofErr w:type="gramStart"/>
      <w:r w:rsidRPr="00D835EA">
        <w:t>Children’s</w:t>
      </w:r>
      <w:proofErr w:type="gramEnd"/>
      <w:r w:rsidRPr="00D835EA">
        <w:t xml:space="preserve"> and Coroners courts, </w:t>
      </w:r>
      <w:r w:rsidR="00E24D51">
        <w:t>Victorian Civil and Administrative Tribunal</w:t>
      </w:r>
      <w:r w:rsidRPr="00D835EA">
        <w:t>, the Judicial College of Victoria and the Judicial Commission of Victoria, and Court Services Victoria.</w:t>
      </w:r>
    </w:p>
    <w:p w14:paraId="537ABD35" w14:textId="77777777" w:rsidR="008905F0" w:rsidRPr="00D835EA" w:rsidRDefault="008905F0" w:rsidP="000C6F23">
      <w:pPr>
        <w:pStyle w:val="BodyText"/>
      </w:pPr>
      <w:r w:rsidRPr="00D835EA">
        <w:t>Employee</w:t>
      </w:r>
    </w:p>
    <w:p w14:paraId="26B97538" w14:textId="70124B72" w:rsidR="008905F0" w:rsidRPr="00D835EA" w:rsidRDefault="008905F0" w:rsidP="000C6F23">
      <w:pPr>
        <w:pStyle w:val="ListContinue"/>
      </w:pPr>
      <w:r w:rsidRPr="00D835EA">
        <w:t xml:space="preserve">All </w:t>
      </w:r>
      <w:r w:rsidR="00E24D51">
        <w:t>Court Services Victoria</w:t>
      </w:r>
      <w:r w:rsidRPr="00D835EA">
        <w:t xml:space="preserve"> staff, other than judicial employees are employed under Part 3 of the </w:t>
      </w:r>
      <w:r w:rsidRPr="00D835EA">
        <w:rPr>
          <w:i/>
        </w:rPr>
        <w:t xml:space="preserve">Public Administration Act 2004 </w:t>
      </w:r>
      <w:r w:rsidRPr="00D835EA">
        <w:t xml:space="preserve">(PAA). Judicial employees are employed under Division 3 of Part 6 of the </w:t>
      </w:r>
      <w:r w:rsidR="00E24D51">
        <w:t>Public Administration Act 2004</w:t>
      </w:r>
      <w:r w:rsidRPr="00D835EA">
        <w:t>.</w:t>
      </w:r>
      <w:r w:rsidR="00D94DC8">
        <w:rPr>
          <w:rStyle w:val="FootnoteReference"/>
        </w:rPr>
        <w:footnoteReference w:id="13"/>
      </w:r>
      <w:r w:rsidRPr="00D835EA">
        <w:t xml:space="preserve"> Judicial employees include associates to a Judge of the Supreme or County Court, tipstaves of a Judge of the Supreme Court or County Court and secretaries of, or associates to, an Associate Judge of the Supreme or County Courts.</w:t>
      </w:r>
      <w:r w:rsidR="00D94DC8">
        <w:rPr>
          <w:rStyle w:val="FootnoteReference"/>
        </w:rPr>
        <w:footnoteReference w:id="14"/>
      </w:r>
    </w:p>
    <w:p w14:paraId="33D2AC74" w14:textId="77777777" w:rsidR="008905F0" w:rsidRPr="00D835EA" w:rsidRDefault="008905F0" w:rsidP="000C6F23">
      <w:pPr>
        <w:pStyle w:val="BodyText"/>
      </w:pPr>
      <w:r w:rsidRPr="00D835EA">
        <w:t>Jurisdictions</w:t>
      </w:r>
    </w:p>
    <w:p w14:paraId="342EA014" w14:textId="6DB65BC6" w:rsidR="008905F0" w:rsidRPr="00D835EA" w:rsidRDefault="008905F0" w:rsidP="000C6F23">
      <w:pPr>
        <w:pStyle w:val="ListContinue"/>
      </w:pPr>
      <w:r w:rsidRPr="00D835EA">
        <w:t xml:space="preserve">Victorian courts and tribunal, which are the Supreme Court of Victoria, the County Court of Victoria, the Magistrates’ Court of Victoria, the Children’s Court of Victoria, the Coroners Court of Victoria and </w:t>
      </w:r>
      <w:r w:rsidR="00E24D51">
        <w:t>Victorian Civil and Administrative Tribunal</w:t>
      </w:r>
      <w:r w:rsidRPr="00D835EA">
        <w:t>.</w:t>
      </w:r>
    </w:p>
    <w:p w14:paraId="7BBFF31B" w14:textId="77777777" w:rsidR="008905F0" w:rsidRPr="00D835EA" w:rsidRDefault="008905F0" w:rsidP="000C6F23">
      <w:pPr>
        <w:pStyle w:val="BodyText"/>
        <w:pageBreakBefore/>
      </w:pPr>
      <w:r w:rsidRPr="00D835EA">
        <w:lastRenderedPageBreak/>
        <w:t>Judicial Officers</w:t>
      </w:r>
    </w:p>
    <w:p w14:paraId="269BFAF9" w14:textId="11A8CB36" w:rsidR="008905F0" w:rsidRPr="00D835EA" w:rsidRDefault="008905F0" w:rsidP="000C6F23">
      <w:pPr>
        <w:pStyle w:val="ListContinue"/>
      </w:pPr>
      <w:r w:rsidRPr="00D835EA">
        <w:t>Includes judges of the Supreme Court or County Court, reserve and associate judges of the Supreme Court</w:t>
      </w:r>
      <w:r w:rsidR="000C6F23">
        <w:t xml:space="preserve"> </w:t>
      </w:r>
      <w:r w:rsidRPr="00D835EA">
        <w:t>or County Court, magistrates, reserve magistrates, coroners, reserve coroners and judicial registrars.</w:t>
      </w:r>
    </w:p>
    <w:p w14:paraId="48F7E0A6" w14:textId="77777777" w:rsidR="008905F0" w:rsidRPr="00D835EA" w:rsidRDefault="008905F0" w:rsidP="000C6F23">
      <w:pPr>
        <w:pStyle w:val="BodyText"/>
      </w:pPr>
      <w:r w:rsidRPr="00D835EA">
        <w:t>Tipstaff or Tipstaves</w:t>
      </w:r>
    </w:p>
    <w:p w14:paraId="7B031EE3" w14:textId="3E65EC74" w:rsidR="008905F0" w:rsidRPr="00D835EA" w:rsidRDefault="008905F0" w:rsidP="000C6F23">
      <w:pPr>
        <w:pStyle w:val="ListContinue"/>
      </w:pPr>
      <w:r w:rsidRPr="00D835EA">
        <w:t>Tipstaves are judicial employees who provide support to judges of the Supreme Court and County Court.</w:t>
      </w:r>
      <w:r w:rsidR="000C6F23">
        <w:t xml:space="preserve"> </w:t>
      </w:r>
      <w:r w:rsidRPr="00D835EA">
        <w:t>They work with Associates and often have a focus on in</w:t>
      </w:r>
      <w:r w:rsidRPr="00D835EA">
        <w:rPr>
          <w:rFonts w:ascii="Cambria Math" w:hAnsi="Cambria Math" w:cs="Cambria Math"/>
        </w:rPr>
        <w:t>‑</w:t>
      </w:r>
      <w:r w:rsidRPr="00D835EA">
        <w:t>court operations and jury management.</w:t>
      </w:r>
    </w:p>
    <w:p w14:paraId="41C4EE44" w14:textId="74BF8F6A" w:rsidR="008905F0" w:rsidRPr="00D835EA" w:rsidRDefault="00E24D51" w:rsidP="000C6F23">
      <w:pPr>
        <w:pStyle w:val="BodyText"/>
      </w:pPr>
      <w:r>
        <w:t>Victorian Civil and Administrative Tribunal</w:t>
      </w:r>
      <w:r w:rsidR="008905F0" w:rsidRPr="00D835EA">
        <w:t xml:space="preserve"> Members</w:t>
      </w:r>
    </w:p>
    <w:p w14:paraId="71E1DC90" w14:textId="02134826" w:rsidR="008905F0" w:rsidRDefault="008905F0" w:rsidP="000C6F23">
      <w:pPr>
        <w:pStyle w:val="ListContinue"/>
      </w:pPr>
      <w:r w:rsidRPr="00D835EA">
        <w:t xml:space="preserve">A member of </w:t>
      </w:r>
      <w:r w:rsidR="00E24D51">
        <w:t>Victorian Civil and Administrative Tribunal</w:t>
      </w:r>
      <w:r w:rsidRPr="00D835EA">
        <w:t xml:space="preserve"> who is not a judicial officer.</w:t>
      </w:r>
    </w:p>
    <w:p w14:paraId="62090C23" w14:textId="7FFA8127" w:rsidR="008905F0" w:rsidRPr="00BA2C4A" w:rsidRDefault="008905F0" w:rsidP="00A571CA">
      <w:pPr>
        <w:pStyle w:val="Heading1"/>
        <w:numPr>
          <w:ilvl w:val="0"/>
          <w:numId w:val="0"/>
        </w:numPr>
      </w:pPr>
      <w:bookmarkStart w:id="28" w:name="_Toc110508774"/>
      <w:r w:rsidRPr="00BA2C4A">
        <w:lastRenderedPageBreak/>
        <w:t>Appendix 1</w:t>
      </w:r>
      <w:r w:rsidR="003420C1" w:rsidRPr="00BA2C4A">
        <w:t xml:space="preserve"> - </w:t>
      </w:r>
      <w:r w:rsidRPr="00BA2C4A">
        <w:t>Court Services Victoria Workplace Gender Audit</w:t>
      </w:r>
      <w:bookmarkEnd w:id="28"/>
    </w:p>
    <w:p w14:paraId="3B9A2474" w14:textId="42FDE935" w:rsidR="008905F0" w:rsidRPr="000C6F23" w:rsidRDefault="008905F0" w:rsidP="00572F68">
      <w:pPr>
        <w:pStyle w:val="BodyText"/>
      </w:pPr>
      <w:r w:rsidRPr="000C6F23">
        <w:t>Following the guidance provided by</w:t>
      </w:r>
      <w:r w:rsidR="00572F68" w:rsidRPr="000C6F23">
        <w:t xml:space="preserve"> </w:t>
      </w:r>
      <w:r w:rsidRPr="000C6F23">
        <w:t xml:space="preserve">the Commission for Gender Equality in the Public Sector, </w:t>
      </w:r>
      <w:r w:rsidR="00E24D51">
        <w:t>Court Services Victoria</w:t>
      </w:r>
      <w:r w:rsidRPr="000C6F23">
        <w:t xml:space="preserve"> conducted its baseline Workplace Gender Audit</w:t>
      </w:r>
      <w:r w:rsidR="00D94DC8" w:rsidRPr="000C6F23">
        <w:footnoteReference w:id="15"/>
      </w:r>
      <w:r w:rsidRPr="000C6F23">
        <w:t xml:space="preserve"> in alignment with the seven key gender equality indicators.</w:t>
      </w:r>
    </w:p>
    <w:p w14:paraId="67E31256" w14:textId="4E96BF92" w:rsidR="008905F0" w:rsidRDefault="00E24D51" w:rsidP="008905F0">
      <w:pPr>
        <w:pStyle w:val="BodyText"/>
      </w:pPr>
      <w:r>
        <w:t>Court Services Victoria</w:t>
      </w:r>
      <w:r w:rsidR="008905F0" w:rsidRPr="00D835EA">
        <w:t xml:space="preserve"> participated in the People Matter Survey during May 2021 and 881 responses were received – 528 responses were received by women, 238 from men, and 115 were from people who identified as non</w:t>
      </w:r>
      <w:r w:rsidR="008905F0" w:rsidRPr="00D835EA">
        <w:rPr>
          <w:rFonts w:ascii="Cambria Math" w:hAnsi="Cambria Math" w:cs="Cambria Math"/>
        </w:rPr>
        <w:t>‑</w:t>
      </w:r>
      <w:r w:rsidR="008905F0" w:rsidRPr="00D835EA">
        <w:t>binary or preferred not to say</w:t>
      </w:r>
      <w:r w:rsidR="00D94DC8">
        <w:rPr>
          <w:rStyle w:val="FootnoteReference"/>
        </w:rPr>
        <w:footnoteReference w:id="16"/>
      </w:r>
      <w:r w:rsidR="008905F0" w:rsidRPr="00D835EA">
        <w:t xml:space="preserve">. It is noted that </w:t>
      </w:r>
      <w:r>
        <w:t>Court Services Victoria</w:t>
      </w:r>
      <w:r w:rsidR="008905F0" w:rsidRPr="00D835EA">
        <w:t>’s overall People Matter Survey participation rate was 30.5% and not all jurisdictions participated to the same</w:t>
      </w:r>
      <w:r w:rsidR="00572F68">
        <w:t xml:space="preserve"> </w:t>
      </w:r>
      <w:r w:rsidR="008905F0" w:rsidRPr="00D835EA">
        <w:t>level, therefore responses are not equally and fully representative across all jurisdictions.</w:t>
      </w:r>
    </w:p>
    <w:p w14:paraId="0D434AD5" w14:textId="1CBA0DB7" w:rsidR="008905F0" w:rsidRPr="00D835EA" w:rsidRDefault="008905F0" w:rsidP="008905F0">
      <w:pPr>
        <w:pStyle w:val="BodyText"/>
      </w:pPr>
      <w:r w:rsidRPr="00D835EA">
        <w:t xml:space="preserve">As part of the Workplace Gender Audit, </w:t>
      </w:r>
      <w:r w:rsidR="00E24D51">
        <w:t>Court Services Victoria</w:t>
      </w:r>
      <w:r w:rsidRPr="00D835EA">
        <w:t xml:space="preserve"> also conducted a sexual harassment risk assessment. Recommendation 3 of the Review of Sexual Harassment in Victorian Courts and </w:t>
      </w:r>
      <w:r w:rsidR="00E24D51">
        <w:t>Victorian Civil and Administrative Tribunal</w:t>
      </w:r>
      <w:r w:rsidRPr="00D835EA">
        <w:t xml:space="preserve"> suggested </w:t>
      </w:r>
      <w:r w:rsidR="00E24D51">
        <w:t>Court Services Victoria</w:t>
      </w:r>
      <w:r w:rsidRPr="00D835EA">
        <w:t xml:space="preserve"> undertake a risk assessment to identify and assess all sexual harassment work hazards using a work health and safety risk framework, and that this risk assessment should be part of the Audit. It was found through a detailed analysis of each risk, that implementing the recommendations made in the Review of Sexual Harassment in Victorian Courts and </w:t>
      </w:r>
      <w:r w:rsidR="00E24D51">
        <w:t>Victorian Civil and Administrative Tribunal</w:t>
      </w:r>
      <w:r w:rsidRPr="00D835EA">
        <w:t xml:space="preserve"> adequately responds to the risks identified.</w:t>
      </w:r>
    </w:p>
    <w:p w14:paraId="5F3CB126" w14:textId="0E72CDFC" w:rsidR="008905F0" w:rsidRPr="00D835EA" w:rsidRDefault="008905F0" w:rsidP="00D94DC8">
      <w:pPr>
        <w:pStyle w:val="BodyText"/>
      </w:pPr>
      <w:r w:rsidRPr="00D835EA">
        <w:t xml:space="preserve">Key results of </w:t>
      </w:r>
      <w:r w:rsidR="00E24D51">
        <w:t>Court Services Victoria</w:t>
      </w:r>
      <w:r w:rsidRPr="00D835EA">
        <w:t>’s Workplace Gender Audit are shown on the following pages.</w:t>
      </w:r>
    </w:p>
    <w:p w14:paraId="561740C4" w14:textId="206428FE" w:rsidR="008905F0" w:rsidRPr="00BA2C4A" w:rsidRDefault="008905F0" w:rsidP="003420C1">
      <w:pPr>
        <w:pStyle w:val="Heading2"/>
        <w:numPr>
          <w:ilvl w:val="0"/>
          <w:numId w:val="0"/>
        </w:numPr>
      </w:pPr>
      <w:bookmarkStart w:id="29" w:name="_Toc110508775"/>
      <w:r w:rsidRPr="00BA2C4A">
        <w:t>Indicator 1</w:t>
      </w:r>
      <w:r w:rsidR="00F92528" w:rsidRPr="00BA2C4A">
        <w:t xml:space="preserve"> - </w:t>
      </w:r>
      <w:r w:rsidRPr="00BA2C4A">
        <w:t>Gender composition of the workforce</w:t>
      </w:r>
      <w:bookmarkEnd w:id="29"/>
    </w:p>
    <w:p w14:paraId="551C9105" w14:textId="77777777" w:rsidR="008905F0" w:rsidRDefault="008905F0" w:rsidP="008905F0">
      <w:pPr>
        <w:pStyle w:val="BodyText"/>
      </w:pPr>
      <w:r w:rsidRPr="00D835EA">
        <w:t>Indicator 1 relates to the overall gender composition of the workforce as at the last main pay run prior to 30 June 2021.</w:t>
      </w:r>
    </w:p>
    <w:p w14:paraId="37B98AFF" w14:textId="05D6AFE0" w:rsidR="00672B5B" w:rsidRDefault="00E24D51" w:rsidP="008905F0">
      <w:pPr>
        <w:pStyle w:val="BodyText"/>
      </w:pPr>
      <w:r>
        <w:t>Court Services Victoria</w:t>
      </w:r>
      <w:r w:rsidR="00672B5B">
        <w:t>’s workforce comprised 2,598 employees including:</w:t>
      </w:r>
    </w:p>
    <w:p w14:paraId="3B87A155" w14:textId="40F3B658" w:rsidR="00672B5B" w:rsidRPr="000C6F23" w:rsidRDefault="00672B5B" w:rsidP="00672B5B">
      <w:pPr>
        <w:pStyle w:val="ListBullet"/>
      </w:pPr>
      <w:r w:rsidRPr="000C6F23">
        <w:t>70.6% Women</w:t>
      </w:r>
    </w:p>
    <w:p w14:paraId="60A7208A" w14:textId="552F8692" w:rsidR="00672B5B" w:rsidRPr="000C6F23" w:rsidRDefault="00672B5B" w:rsidP="00672B5B">
      <w:pPr>
        <w:pStyle w:val="ListBullet"/>
      </w:pPr>
      <w:r w:rsidRPr="000C6F23">
        <w:t>29.3% men</w:t>
      </w:r>
    </w:p>
    <w:p w14:paraId="1B4A7F6F" w14:textId="0718D228" w:rsidR="00672B5B" w:rsidRPr="000C6F23" w:rsidRDefault="00672B5B" w:rsidP="00672B5B">
      <w:pPr>
        <w:pStyle w:val="ListBullet"/>
      </w:pPr>
      <w:r w:rsidRPr="000C6F23">
        <w:t>0.1% self-described</w:t>
      </w:r>
    </w:p>
    <w:p w14:paraId="5E42F15E" w14:textId="7CD12F24" w:rsidR="00672B5B" w:rsidRPr="000C6F23" w:rsidRDefault="00E24D51" w:rsidP="000C6F23">
      <w:pPr>
        <w:pStyle w:val="BodyText"/>
      </w:pPr>
      <w:r>
        <w:t>Court Services Victoria</w:t>
      </w:r>
      <w:r w:rsidR="00672B5B">
        <w:t xml:space="preserve">’s workforce comprised 2,226 employees who </w:t>
      </w:r>
      <w:r w:rsidR="00672B5B" w:rsidRPr="000C6F23">
        <w:t xml:space="preserve">are employed on a </w:t>
      </w:r>
      <w:proofErr w:type="gramStart"/>
      <w:r w:rsidR="00672B5B" w:rsidRPr="000C6F23">
        <w:t>full</w:t>
      </w:r>
      <w:r w:rsidR="001B7767" w:rsidRPr="000C6F23">
        <w:t xml:space="preserve"> </w:t>
      </w:r>
      <w:r w:rsidR="00672B5B" w:rsidRPr="000C6F23">
        <w:t>time</w:t>
      </w:r>
      <w:proofErr w:type="gramEnd"/>
      <w:r w:rsidR="00672B5B" w:rsidRPr="000C6F23">
        <w:t xml:space="preserve"> basis (57.9% women, 27.6% men, 0.1% self-described), 357 are part time (12.4% women, 1.4% men) and 15 casuals (0.3% women, 0.3% men).</w:t>
      </w:r>
    </w:p>
    <w:p w14:paraId="0CC61287" w14:textId="1F00F95A" w:rsidR="008905F0" w:rsidRPr="00D835EA" w:rsidRDefault="000C6F23" w:rsidP="008905F0">
      <w:pPr>
        <w:pStyle w:val="BodyText"/>
      </w:pPr>
      <w:r>
        <w:fldChar w:fldCharType="begin"/>
      </w:r>
      <w:r>
        <w:instrText xml:space="preserve"> REF _Ref110506841 \h </w:instrText>
      </w:r>
      <w:r>
        <w:fldChar w:fldCharType="separate"/>
      </w:r>
      <w:r w:rsidR="00561567">
        <w:t xml:space="preserve">Table </w:t>
      </w:r>
      <w:r w:rsidR="00561567">
        <w:rPr>
          <w:noProof/>
        </w:rPr>
        <w:t>9</w:t>
      </w:r>
      <w:r>
        <w:fldChar w:fldCharType="end"/>
      </w:r>
      <w:r w:rsidR="008905F0" w:rsidRPr="00D835EA">
        <w:t xml:space="preserve"> below provides results from the People Matter Survey which relate to Indicator 1. It shows the corresponding percentages of </w:t>
      </w:r>
      <w:r w:rsidR="00E24D51">
        <w:t>Court Services Victoria</w:t>
      </w:r>
      <w:r w:rsidR="008905F0" w:rsidRPr="00D835EA">
        <w:t xml:space="preserve"> respondents who agreed with the statement.</w:t>
      </w:r>
    </w:p>
    <w:p w14:paraId="25C171B4" w14:textId="0EB237AD" w:rsidR="008905F0" w:rsidRPr="00D835EA" w:rsidRDefault="000C6F23" w:rsidP="000C6F23">
      <w:pPr>
        <w:pStyle w:val="Caption"/>
      </w:pPr>
      <w:bookmarkStart w:id="30" w:name="_Ref110506841"/>
      <w:r>
        <w:lastRenderedPageBreak/>
        <w:t xml:space="preserve">Table </w:t>
      </w:r>
      <w:fldSimple w:instr=" SEQ Table \* ARABIC ">
        <w:r w:rsidR="00561567">
          <w:rPr>
            <w:noProof/>
          </w:rPr>
          <w:t>9</w:t>
        </w:r>
      </w:fldSimple>
      <w:bookmarkEnd w:id="30"/>
      <w:r w:rsidR="008905F0" w:rsidRPr="00D835EA">
        <w:t>: People Matter Survey results related to Indicator 1: Gender composition of the workforce</w:t>
      </w:r>
    </w:p>
    <w:tbl>
      <w:tblPr>
        <w:tblStyle w:val="TableGrid"/>
        <w:tblW w:w="5000" w:type="pct"/>
        <w:tblLayout w:type="fixed"/>
        <w:tblLook w:val="0620" w:firstRow="1" w:lastRow="0" w:firstColumn="0" w:lastColumn="0" w:noHBand="1" w:noVBand="1"/>
      </w:tblPr>
      <w:tblGrid>
        <w:gridCol w:w="2693"/>
        <w:gridCol w:w="1732"/>
        <w:gridCol w:w="1732"/>
        <w:gridCol w:w="1732"/>
        <w:gridCol w:w="1732"/>
      </w:tblGrid>
      <w:tr w:rsidR="007A2E2C" w:rsidRPr="00D835EA" w14:paraId="07EDA351" w14:textId="77777777" w:rsidTr="0091654B">
        <w:trPr>
          <w:cnfStyle w:val="100000000000" w:firstRow="1" w:lastRow="0" w:firstColumn="0" w:lastColumn="0" w:oddVBand="0" w:evenVBand="0" w:oddHBand="0" w:evenHBand="0" w:firstRowFirstColumn="0" w:firstRowLastColumn="0" w:lastRowFirstColumn="0" w:lastRowLastColumn="0"/>
        </w:trPr>
        <w:tc>
          <w:tcPr>
            <w:tcW w:w="1400" w:type="pct"/>
          </w:tcPr>
          <w:p w14:paraId="21E9BA40" w14:textId="77777777" w:rsidR="008905F0" w:rsidRPr="00D835EA" w:rsidRDefault="008905F0" w:rsidP="00E4684C">
            <w:bookmarkStart w:id="31" w:name="ColumnTitle_9"/>
            <w:r w:rsidRPr="00D835EA">
              <w:rPr>
                <w:b/>
              </w:rPr>
              <w:t>Question/Statement</w:t>
            </w:r>
          </w:p>
        </w:tc>
        <w:tc>
          <w:tcPr>
            <w:tcW w:w="900" w:type="pct"/>
          </w:tcPr>
          <w:p w14:paraId="1E9AFBC0" w14:textId="58B24907" w:rsidR="008905F0" w:rsidRPr="00D835EA" w:rsidRDefault="008905F0" w:rsidP="000C6F23">
            <w:pPr>
              <w:jc w:val="center"/>
            </w:pPr>
            <w:r w:rsidRPr="00D835EA">
              <w:rPr>
                <w:b/>
              </w:rPr>
              <w:t>Women Respondents</w:t>
            </w:r>
            <w:r w:rsidR="00A571CA">
              <w:rPr>
                <w:b/>
              </w:rPr>
              <w:t xml:space="preserve"> </w:t>
            </w:r>
            <w:r w:rsidRPr="00D835EA">
              <w:rPr>
                <w:b/>
              </w:rPr>
              <w:t>(%)</w:t>
            </w:r>
          </w:p>
        </w:tc>
        <w:tc>
          <w:tcPr>
            <w:tcW w:w="900" w:type="pct"/>
          </w:tcPr>
          <w:p w14:paraId="3AB8A7B4" w14:textId="4AA87F9D" w:rsidR="008905F0" w:rsidRPr="00D835EA" w:rsidRDefault="008905F0" w:rsidP="000C6F23">
            <w:pPr>
              <w:jc w:val="center"/>
            </w:pPr>
            <w:r w:rsidRPr="00D835EA">
              <w:rPr>
                <w:b/>
              </w:rPr>
              <w:t>Men Respondents</w:t>
            </w:r>
            <w:r w:rsidR="00A571CA">
              <w:rPr>
                <w:b/>
              </w:rPr>
              <w:t xml:space="preserve"> </w:t>
            </w:r>
            <w:r w:rsidRPr="00D835EA">
              <w:rPr>
                <w:b/>
              </w:rPr>
              <w:t>(%)</w:t>
            </w:r>
          </w:p>
        </w:tc>
        <w:tc>
          <w:tcPr>
            <w:tcW w:w="900" w:type="pct"/>
          </w:tcPr>
          <w:p w14:paraId="59066BA5" w14:textId="63BB609B" w:rsidR="008905F0" w:rsidRPr="00D835EA" w:rsidRDefault="008905F0" w:rsidP="000C6F23">
            <w:pPr>
              <w:jc w:val="center"/>
            </w:pPr>
            <w:r w:rsidRPr="00D835EA">
              <w:rPr>
                <w:b/>
              </w:rPr>
              <w:t>Non</w:t>
            </w:r>
            <w:r w:rsidRPr="00D835EA">
              <w:rPr>
                <w:rFonts w:ascii="Cambria Math" w:hAnsi="Cambria Math" w:cs="Cambria Math"/>
                <w:b/>
              </w:rPr>
              <w:t>‑</w:t>
            </w:r>
            <w:r w:rsidRPr="00D835EA">
              <w:rPr>
                <w:b/>
              </w:rPr>
              <w:t>binary/ Prefer not</w:t>
            </w:r>
            <w:r w:rsidR="007A2E2C">
              <w:rPr>
                <w:b/>
              </w:rPr>
              <w:t xml:space="preserve"> </w:t>
            </w:r>
            <w:r w:rsidR="007A2E2C">
              <w:rPr>
                <w:b/>
              </w:rPr>
              <w:br/>
            </w:r>
            <w:r w:rsidRPr="00D835EA">
              <w:rPr>
                <w:b/>
              </w:rPr>
              <w:t>to say Respondents</w:t>
            </w:r>
            <w:r w:rsidR="007A2E2C">
              <w:rPr>
                <w:b/>
              </w:rPr>
              <w:t xml:space="preserve"> </w:t>
            </w:r>
            <w:r w:rsidRPr="00D835EA">
              <w:rPr>
                <w:b/>
              </w:rPr>
              <w:t>(%)</w:t>
            </w:r>
          </w:p>
        </w:tc>
        <w:tc>
          <w:tcPr>
            <w:tcW w:w="900" w:type="pct"/>
          </w:tcPr>
          <w:p w14:paraId="665C8F2D" w14:textId="4987E790" w:rsidR="008905F0" w:rsidRPr="00D835EA" w:rsidRDefault="008905F0" w:rsidP="000C6F23">
            <w:pPr>
              <w:jc w:val="center"/>
              <w:rPr>
                <w:b/>
              </w:rPr>
            </w:pPr>
            <w:r w:rsidRPr="00D835EA">
              <w:rPr>
                <w:b/>
              </w:rPr>
              <w:t>All Respondents</w:t>
            </w:r>
            <w:r w:rsidR="007A2E2C">
              <w:rPr>
                <w:b/>
              </w:rPr>
              <w:t xml:space="preserve"> </w:t>
            </w:r>
            <w:r w:rsidRPr="00D835EA">
              <w:rPr>
                <w:b/>
              </w:rPr>
              <w:t>(%)</w:t>
            </w:r>
          </w:p>
        </w:tc>
      </w:tr>
      <w:bookmarkEnd w:id="31"/>
      <w:tr w:rsidR="007A2E2C" w:rsidRPr="00D835EA" w14:paraId="2FB32574" w14:textId="77777777" w:rsidTr="0091654B">
        <w:tc>
          <w:tcPr>
            <w:tcW w:w="1400" w:type="pct"/>
          </w:tcPr>
          <w:p w14:paraId="429F1877" w14:textId="77777777" w:rsidR="008905F0" w:rsidRPr="00D835EA" w:rsidRDefault="008905F0" w:rsidP="00E4684C">
            <w:r w:rsidRPr="00D835EA">
              <w:t>There is a positive culture within my organisation in relation to employees of different sexes/genders</w:t>
            </w:r>
          </w:p>
        </w:tc>
        <w:tc>
          <w:tcPr>
            <w:tcW w:w="900" w:type="pct"/>
          </w:tcPr>
          <w:p w14:paraId="6C7A765A" w14:textId="77777777" w:rsidR="008905F0" w:rsidRPr="00D835EA" w:rsidRDefault="008905F0" w:rsidP="000C6F23">
            <w:pPr>
              <w:jc w:val="center"/>
            </w:pPr>
            <w:r w:rsidRPr="00D835EA">
              <w:t>75</w:t>
            </w:r>
          </w:p>
        </w:tc>
        <w:tc>
          <w:tcPr>
            <w:tcW w:w="900" w:type="pct"/>
          </w:tcPr>
          <w:p w14:paraId="311B54D4" w14:textId="77777777" w:rsidR="008905F0" w:rsidRPr="00D835EA" w:rsidRDefault="008905F0" w:rsidP="000C6F23">
            <w:pPr>
              <w:jc w:val="center"/>
            </w:pPr>
            <w:r w:rsidRPr="00D835EA">
              <w:t>79</w:t>
            </w:r>
          </w:p>
        </w:tc>
        <w:tc>
          <w:tcPr>
            <w:tcW w:w="900" w:type="pct"/>
          </w:tcPr>
          <w:p w14:paraId="009225DB" w14:textId="77777777" w:rsidR="008905F0" w:rsidRPr="00D835EA" w:rsidRDefault="008905F0" w:rsidP="000C6F23">
            <w:pPr>
              <w:jc w:val="center"/>
            </w:pPr>
            <w:r w:rsidRPr="00D835EA">
              <w:t>63</w:t>
            </w:r>
          </w:p>
        </w:tc>
        <w:tc>
          <w:tcPr>
            <w:tcW w:w="900" w:type="pct"/>
          </w:tcPr>
          <w:p w14:paraId="01C2F810" w14:textId="77777777" w:rsidR="008905F0" w:rsidRPr="00D835EA" w:rsidRDefault="008905F0" w:rsidP="000C6F23">
            <w:pPr>
              <w:jc w:val="center"/>
            </w:pPr>
            <w:r w:rsidRPr="00D835EA">
              <w:t>74</w:t>
            </w:r>
          </w:p>
        </w:tc>
      </w:tr>
      <w:tr w:rsidR="007A2E2C" w:rsidRPr="00D835EA" w14:paraId="369A2C9D" w14:textId="77777777" w:rsidTr="0091654B">
        <w:tc>
          <w:tcPr>
            <w:tcW w:w="1400" w:type="pct"/>
          </w:tcPr>
          <w:p w14:paraId="06B0957E" w14:textId="77777777" w:rsidR="008905F0" w:rsidRPr="00D835EA" w:rsidRDefault="008905F0" w:rsidP="00E4684C">
            <w:r w:rsidRPr="00D835EA">
              <w:t>There is a positive culture within my organisation in relation to employees who are Aboriginal and/or Torres Strait Islander</w:t>
            </w:r>
          </w:p>
        </w:tc>
        <w:tc>
          <w:tcPr>
            <w:tcW w:w="900" w:type="pct"/>
          </w:tcPr>
          <w:p w14:paraId="3F63AC65" w14:textId="77777777" w:rsidR="008905F0" w:rsidRPr="00D835EA" w:rsidRDefault="008905F0" w:rsidP="000C6F23">
            <w:pPr>
              <w:jc w:val="center"/>
            </w:pPr>
            <w:r w:rsidRPr="00D835EA">
              <w:t>66</w:t>
            </w:r>
          </w:p>
        </w:tc>
        <w:tc>
          <w:tcPr>
            <w:tcW w:w="900" w:type="pct"/>
          </w:tcPr>
          <w:p w14:paraId="6DD987ED" w14:textId="77777777" w:rsidR="008905F0" w:rsidRPr="00D835EA" w:rsidRDefault="008905F0" w:rsidP="000C6F23">
            <w:pPr>
              <w:jc w:val="center"/>
            </w:pPr>
            <w:r w:rsidRPr="00D835EA">
              <w:t>70</w:t>
            </w:r>
          </w:p>
        </w:tc>
        <w:tc>
          <w:tcPr>
            <w:tcW w:w="900" w:type="pct"/>
          </w:tcPr>
          <w:p w14:paraId="4D40808A" w14:textId="77777777" w:rsidR="008905F0" w:rsidRPr="00D835EA" w:rsidRDefault="008905F0" w:rsidP="000C6F23">
            <w:pPr>
              <w:jc w:val="center"/>
            </w:pPr>
            <w:r w:rsidRPr="00D835EA">
              <w:t>54</w:t>
            </w:r>
          </w:p>
        </w:tc>
        <w:tc>
          <w:tcPr>
            <w:tcW w:w="900" w:type="pct"/>
          </w:tcPr>
          <w:p w14:paraId="3E900846" w14:textId="77777777" w:rsidR="008905F0" w:rsidRPr="00D835EA" w:rsidRDefault="008905F0" w:rsidP="000C6F23">
            <w:pPr>
              <w:jc w:val="center"/>
            </w:pPr>
            <w:r w:rsidRPr="00D835EA">
              <w:t>66</w:t>
            </w:r>
          </w:p>
        </w:tc>
      </w:tr>
      <w:tr w:rsidR="007A2E2C" w:rsidRPr="00D835EA" w14:paraId="77F55F85" w14:textId="77777777" w:rsidTr="0091654B">
        <w:tc>
          <w:tcPr>
            <w:tcW w:w="1400" w:type="pct"/>
          </w:tcPr>
          <w:p w14:paraId="53AE4BF1" w14:textId="2675FF3D" w:rsidR="008905F0" w:rsidRPr="00D835EA" w:rsidRDefault="008905F0" w:rsidP="00E4684C">
            <w:r w:rsidRPr="00D835EA">
              <w:t>There is a positive culture within my organisation in relation to employees from varied</w:t>
            </w:r>
            <w:r w:rsidR="007A2E2C">
              <w:t xml:space="preserve"> </w:t>
            </w:r>
            <w:r w:rsidRPr="00D835EA">
              <w:t>cultural backgrounds</w:t>
            </w:r>
          </w:p>
        </w:tc>
        <w:tc>
          <w:tcPr>
            <w:tcW w:w="900" w:type="pct"/>
          </w:tcPr>
          <w:p w14:paraId="60A42C46" w14:textId="77777777" w:rsidR="008905F0" w:rsidRPr="00D835EA" w:rsidRDefault="008905F0" w:rsidP="000C6F23">
            <w:pPr>
              <w:jc w:val="center"/>
            </w:pPr>
            <w:r w:rsidRPr="00D835EA">
              <w:t>71</w:t>
            </w:r>
          </w:p>
        </w:tc>
        <w:tc>
          <w:tcPr>
            <w:tcW w:w="900" w:type="pct"/>
          </w:tcPr>
          <w:p w14:paraId="15435D76" w14:textId="77777777" w:rsidR="008905F0" w:rsidRPr="00D835EA" w:rsidRDefault="008905F0" w:rsidP="000C6F23">
            <w:pPr>
              <w:jc w:val="center"/>
            </w:pPr>
            <w:r w:rsidRPr="00D835EA">
              <w:t>76</w:t>
            </w:r>
          </w:p>
        </w:tc>
        <w:tc>
          <w:tcPr>
            <w:tcW w:w="900" w:type="pct"/>
          </w:tcPr>
          <w:p w14:paraId="54653E26" w14:textId="77777777" w:rsidR="008905F0" w:rsidRPr="00D835EA" w:rsidRDefault="008905F0" w:rsidP="000C6F23">
            <w:pPr>
              <w:jc w:val="center"/>
            </w:pPr>
            <w:r w:rsidRPr="00D835EA">
              <w:t>59</w:t>
            </w:r>
          </w:p>
        </w:tc>
        <w:tc>
          <w:tcPr>
            <w:tcW w:w="900" w:type="pct"/>
          </w:tcPr>
          <w:p w14:paraId="4B0E202E" w14:textId="77777777" w:rsidR="008905F0" w:rsidRPr="00D835EA" w:rsidRDefault="008905F0" w:rsidP="000C6F23">
            <w:pPr>
              <w:jc w:val="center"/>
            </w:pPr>
            <w:r w:rsidRPr="00D835EA">
              <w:t>71</w:t>
            </w:r>
          </w:p>
        </w:tc>
      </w:tr>
      <w:tr w:rsidR="007A2E2C" w:rsidRPr="00D835EA" w14:paraId="018B6D65" w14:textId="77777777" w:rsidTr="0091654B">
        <w:tc>
          <w:tcPr>
            <w:tcW w:w="1400" w:type="pct"/>
          </w:tcPr>
          <w:p w14:paraId="1B5E7737" w14:textId="77777777" w:rsidR="008905F0" w:rsidRPr="00D835EA" w:rsidRDefault="008905F0" w:rsidP="00E4684C">
            <w:r w:rsidRPr="00D835EA">
              <w:t>There is a positive culture within my organisation in relation to employees of different age groups</w:t>
            </w:r>
          </w:p>
        </w:tc>
        <w:tc>
          <w:tcPr>
            <w:tcW w:w="900" w:type="pct"/>
          </w:tcPr>
          <w:p w14:paraId="1210433D" w14:textId="77777777" w:rsidR="008905F0" w:rsidRPr="00D835EA" w:rsidRDefault="008905F0" w:rsidP="000C6F23">
            <w:pPr>
              <w:jc w:val="center"/>
            </w:pPr>
            <w:r w:rsidRPr="00D835EA">
              <w:t>71</w:t>
            </w:r>
          </w:p>
        </w:tc>
        <w:tc>
          <w:tcPr>
            <w:tcW w:w="900" w:type="pct"/>
          </w:tcPr>
          <w:p w14:paraId="14F02EDD" w14:textId="77777777" w:rsidR="008905F0" w:rsidRPr="00D835EA" w:rsidRDefault="008905F0" w:rsidP="000C6F23">
            <w:pPr>
              <w:jc w:val="center"/>
            </w:pPr>
            <w:r w:rsidRPr="00D835EA">
              <w:t>73</w:t>
            </w:r>
          </w:p>
        </w:tc>
        <w:tc>
          <w:tcPr>
            <w:tcW w:w="900" w:type="pct"/>
          </w:tcPr>
          <w:p w14:paraId="5D42947F" w14:textId="77777777" w:rsidR="008905F0" w:rsidRPr="00D835EA" w:rsidRDefault="008905F0" w:rsidP="000C6F23">
            <w:pPr>
              <w:jc w:val="center"/>
            </w:pPr>
            <w:r w:rsidRPr="00D835EA">
              <w:t>50</w:t>
            </w:r>
          </w:p>
        </w:tc>
        <w:tc>
          <w:tcPr>
            <w:tcW w:w="900" w:type="pct"/>
          </w:tcPr>
          <w:p w14:paraId="5E47BF86" w14:textId="77777777" w:rsidR="008905F0" w:rsidRPr="00D835EA" w:rsidRDefault="008905F0" w:rsidP="000C6F23">
            <w:pPr>
              <w:jc w:val="center"/>
            </w:pPr>
            <w:r w:rsidRPr="00D835EA">
              <w:t>68</w:t>
            </w:r>
          </w:p>
        </w:tc>
      </w:tr>
      <w:tr w:rsidR="007A2E2C" w:rsidRPr="00D835EA" w14:paraId="2D8636CB" w14:textId="77777777" w:rsidTr="0091654B">
        <w:tc>
          <w:tcPr>
            <w:tcW w:w="1400" w:type="pct"/>
          </w:tcPr>
          <w:p w14:paraId="5CF07CE1" w14:textId="77777777" w:rsidR="008905F0" w:rsidRPr="00D835EA" w:rsidRDefault="008905F0" w:rsidP="00E4684C">
            <w:r w:rsidRPr="00D835EA">
              <w:t>There is a positive culture within my organisation in relation to employees who identify as LGBTIQ</w:t>
            </w:r>
          </w:p>
        </w:tc>
        <w:tc>
          <w:tcPr>
            <w:tcW w:w="900" w:type="pct"/>
          </w:tcPr>
          <w:p w14:paraId="10F39EA1" w14:textId="77777777" w:rsidR="008905F0" w:rsidRPr="00D835EA" w:rsidRDefault="008905F0" w:rsidP="000C6F23">
            <w:pPr>
              <w:jc w:val="center"/>
            </w:pPr>
            <w:r w:rsidRPr="00D835EA">
              <w:t>64</w:t>
            </w:r>
          </w:p>
        </w:tc>
        <w:tc>
          <w:tcPr>
            <w:tcW w:w="900" w:type="pct"/>
          </w:tcPr>
          <w:p w14:paraId="6D195217" w14:textId="77777777" w:rsidR="008905F0" w:rsidRPr="00D835EA" w:rsidRDefault="008905F0" w:rsidP="000C6F23">
            <w:pPr>
              <w:jc w:val="center"/>
            </w:pPr>
            <w:r w:rsidRPr="00D835EA">
              <w:t>70</w:t>
            </w:r>
          </w:p>
        </w:tc>
        <w:tc>
          <w:tcPr>
            <w:tcW w:w="900" w:type="pct"/>
          </w:tcPr>
          <w:p w14:paraId="7F6F20C1" w14:textId="77777777" w:rsidR="008905F0" w:rsidRPr="00D835EA" w:rsidRDefault="008905F0" w:rsidP="000C6F23">
            <w:pPr>
              <w:jc w:val="center"/>
            </w:pPr>
            <w:r w:rsidRPr="00D835EA">
              <w:t>52</w:t>
            </w:r>
          </w:p>
        </w:tc>
        <w:tc>
          <w:tcPr>
            <w:tcW w:w="900" w:type="pct"/>
          </w:tcPr>
          <w:p w14:paraId="65489B99" w14:textId="77777777" w:rsidR="008905F0" w:rsidRPr="00D835EA" w:rsidRDefault="008905F0" w:rsidP="000C6F23">
            <w:pPr>
              <w:jc w:val="center"/>
            </w:pPr>
            <w:r w:rsidRPr="00D835EA">
              <w:t>64</w:t>
            </w:r>
          </w:p>
        </w:tc>
      </w:tr>
      <w:tr w:rsidR="007A2E2C" w:rsidRPr="00D835EA" w14:paraId="7B4F1BF2" w14:textId="77777777" w:rsidTr="0091654B">
        <w:tc>
          <w:tcPr>
            <w:tcW w:w="1400" w:type="pct"/>
          </w:tcPr>
          <w:p w14:paraId="10F0C70A" w14:textId="77777777" w:rsidR="008905F0" w:rsidRPr="00D835EA" w:rsidRDefault="008905F0" w:rsidP="00E4684C">
            <w:r w:rsidRPr="00D835EA">
              <w:t>There is a positive culture within my organisation in relation to employees with disability</w:t>
            </w:r>
          </w:p>
        </w:tc>
        <w:tc>
          <w:tcPr>
            <w:tcW w:w="900" w:type="pct"/>
          </w:tcPr>
          <w:p w14:paraId="00109471" w14:textId="77777777" w:rsidR="008905F0" w:rsidRPr="00D835EA" w:rsidRDefault="008905F0" w:rsidP="000C6F23">
            <w:pPr>
              <w:jc w:val="center"/>
            </w:pPr>
            <w:r w:rsidRPr="00D835EA">
              <w:t>51</w:t>
            </w:r>
          </w:p>
        </w:tc>
        <w:tc>
          <w:tcPr>
            <w:tcW w:w="900" w:type="pct"/>
          </w:tcPr>
          <w:p w14:paraId="171B634F" w14:textId="77777777" w:rsidR="008905F0" w:rsidRPr="00D835EA" w:rsidRDefault="008905F0" w:rsidP="000C6F23">
            <w:pPr>
              <w:jc w:val="center"/>
            </w:pPr>
            <w:r w:rsidRPr="00D835EA">
              <w:t>63</w:t>
            </w:r>
          </w:p>
        </w:tc>
        <w:tc>
          <w:tcPr>
            <w:tcW w:w="900" w:type="pct"/>
          </w:tcPr>
          <w:p w14:paraId="10BD8048" w14:textId="77777777" w:rsidR="008905F0" w:rsidRPr="00D835EA" w:rsidRDefault="008905F0" w:rsidP="000C6F23">
            <w:pPr>
              <w:jc w:val="center"/>
            </w:pPr>
            <w:r w:rsidRPr="00D835EA">
              <w:t>38</w:t>
            </w:r>
          </w:p>
        </w:tc>
        <w:tc>
          <w:tcPr>
            <w:tcW w:w="900" w:type="pct"/>
          </w:tcPr>
          <w:p w14:paraId="50EEFC3A" w14:textId="77777777" w:rsidR="008905F0" w:rsidRPr="00D835EA" w:rsidRDefault="008905F0" w:rsidP="000C6F23">
            <w:pPr>
              <w:jc w:val="center"/>
            </w:pPr>
            <w:r w:rsidRPr="00D835EA">
              <w:t>53</w:t>
            </w:r>
          </w:p>
        </w:tc>
      </w:tr>
    </w:tbl>
    <w:p w14:paraId="38E42D51" w14:textId="57127C1D" w:rsidR="008905F0" w:rsidRPr="00BA2C4A" w:rsidRDefault="008905F0" w:rsidP="007A2E2C">
      <w:pPr>
        <w:pStyle w:val="Heading2"/>
        <w:numPr>
          <w:ilvl w:val="0"/>
          <w:numId w:val="0"/>
        </w:numPr>
      </w:pPr>
      <w:bookmarkStart w:id="32" w:name="_Toc110508776"/>
      <w:r w:rsidRPr="00BA2C4A">
        <w:t>Indicator 2</w:t>
      </w:r>
      <w:r w:rsidR="00F92528" w:rsidRPr="00BA2C4A">
        <w:t xml:space="preserve"> - </w:t>
      </w:r>
      <w:r w:rsidRPr="00BA2C4A">
        <w:t>Gender composition of governing body</w:t>
      </w:r>
      <w:bookmarkEnd w:id="32"/>
    </w:p>
    <w:p w14:paraId="24AB4170" w14:textId="19744E32" w:rsidR="008905F0" w:rsidRPr="00D835EA" w:rsidRDefault="008905F0" w:rsidP="008905F0">
      <w:pPr>
        <w:pStyle w:val="BodyText"/>
      </w:pPr>
      <w:r w:rsidRPr="00D835EA">
        <w:t xml:space="preserve">Indicator 2 relates to the gender composition of the governing body as </w:t>
      </w:r>
      <w:proofErr w:type="gramStart"/>
      <w:r w:rsidRPr="00D835EA">
        <w:t>at</w:t>
      </w:r>
      <w:proofErr w:type="gramEnd"/>
      <w:r w:rsidRPr="00D835EA">
        <w:t xml:space="preserve"> 30 June 2021. The governing body for </w:t>
      </w:r>
      <w:r w:rsidR="00E24D51">
        <w:t>Court Services Victoria</w:t>
      </w:r>
      <w:r w:rsidRPr="00D835EA">
        <w:t xml:space="preserve"> is Courts Council and the percentage of women at Courts Council was 50.0% as </w:t>
      </w:r>
      <w:proofErr w:type="gramStart"/>
      <w:r w:rsidRPr="00D835EA">
        <w:t>at</w:t>
      </w:r>
      <w:proofErr w:type="gramEnd"/>
      <w:r w:rsidRPr="00D835EA">
        <w:t xml:space="preserve"> 30 June 2021, comprising four women (including the Chair) and four men.</w:t>
      </w:r>
    </w:p>
    <w:p w14:paraId="0F507EAA" w14:textId="46E143E3" w:rsidR="008905F0" w:rsidRPr="00BA2C4A" w:rsidRDefault="008905F0" w:rsidP="000C6F23">
      <w:pPr>
        <w:pStyle w:val="Heading2"/>
        <w:pageBreakBefore/>
        <w:numPr>
          <w:ilvl w:val="0"/>
          <w:numId w:val="0"/>
        </w:numPr>
        <w:spacing w:before="320" w:line="276" w:lineRule="auto"/>
      </w:pPr>
      <w:bookmarkStart w:id="33" w:name="_Toc110508777"/>
      <w:r w:rsidRPr="00BA2C4A">
        <w:lastRenderedPageBreak/>
        <w:t>Indicator 3</w:t>
      </w:r>
      <w:r w:rsidR="00F92528" w:rsidRPr="00BA2C4A">
        <w:t xml:space="preserve"> - </w:t>
      </w:r>
      <w:r w:rsidRPr="00BA2C4A">
        <w:t>Equal remuneration for work of equal or comparable value</w:t>
      </w:r>
      <w:bookmarkEnd w:id="33"/>
    </w:p>
    <w:p w14:paraId="1E17F290" w14:textId="77777777" w:rsidR="008905F0" w:rsidRPr="00D835EA" w:rsidRDefault="008905F0" w:rsidP="000C6F23">
      <w:pPr>
        <w:pStyle w:val="BodyText"/>
      </w:pPr>
      <w:r w:rsidRPr="000C6F23">
        <w:t>Indicator</w:t>
      </w:r>
      <w:r w:rsidRPr="00D835EA">
        <w:t xml:space="preserve"> 3 relates to the remuneration for work of equal or comparable value across all levels of the workforce irrespective of gender. The gender pay gap is the difference between women’s or people of self</w:t>
      </w:r>
      <w:r w:rsidRPr="00D835EA">
        <w:rPr>
          <w:rFonts w:ascii="Cambria Math" w:hAnsi="Cambria Math" w:cs="Cambria Math"/>
        </w:rPr>
        <w:t>‑</w:t>
      </w:r>
      <w:r w:rsidRPr="00D835EA">
        <w:t>described genders and men</w:t>
      </w:r>
      <w:r w:rsidRPr="00D835EA">
        <w:rPr>
          <w:rFonts w:ascii="Biennale Book" w:hAnsi="Biennale Book" w:cs="Biennale Book"/>
        </w:rPr>
        <w:t>’</w:t>
      </w:r>
      <w:r w:rsidRPr="00D835EA">
        <w:t>s average full</w:t>
      </w:r>
      <w:r w:rsidRPr="00D835EA">
        <w:rPr>
          <w:rFonts w:ascii="Cambria Math" w:hAnsi="Cambria Math" w:cs="Cambria Math"/>
        </w:rPr>
        <w:t>‑</w:t>
      </w:r>
      <w:r w:rsidRPr="00D835EA">
        <w:t>time base annualised salary earnings, expressed as a percentage of men’s earnings.</w:t>
      </w:r>
    </w:p>
    <w:p w14:paraId="17C137A3" w14:textId="7F51B199" w:rsidR="008905F0" w:rsidRPr="00D835EA" w:rsidRDefault="008905F0" w:rsidP="008905F0">
      <w:pPr>
        <w:pStyle w:val="BodyText"/>
      </w:pPr>
      <w:r w:rsidRPr="00D835EA">
        <w:t xml:space="preserve">As at the last main pay run prior to 30 June 2021 the overall </w:t>
      </w:r>
      <w:r w:rsidR="00E24D51">
        <w:t>Court Services Victoria</w:t>
      </w:r>
      <w:r w:rsidRPr="00D835EA">
        <w:t>:</w:t>
      </w:r>
    </w:p>
    <w:p w14:paraId="4F7109F2" w14:textId="77777777" w:rsidR="008905F0" w:rsidRPr="000C6F23" w:rsidRDefault="008905F0" w:rsidP="000C6F23">
      <w:pPr>
        <w:pStyle w:val="ListBullet"/>
      </w:pPr>
      <w:r w:rsidRPr="000C6F23">
        <w:t>median base salary gap between men and women was 10.1%</w:t>
      </w:r>
    </w:p>
    <w:p w14:paraId="5357D965" w14:textId="77777777" w:rsidR="008905F0" w:rsidRPr="000C6F23" w:rsidRDefault="008905F0" w:rsidP="000C6F23">
      <w:pPr>
        <w:pStyle w:val="ListBullet"/>
      </w:pPr>
      <w:r w:rsidRPr="000C6F23">
        <w:t>median total remuneration gap between men and women was 9.0%.</w:t>
      </w:r>
    </w:p>
    <w:p w14:paraId="4C699105" w14:textId="13691838" w:rsidR="008905F0" w:rsidRPr="00BA2C4A" w:rsidRDefault="008905F0" w:rsidP="007A2E2C">
      <w:pPr>
        <w:pStyle w:val="Heading2"/>
        <w:numPr>
          <w:ilvl w:val="0"/>
          <w:numId w:val="0"/>
        </w:numPr>
        <w:spacing w:line="276" w:lineRule="auto"/>
      </w:pPr>
      <w:bookmarkStart w:id="34" w:name="_Toc110508778"/>
      <w:r w:rsidRPr="00BA2C4A">
        <w:t>Indicator 4</w:t>
      </w:r>
      <w:r w:rsidR="00F92528" w:rsidRPr="00BA2C4A">
        <w:t xml:space="preserve"> - </w:t>
      </w:r>
      <w:r w:rsidRPr="00BA2C4A">
        <w:t>Workplace sexual harassment</w:t>
      </w:r>
      <w:bookmarkEnd w:id="34"/>
    </w:p>
    <w:p w14:paraId="08ED490F" w14:textId="1F824203" w:rsidR="008905F0" w:rsidRPr="00D835EA" w:rsidRDefault="008905F0" w:rsidP="008905F0">
      <w:pPr>
        <w:pStyle w:val="BodyText"/>
      </w:pPr>
      <w:r w:rsidRPr="00D835EA">
        <w:t xml:space="preserve">Indicator 4 relates to the number and outcomes of any sexual harassment complaints lodged in the workplace between 1 July 2020 and 30 June 2021. During the reporting period, three formal reports of sexual harassment were received at </w:t>
      </w:r>
      <w:r w:rsidR="00E24D51">
        <w:t>Court Services Victoria</w:t>
      </w:r>
      <w:r w:rsidRPr="00D835EA">
        <w:t>.</w:t>
      </w:r>
    </w:p>
    <w:p w14:paraId="12186891" w14:textId="550FF6CB" w:rsidR="008905F0" w:rsidRPr="00D835EA" w:rsidRDefault="000C6F23" w:rsidP="008905F0">
      <w:pPr>
        <w:pStyle w:val="BodyText"/>
      </w:pPr>
      <w:r>
        <w:fldChar w:fldCharType="begin"/>
      </w:r>
      <w:r>
        <w:instrText xml:space="preserve"> REF _Ref110506915 \h </w:instrText>
      </w:r>
      <w:r>
        <w:fldChar w:fldCharType="separate"/>
      </w:r>
      <w:r w:rsidR="00561567">
        <w:t xml:space="preserve">Table </w:t>
      </w:r>
      <w:r w:rsidR="00561567">
        <w:rPr>
          <w:noProof/>
        </w:rPr>
        <w:t>10</w:t>
      </w:r>
      <w:r>
        <w:fldChar w:fldCharType="end"/>
      </w:r>
      <w:r w:rsidR="008905F0" w:rsidRPr="00D835EA">
        <w:t xml:space="preserve"> below shows results from the People Matter Survey in relation to Indicator 4</w:t>
      </w:r>
      <w:r w:rsidR="00D94DC8">
        <w:rPr>
          <w:rStyle w:val="FootnoteReference"/>
        </w:rPr>
        <w:footnoteReference w:id="17"/>
      </w:r>
      <w:r w:rsidR="008905F0" w:rsidRPr="00D835EA">
        <w:t>.</w:t>
      </w:r>
    </w:p>
    <w:p w14:paraId="4D704B48" w14:textId="6A172415" w:rsidR="008905F0" w:rsidRPr="00D835EA" w:rsidRDefault="000C6F23" w:rsidP="000C6F23">
      <w:pPr>
        <w:pStyle w:val="Caption"/>
      </w:pPr>
      <w:bookmarkStart w:id="35" w:name="_Ref110506915"/>
      <w:r>
        <w:t xml:space="preserve">Table </w:t>
      </w:r>
      <w:fldSimple w:instr=" SEQ Table \* ARABIC ">
        <w:r w:rsidR="00561567">
          <w:rPr>
            <w:noProof/>
          </w:rPr>
          <w:t>10</w:t>
        </w:r>
      </w:fldSimple>
      <w:bookmarkEnd w:id="35"/>
      <w:r w:rsidR="008905F0" w:rsidRPr="00D835EA">
        <w:t>: People Matter Survey results related to Indicator 4: Workplace sexual harassment</w:t>
      </w:r>
    </w:p>
    <w:tbl>
      <w:tblPr>
        <w:tblStyle w:val="TableGrid"/>
        <w:tblW w:w="5000" w:type="pct"/>
        <w:tblLook w:val="0620" w:firstRow="1" w:lastRow="0" w:firstColumn="0" w:lastColumn="0" w:noHBand="1" w:noVBand="1"/>
      </w:tblPr>
      <w:tblGrid>
        <w:gridCol w:w="2693"/>
        <w:gridCol w:w="1732"/>
        <w:gridCol w:w="1732"/>
        <w:gridCol w:w="1732"/>
        <w:gridCol w:w="1732"/>
      </w:tblGrid>
      <w:tr w:rsidR="008905F0" w:rsidRPr="00D835EA" w14:paraId="569F23FE" w14:textId="77777777" w:rsidTr="0091654B">
        <w:trPr>
          <w:cnfStyle w:val="100000000000" w:firstRow="1" w:lastRow="0" w:firstColumn="0" w:lastColumn="0" w:oddVBand="0" w:evenVBand="0" w:oddHBand="0" w:evenHBand="0" w:firstRowFirstColumn="0" w:firstRowLastColumn="0" w:lastRowFirstColumn="0" w:lastRowLastColumn="0"/>
        </w:trPr>
        <w:tc>
          <w:tcPr>
            <w:tcW w:w="1399" w:type="pct"/>
          </w:tcPr>
          <w:p w14:paraId="1E9381AA" w14:textId="77777777" w:rsidR="008905F0" w:rsidRPr="00D835EA" w:rsidRDefault="008905F0" w:rsidP="00E4684C">
            <w:bookmarkStart w:id="36" w:name="ColumnTitle_10"/>
            <w:r w:rsidRPr="00D835EA">
              <w:rPr>
                <w:b/>
              </w:rPr>
              <w:t>Question/Statement</w:t>
            </w:r>
          </w:p>
        </w:tc>
        <w:tc>
          <w:tcPr>
            <w:tcW w:w="900" w:type="pct"/>
          </w:tcPr>
          <w:p w14:paraId="1BE21B8B" w14:textId="46A11E20" w:rsidR="008905F0" w:rsidRPr="00D835EA" w:rsidRDefault="008905F0" w:rsidP="002A463A">
            <w:pPr>
              <w:jc w:val="center"/>
            </w:pPr>
            <w:r w:rsidRPr="00D835EA">
              <w:rPr>
                <w:b/>
              </w:rPr>
              <w:t>Women Respondents</w:t>
            </w:r>
            <w:r w:rsidR="007A2E2C">
              <w:rPr>
                <w:b/>
              </w:rPr>
              <w:t xml:space="preserve"> </w:t>
            </w:r>
            <w:r w:rsidRPr="00D835EA">
              <w:rPr>
                <w:b/>
              </w:rPr>
              <w:t>(%)</w:t>
            </w:r>
          </w:p>
        </w:tc>
        <w:tc>
          <w:tcPr>
            <w:tcW w:w="900" w:type="pct"/>
          </w:tcPr>
          <w:p w14:paraId="4C477398" w14:textId="2E0D84DF" w:rsidR="008905F0" w:rsidRPr="00D835EA" w:rsidRDefault="008905F0" w:rsidP="002A463A">
            <w:pPr>
              <w:jc w:val="center"/>
            </w:pPr>
            <w:r w:rsidRPr="00D835EA">
              <w:rPr>
                <w:b/>
              </w:rPr>
              <w:t>Men Respondents</w:t>
            </w:r>
            <w:r w:rsidR="007A2E2C">
              <w:rPr>
                <w:b/>
              </w:rPr>
              <w:t xml:space="preserve"> </w:t>
            </w:r>
            <w:r w:rsidRPr="00D835EA">
              <w:rPr>
                <w:b/>
              </w:rPr>
              <w:t>(%)</w:t>
            </w:r>
          </w:p>
        </w:tc>
        <w:tc>
          <w:tcPr>
            <w:tcW w:w="900" w:type="pct"/>
          </w:tcPr>
          <w:p w14:paraId="6C2A6EB9" w14:textId="37960361" w:rsidR="008905F0" w:rsidRPr="00D835EA" w:rsidRDefault="008905F0" w:rsidP="002A463A">
            <w:pPr>
              <w:jc w:val="center"/>
            </w:pPr>
            <w:r w:rsidRPr="00D835EA">
              <w:rPr>
                <w:b/>
              </w:rPr>
              <w:t>Non</w:t>
            </w:r>
            <w:r w:rsidRPr="00D835EA">
              <w:rPr>
                <w:rFonts w:ascii="Cambria Math" w:hAnsi="Cambria Math" w:cs="Cambria Math"/>
                <w:b/>
              </w:rPr>
              <w:t>‑</w:t>
            </w:r>
            <w:r w:rsidRPr="00D835EA">
              <w:rPr>
                <w:b/>
              </w:rPr>
              <w:t>binary/ Prefer not</w:t>
            </w:r>
            <w:r w:rsidR="007A2E2C">
              <w:rPr>
                <w:b/>
              </w:rPr>
              <w:t xml:space="preserve"> </w:t>
            </w:r>
            <w:r w:rsidR="007A2E2C">
              <w:rPr>
                <w:b/>
              </w:rPr>
              <w:br/>
            </w:r>
            <w:r w:rsidRPr="00D835EA">
              <w:rPr>
                <w:b/>
              </w:rPr>
              <w:t>to say Respondents</w:t>
            </w:r>
            <w:r w:rsidR="007A2E2C">
              <w:rPr>
                <w:b/>
              </w:rPr>
              <w:t xml:space="preserve"> </w:t>
            </w:r>
            <w:r w:rsidRPr="00D835EA">
              <w:rPr>
                <w:b/>
              </w:rPr>
              <w:t>(%)</w:t>
            </w:r>
          </w:p>
        </w:tc>
        <w:tc>
          <w:tcPr>
            <w:tcW w:w="900" w:type="pct"/>
          </w:tcPr>
          <w:p w14:paraId="32E6AD9D" w14:textId="770281ED" w:rsidR="008905F0" w:rsidRPr="00D835EA" w:rsidRDefault="008905F0" w:rsidP="002A463A">
            <w:pPr>
              <w:jc w:val="center"/>
              <w:rPr>
                <w:b/>
              </w:rPr>
            </w:pPr>
            <w:r w:rsidRPr="00D835EA">
              <w:rPr>
                <w:b/>
              </w:rPr>
              <w:t>All Respondents</w:t>
            </w:r>
            <w:r w:rsidR="007A2E2C">
              <w:rPr>
                <w:b/>
              </w:rPr>
              <w:t xml:space="preserve"> </w:t>
            </w:r>
            <w:r w:rsidRPr="00D835EA">
              <w:rPr>
                <w:b/>
              </w:rPr>
              <w:t>(%)</w:t>
            </w:r>
          </w:p>
        </w:tc>
      </w:tr>
      <w:bookmarkEnd w:id="36"/>
      <w:tr w:rsidR="008905F0" w:rsidRPr="00D835EA" w14:paraId="2E1A8205" w14:textId="77777777" w:rsidTr="0091654B">
        <w:tc>
          <w:tcPr>
            <w:tcW w:w="1399" w:type="pct"/>
          </w:tcPr>
          <w:p w14:paraId="3234BDD0" w14:textId="77777777" w:rsidR="008905F0" w:rsidRPr="00D835EA" w:rsidRDefault="008905F0" w:rsidP="00E4684C">
            <w:r w:rsidRPr="00D835EA">
              <w:t>Sexual harassment experienced in last 12 months</w:t>
            </w:r>
          </w:p>
        </w:tc>
        <w:tc>
          <w:tcPr>
            <w:tcW w:w="900" w:type="pct"/>
          </w:tcPr>
          <w:p w14:paraId="2C6295AD" w14:textId="77777777" w:rsidR="008905F0" w:rsidRPr="00D835EA" w:rsidRDefault="008905F0" w:rsidP="002A463A">
            <w:pPr>
              <w:jc w:val="center"/>
            </w:pPr>
            <w:r w:rsidRPr="00D835EA">
              <w:t>8</w:t>
            </w:r>
          </w:p>
        </w:tc>
        <w:tc>
          <w:tcPr>
            <w:tcW w:w="900" w:type="pct"/>
          </w:tcPr>
          <w:p w14:paraId="5D14E1C4" w14:textId="77777777" w:rsidR="008905F0" w:rsidRPr="00D835EA" w:rsidRDefault="008905F0" w:rsidP="002A463A">
            <w:pPr>
              <w:jc w:val="center"/>
            </w:pPr>
            <w:r w:rsidRPr="00D835EA">
              <w:t>3</w:t>
            </w:r>
          </w:p>
        </w:tc>
        <w:tc>
          <w:tcPr>
            <w:tcW w:w="900" w:type="pct"/>
          </w:tcPr>
          <w:p w14:paraId="052606D4" w14:textId="77777777" w:rsidR="008905F0" w:rsidRPr="00D835EA" w:rsidRDefault="008905F0" w:rsidP="002A463A">
            <w:pPr>
              <w:jc w:val="center"/>
            </w:pPr>
            <w:r w:rsidRPr="00D835EA">
              <w:t>7</w:t>
            </w:r>
          </w:p>
        </w:tc>
        <w:tc>
          <w:tcPr>
            <w:tcW w:w="900" w:type="pct"/>
          </w:tcPr>
          <w:p w14:paraId="1EE0B8B4" w14:textId="77777777" w:rsidR="008905F0" w:rsidRPr="00D835EA" w:rsidRDefault="008905F0" w:rsidP="002A463A">
            <w:pPr>
              <w:jc w:val="center"/>
            </w:pPr>
            <w:r w:rsidRPr="00D835EA">
              <w:t>6</w:t>
            </w:r>
          </w:p>
        </w:tc>
      </w:tr>
      <w:tr w:rsidR="008905F0" w:rsidRPr="00D835EA" w14:paraId="629FDC0E" w14:textId="77777777" w:rsidTr="0091654B">
        <w:tc>
          <w:tcPr>
            <w:tcW w:w="1399" w:type="pct"/>
          </w:tcPr>
          <w:p w14:paraId="49FACF3C" w14:textId="77777777" w:rsidR="008905F0" w:rsidRPr="00D835EA" w:rsidRDefault="008905F0" w:rsidP="00E4684C">
            <w:r w:rsidRPr="00D835EA">
              <w:t>I feel safe to challenge inappropriate behaviour at work</w:t>
            </w:r>
          </w:p>
        </w:tc>
        <w:tc>
          <w:tcPr>
            <w:tcW w:w="900" w:type="pct"/>
          </w:tcPr>
          <w:p w14:paraId="35ED0D56" w14:textId="77777777" w:rsidR="008905F0" w:rsidRPr="00D835EA" w:rsidRDefault="008905F0" w:rsidP="002A463A">
            <w:pPr>
              <w:jc w:val="center"/>
            </w:pPr>
            <w:r w:rsidRPr="00D835EA">
              <w:t>57</w:t>
            </w:r>
          </w:p>
        </w:tc>
        <w:tc>
          <w:tcPr>
            <w:tcW w:w="900" w:type="pct"/>
          </w:tcPr>
          <w:p w14:paraId="62255C3B" w14:textId="77777777" w:rsidR="008905F0" w:rsidRPr="00D835EA" w:rsidRDefault="008905F0" w:rsidP="002A463A">
            <w:pPr>
              <w:jc w:val="center"/>
            </w:pPr>
            <w:r w:rsidRPr="00D835EA">
              <w:t>71</w:t>
            </w:r>
          </w:p>
        </w:tc>
        <w:tc>
          <w:tcPr>
            <w:tcW w:w="900" w:type="pct"/>
          </w:tcPr>
          <w:p w14:paraId="4E5021EB" w14:textId="77777777" w:rsidR="008905F0" w:rsidRPr="00D835EA" w:rsidRDefault="008905F0" w:rsidP="002A463A">
            <w:pPr>
              <w:jc w:val="center"/>
            </w:pPr>
            <w:r w:rsidRPr="00D835EA">
              <w:t>40</w:t>
            </w:r>
          </w:p>
        </w:tc>
        <w:tc>
          <w:tcPr>
            <w:tcW w:w="900" w:type="pct"/>
          </w:tcPr>
          <w:p w14:paraId="73321015" w14:textId="77777777" w:rsidR="008905F0" w:rsidRPr="00D835EA" w:rsidRDefault="008905F0" w:rsidP="002A463A">
            <w:pPr>
              <w:jc w:val="center"/>
            </w:pPr>
            <w:r w:rsidRPr="00D835EA">
              <w:t>59</w:t>
            </w:r>
          </w:p>
        </w:tc>
      </w:tr>
      <w:tr w:rsidR="008905F0" w:rsidRPr="00D835EA" w14:paraId="1D5C27D2" w14:textId="77777777" w:rsidTr="0091654B">
        <w:tc>
          <w:tcPr>
            <w:tcW w:w="1399" w:type="pct"/>
          </w:tcPr>
          <w:p w14:paraId="29C9EA9E" w14:textId="77777777" w:rsidR="008905F0" w:rsidRPr="00D835EA" w:rsidRDefault="008905F0" w:rsidP="00E4684C">
            <w:r w:rsidRPr="00D835EA">
              <w:t xml:space="preserve">My organisation takes steps to eliminate bullying, </w:t>
            </w:r>
            <w:proofErr w:type="gramStart"/>
            <w:r w:rsidRPr="00D835EA">
              <w:t>harassment</w:t>
            </w:r>
            <w:proofErr w:type="gramEnd"/>
            <w:r w:rsidRPr="00D835EA">
              <w:t xml:space="preserve"> and discrimination</w:t>
            </w:r>
          </w:p>
        </w:tc>
        <w:tc>
          <w:tcPr>
            <w:tcW w:w="900" w:type="pct"/>
          </w:tcPr>
          <w:p w14:paraId="423A6798" w14:textId="77777777" w:rsidR="008905F0" w:rsidRPr="00D835EA" w:rsidRDefault="008905F0" w:rsidP="002A463A">
            <w:pPr>
              <w:jc w:val="center"/>
            </w:pPr>
            <w:r w:rsidRPr="00D835EA">
              <w:t>59</w:t>
            </w:r>
          </w:p>
        </w:tc>
        <w:tc>
          <w:tcPr>
            <w:tcW w:w="900" w:type="pct"/>
          </w:tcPr>
          <w:p w14:paraId="55A514E6" w14:textId="77777777" w:rsidR="008905F0" w:rsidRPr="00D835EA" w:rsidRDefault="008905F0" w:rsidP="002A463A">
            <w:pPr>
              <w:jc w:val="center"/>
            </w:pPr>
            <w:r w:rsidRPr="00D835EA">
              <w:t>69</w:t>
            </w:r>
          </w:p>
        </w:tc>
        <w:tc>
          <w:tcPr>
            <w:tcW w:w="900" w:type="pct"/>
          </w:tcPr>
          <w:p w14:paraId="391F9DDD" w14:textId="77777777" w:rsidR="008905F0" w:rsidRPr="00D835EA" w:rsidRDefault="008905F0" w:rsidP="002A463A">
            <w:pPr>
              <w:jc w:val="center"/>
            </w:pPr>
            <w:r w:rsidRPr="00D835EA">
              <w:t>43</w:t>
            </w:r>
          </w:p>
        </w:tc>
        <w:tc>
          <w:tcPr>
            <w:tcW w:w="900" w:type="pct"/>
          </w:tcPr>
          <w:p w14:paraId="0CF7E6C1" w14:textId="77777777" w:rsidR="008905F0" w:rsidRPr="00D835EA" w:rsidRDefault="008905F0" w:rsidP="002A463A">
            <w:pPr>
              <w:jc w:val="center"/>
            </w:pPr>
            <w:r w:rsidRPr="00D835EA">
              <w:t>60</w:t>
            </w:r>
          </w:p>
        </w:tc>
      </w:tr>
      <w:tr w:rsidR="008905F0" w:rsidRPr="00D835EA" w14:paraId="6D136019" w14:textId="77777777" w:rsidTr="0091654B">
        <w:tc>
          <w:tcPr>
            <w:tcW w:w="1399" w:type="pct"/>
          </w:tcPr>
          <w:p w14:paraId="7370757C" w14:textId="77777777" w:rsidR="008905F0" w:rsidRPr="00D835EA" w:rsidRDefault="008905F0" w:rsidP="00E4684C">
            <w:r w:rsidRPr="00D835EA">
              <w:t>My organisation encourages respectful workplace behaviours</w:t>
            </w:r>
          </w:p>
        </w:tc>
        <w:tc>
          <w:tcPr>
            <w:tcW w:w="900" w:type="pct"/>
          </w:tcPr>
          <w:p w14:paraId="3C57F9DA" w14:textId="77777777" w:rsidR="008905F0" w:rsidRPr="00D835EA" w:rsidRDefault="008905F0" w:rsidP="002A463A">
            <w:pPr>
              <w:jc w:val="center"/>
            </w:pPr>
            <w:r w:rsidRPr="00D835EA">
              <w:t>80</w:t>
            </w:r>
          </w:p>
        </w:tc>
        <w:tc>
          <w:tcPr>
            <w:tcW w:w="900" w:type="pct"/>
          </w:tcPr>
          <w:p w14:paraId="1618F7F0" w14:textId="77777777" w:rsidR="008905F0" w:rsidRPr="00D835EA" w:rsidRDefault="008905F0" w:rsidP="002A463A">
            <w:pPr>
              <w:jc w:val="center"/>
            </w:pPr>
            <w:r w:rsidRPr="00D835EA">
              <w:t>85</w:t>
            </w:r>
          </w:p>
        </w:tc>
        <w:tc>
          <w:tcPr>
            <w:tcW w:w="900" w:type="pct"/>
          </w:tcPr>
          <w:p w14:paraId="56EC8090" w14:textId="77777777" w:rsidR="008905F0" w:rsidRPr="00D835EA" w:rsidRDefault="008905F0" w:rsidP="002A463A">
            <w:pPr>
              <w:jc w:val="center"/>
            </w:pPr>
            <w:r w:rsidRPr="00D835EA">
              <w:t>65</w:t>
            </w:r>
          </w:p>
        </w:tc>
        <w:tc>
          <w:tcPr>
            <w:tcW w:w="900" w:type="pct"/>
          </w:tcPr>
          <w:p w14:paraId="4A0CEE00" w14:textId="77777777" w:rsidR="008905F0" w:rsidRPr="00D835EA" w:rsidRDefault="008905F0" w:rsidP="002A463A">
            <w:pPr>
              <w:jc w:val="center"/>
            </w:pPr>
            <w:r w:rsidRPr="00D835EA">
              <w:t>79</w:t>
            </w:r>
          </w:p>
        </w:tc>
      </w:tr>
    </w:tbl>
    <w:p w14:paraId="3BD59EAC" w14:textId="4C706992" w:rsidR="008905F0" w:rsidRPr="00BA2C4A" w:rsidRDefault="008905F0" w:rsidP="002A463A">
      <w:pPr>
        <w:pStyle w:val="Heading2"/>
        <w:pageBreakBefore/>
        <w:numPr>
          <w:ilvl w:val="0"/>
          <w:numId w:val="0"/>
        </w:numPr>
        <w:spacing w:before="320" w:line="276" w:lineRule="auto"/>
      </w:pPr>
      <w:bookmarkStart w:id="37" w:name="_Toc110508779"/>
      <w:r w:rsidRPr="00BA2C4A">
        <w:lastRenderedPageBreak/>
        <w:t>Indicator 5</w:t>
      </w:r>
      <w:r w:rsidR="00F92528" w:rsidRPr="00BA2C4A">
        <w:t xml:space="preserve"> - </w:t>
      </w:r>
      <w:r w:rsidRPr="00BA2C4A">
        <w:t>Recruitment and promotion practices</w:t>
      </w:r>
      <w:bookmarkEnd w:id="37"/>
    </w:p>
    <w:p w14:paraId="0D34F757" w14:textId="77777777" w:rsidR="008905F0" w:rsidRPr="00D835EA" w:rsidRDefault="008905F0" w:rsidP="008905F0">
      <w:pPr>
        <w:pStyle w:val="BodyText"/>
      </w:pPr>
      <w:r w:rsidRPr="00D835EA">
        <w:t>Indicator 5 relates to the gender composition of people recruited, promoted, awarded higher duties or internal secondments, who participated in career development training opportunities, and/or exited the organisation.</w:t>
      </w:r>
    </w:p>
    <w:p w14:paraId="440189B0" w14:textId="424BE3FD" w:rsidR="008905F0" w:rsidRPr="00D835EA" w:rsidRDefault="002A463A" w:rsidP="008905F0">
      <w:pPr>
        <w:pStyle w:val="BodyText"/>
      </w:pPr>
      <w:r>
        <w:fldChar w:fldCharType="begin"/>
      </w:r>
      <w:r>
        <w:instrText xml:space="preserve"> REF _Ref110506950 \h </w:instrText>
      </w:r>
      <w:r>
        <w:fldChar w:fldCharType="separate"/>
      </w:r>
      <w:r w:rsidR="00561567">
        <w:t xml:space="preserve">Table </w:t>
      </w:r>
      <w:r w:rsidR="00561567">
        <w:rPr>
          <w:noProof/>
        </w:rPr>
        <w:t>11</w:t>
      </w:r>
      <w:r>
        <w:fldChar w:fldCharType="end"/>
      </w:r>
      <w:r w:rsidR="008905F0" w:rsidRPr="00D835EA">
        <w:t xml:space="preserve"> below provides results from the People Matter Survey in relation to Indicator 5. It shows the corresponding percentages of </w:t>
      </w:r>
      <w:r w:rsidR="00E24D51">
        <w:t>Court Services Victoria</w:t>
      </w:r>
      <w:r w:rsidR="008905F0" w:rsidRPr="00D835EA">
        <w:t xml:space="preserve"> people who agreed with each statement.</w:t>
      </w:r>
    </w:p>
    <w:p w14:paraId="0A0C10EA" w14:textId="456EFCDB" w:rsidR="008905F0" w:rsidRPr="00D835EA" w:rsidRDefault="002A463A" w:rsidP="002A463A">
      <w:pPr>
        <w:pStyle w:val="Caption"/>
      </w:pPr>
      <w:bookmarkStart w:id="38" w:name="_Ref110506950"/>
      <w:r>
        <w:t xml:space="preserve">Table </w:t>
      </w:r>
      <w:fldSimple w:instr=" SEQ Table \* ARABIC ">
        <w:r w:rsidR="00561567">
          <w:rPr>
            <w:noProof/>
          </w:rPr>
          <w:t>11</w:t>
        </w:r>
      </w:fldSimple>
      <w:bookmarkEnd w:id="38"/>
      <w:r w:rsidR="008905F0" w:rsidRPr="00D835EA">
        <w:t>: People Matter Survey results related to Indicator 5: Recruitment and promotion practices</w:t>
      </w:r>
    </w:p>
    <w:tbl>
      <w:tblPr>
        <w:tblStyle w:val="TableGrid"/>
        <w:tblW w:w="5000" w:type="pct"/>
        <w:tblLook w:val="0620" w:firstRow="1" w:lastRow="0" w:firstColumn="0" w:lastColumn="0" w:noHBand="1" w:noVBand="1"/>
      </w:tblPr>
      <w:tblGrid>
        <w:gridCol w:w="2927"/>
        <w:gridCol w:w="1610"/>
        <w:gridCol w:w="1695"/>
        <w:gridCol w:w="1695"/>
        <w:gridCol w:w="1694"/>
      </w:tblGrid>
      <w:tr w:rsidR="008905F0" w:rsidRPr="00D835EA" w14:paraId="17DCF420" w14:textId="77777777" w:rsidTr="0091654B">
        <w:trPr>
          <w:cnfStyle w:val="100000000000" w:firstRow="1" w:lastRow="0" w:firstColumn="0" w:lastColumn="0" w:oddVBand="0" w:evenVBand="0" w:oddHBand="0" w:evenHBand="0" w:firstRowFirstColumn="0" w:firstRowLastColumn="0" w:lastRowFirstColumn="0" w:lastRowLastColumn="0"/>
        </w:trPr>
        <w:tc>
          <w:tcPr>
            <w:tcW w:w="1546" w:type="pct"/>
          </w:tcPr>
          <w:p w14:paraId="4C619BA9" w14:textId="77777777" w:rsidR="008905F0" w:rsidRPr="00D835EA" w:rsidRDefault="008905F0" w:rsidP="00E4684C">
            <w:bookmarkStart w:id="39" w:name="ColumnTitle_11"/>
            <w:r w:rsidRPr="00D835EA">
              <w:rPr>
                <w:b/>
              </w:rPr>
              <w:t>Question/Statement</w:t>
            </w:r>
          </w:p>
        </w:tc>
        <w:tc>
          <w:tcPr>
            <w:tcW w:w="737" w:type="pct"/>
          </w:tcPr>
          <w:p w14:paraId="579D7E8E" w14:textId="68647061" w:rsidR="008905F0" w:rsidRPr="00D835EA" w:rsidRDefault="008905F0" w:rsidP="002A463A">
            <w:pPr>
              <w:jc w:val="center"/>
            </w:pPr>
            <w:r w:rsidRPr="00D835EA">
              <w:rPr>
                <w:b/>
              </w:rPr>
              <w:t>Women Respondents</w:t>
            </w:r>
            <w:r w:rsidR="007A2E2C">
              <w:rPr>
                <w:b/>
              </w:rPr>
              <w:t xml:space="preserve"> </w:t>
            </w:r>
            <w:r w:rsidRPr="00D835EA">
              <w:rPr>
                <w:b/>
              </w:rPr>
              <w:t>(%)</w:t>
            </w:r>
          </w:p>
        </w:tc>
        <w:tc>
          <w:tcPr>
            <w:tcW w:w="906" w:type="pct"/>
          </w:tcPr>
          <w:p w14:paraId="500CF775" w14:textId="7038159F" w:rsidR="008905F0" w:rsidRPr="00D835EA" w:rsidRDefault="008905F0" w:rsidP="002A463A">
            <w:pPr>
              <w:jc w:val="center"/>
            </w:pPr>
            <w:r w:rsidRPr="00D835EA">
              <w:rPr>
                <w:b/>
              </w:rPr>
              <w:t>Men Respondents</w:t>
            </w:r>
            <w:r w:rsidR="007A2E2C">
              <w:rPr>
                <w:b/>
              </w:rPr>
              <w:t xml:space="preserve"> </w:t>
            </w:r>
            <w:r w:rsidRPr="00D835EA">
              <w:rPr>
                <w:b/>
              </w:rPr>
              <w:t>(%)</w:t>
            </w:r>
          </w:p>
        </w:tc>
        <w:tc>
          <w:tcPr>
            <w:tcW w:w="906" w:type="pct"/>
          </w:tcPr>
          <w:p w14:paraId="1C7E3699" w14:textId="7BA58892" w:rsidR="008905F0" w:rsidRPr="00D835EA" w:rsidRDefault="008905F0" w:rsidP="002A463A">
            <w:pPr>
              <w:jc w:val="center"/>
            </w:pPr>
            <w:r w:rsidRPr="00D835EA">
              <w:rPr>
                <w:b/>
              </w:rPr>
              <w:t>Non</w:t>
            </w:r>
            <w:r w:rsidRPr="00D835EA">
              <w:rPr>
                <w:rFonts w:ascii="Cambria Math" w:hAnsi="Cambria Math" w:cs="Cambria Math"/>
                <w:b/>
              </w:rPr>
              <w:t>‑</w:t>
            </w:r>
            <w:r w:rsidRPr="00D835EA">
              <w:rPr>
                <w:b/>
              </w:rPr>
              <w:t>binary/ Prefer not</w:t>
            </w:r>
            <w:r w:rsidR="007A2E2C">
              <w:rPr>
                <w:b/>
              </w:rPr>
              <w:t xml:space="preserve"> </w:t>
            </w:r>
            <w:r w:rsidR="007A2E2C">
              <w:rPr>
                <w:b/>
              </w:rPr>
              <w:br/>
            </w:r>
            <w:r w:rsidRPr="00D835EA">
              <w:rPr>
                <w:b/>
              </w:rPr>
              <w:t>to say Respondents</w:t>
            </w:r>
            <w:r w:rsidR="007A2E2C">
              <w:rPr>
                <w:b/>
              </w:rPr>
              <w:t xml:space="preserve"> </w:t>
            </w:r>
            <w:r w:rsidRPr="00D835EA">
              <w:rPr>
                <w:b/>
              </w:rPr>
              <w:t>(%)</w:t>
            </w:r>
          </w:p>
        </w:tc>
        <w:tc>
          <w:tcPr>
            <w:tcW w:w="906" w:type="pct"/>
          </w:tcPr>
          <w:p w14:paraId="31013F0F" w14:textId="6FCBE1E2" w:rsidR="008905F0" w:rsidRPr="00D835EA" w:rsidRDefault="008905F0" w:rsidP="002A463A">
            <w:pPr>
              <w:jc w:val="center"/>
              <w:rPr>
                <w:b/>
              </w:rPr>
            </w:pPr>
            <w:r w:rsidRPr="00D835EA">
              <w:rPr>
                <w:b/>
              </w:rPr>
              <w:t>All Respondents</w:t>
            </w:r>
            <w:r w:rsidR="007A2E2C">
              <w:rPr>
                <w:b/>
              </w:rPr>
              <w:t xml:space="preserve"> </w:t>
            </w:r>
            <w:r w:rsidRPr="00D835EA">
              <w:rPr>
                <w:b/>
              </w:rPr>
              <w:t>(%)</w:t>
            </w:r>
          </w:p>
        </w:tc>
      </w:tr>
      <w:bookmarkEnd w:id="39"/>
      <w:tr w:rsidR="008905F0" w:rsidRPr="00D835EA" w14:paraId="1E494466" w14:textId="77777777" w:rsidTr="0091654B">
        <w:tc>
          <w:tcPr>
            <w:tcW w:w="1546" w:type="pct"/>
          </w:tcPr>
          <w:p w14:paraId="128E22A7" w14:textId="77777777" w:rsidR="008905F0" w:rsidRPr="00D835EA" w:rsidRDefault="008905F0" w:rsidP="00E4684C">
            <w:r w:rsidRPr="00D835EA">
              <w:t>My organisation makes fair recruitment and promotion decisions, based on merit</w:t>
            </w:r>
          </w:p>
        </w:tc>
        <w:tc>
          <w:tcPr>
            <w:tcW w:w="737" w:type="pct"/>
          </w:tcPr>
          <w:p w14:paraId="71D42EE4" w14:textId="77777777" w:rsidR="008905F0" w:rsidRPr="00D835EA" w:rsidRDefault="008905F0" w:rsidP="002A463A">
            <w:pPr>
              <w:jc w:val="center"/>
            </w:pPr>
            <w:r w:rsidRPr="00D835EA">
              <w:t>47</w:t>
            </w:r>
          </w:p>
        </w:tc>
        <w:tc>
          <w:tcPr>
            <w:tcW w:w="906" w:type="pct"/>
          </w:tcPr>
          <w:p w14:paraId="7417D2F1" w14:textId="77777777" w:rsidR="008905F0" w:rsidRPr="00D835EA" w:rsidRDefault="008905F0" w:rsidP="002A463A">
            <w:pPr>
              <w:jc w:val="center"/>
            </w:pPr>
            <w:r w:rsidRPr="00D835EA">
              <w:t>59</w:t>
            </w:r>
          </w:p>
        </w:tc>
        <w:tc>
          <w:tcPr>
            <w:tcW w:w="906" w:type="pct"/>
          </w:tcPr>
          <w:p w14:paraId="510459F7" w14:textId="77777777" w:rsidR="008905F0" w:rsidRPr="00D835EA" w:rsidRDefault="008905F0" w:rsidP="002A463A">
            <w:pPr>
              <w:jc w:val="center"/>
            </w:pPr>
            <w:r w:rsidRPr="00D835EA">
              <w:t>38</w:t>
            </w:r>
          </w:p>
        </w:tc>
        <w:tc>
          <w:tcPr>
            <w:tcW w:w="906" w:type="pct"/>
          </w:tcPr>
          <w:p w14:paraId="2EFC40A8" w14:textId="77777777" w:rsidR="008905F0" w:rsidRPr="00D835EA" w:rsidRDefault="008905F0" w:rsidP="002A463A">
            <w:pPr>
              <w:jc w:val="center"/>
            </w:pPr>
            <w:r w:rsidRPr="00D835EA">
              <w:t>49</w:t>
            </w:r>
          </w:p>
        </w:tc>
      </w:tr>
      <w:tr w:rsidR="008905F0" w:rsidRPr="00D835EA" w14:paraId="52BE5EED" w14:textId="77777777" w:rsidTr="0091654B">
        <w:tc>
          <w:tcPr>
            <w:tcW w:w="1546" w:type="pct"/>
          </w:tcPr>
          <w:p w14:paraId="7BD1CEF3" w14:textId="77777777" w:rsidR="008905F0" w:rsidRPr="00D835EA" w:rsidRDefault="008905F0" w:rsidP="00E4684C">
            <w:r w:rsidRPr="00D835EA">
              <w:t>I feel I have an equal chance at promotion in my organisation</w:t>
            </w:r>
          </w:p>
        </w:tc>
        <w:tc>
          <w:tcPr>
            <w:tcW w:w="737" w:type="pct"/>
          </w:tcPr>
          <w:p w14:paraId="3AFD2E93" w14:textId="77777777" w:rsidR="008905F0" w:rsidRPr="00D835EA" w:rsidRDefault="008905F0" w:rsidP="002A463A">
            <w:pPr>
              <w:jc w:val="center"/>
            </w:pPr>
            <w:r w:rsidRPr="00D835EA">
              <w:t>38</w:t>
            </w:r>
          </w:p>
        </w:tc>
        <w:tc>
          <w:tcPr>
            <w:tcW w:w="906" w:type="pct"/>
          </w:tcPr>
          <w:p w14:paraId="1DF07F44" w14:textId="77777777" w:rsidR="008905F0" w:rsidRPr="00D835EA" w:rsidRDefault="008905F0" w:rsidP="002A463A">
            <w:pPr>
              <w:jc w:val="center"/>
            </w:pPr>
            <w:r w:rsidRPr="00D835EA">
              <w:t>48</w:t>
            </w:r>
          </w:p>
        </w:tc>
        <w:tc>
          <w:tcPr>
            <w:tcW w:w="906" w:type="pct"/>
          </w:tcPr>
          <w:p w14:paraId="2E4F2095" w14:textId="77777777" w:rsidR="008905F0" w:rsidRPr="00D835EA" w:rsidRDefault="008905F0" w:rsidP="002A463A">
            <w:pPr>
              <w:jc w:val="center"/>
            </w:pPr>
            <w:r w:rsidRPr="00D835EA">
              <w:t>28</w:t>
            </w:r>
          </w:p>
        </w:tc>
        <w:tc>
          <w:tcPr>
            <w:tcW w:w="906" w:type="pct"/>
          </w:tcPr>
          <w:p w14:paraId="2CA1B58B" w14:textId="77777777" w:rsidR="008905F0" w:rsidRPr="00D835EA" w:rsidRDefault="008905F0" w:rsidP="002A463A">
            <w:pPr>
              <w:jc w:val="center"/>
            </w:pPr>
            <w:r w:rsidRPr="00D835EA">
              <w:t>39</w:t>
            </w:r>
          </w:p>
        </w:tc>
      </w:tr>
      <w:tr w:rsidR="008905F0" w:rsidRPr="00D835EA" w14:paraId="1668063A" w14:textId="77777777" w:rsidTr="0091654B">
        <w:tc>
          <w:tcPr>
            <w:tcW w:w="1546" w:type="pct"/>
          </w:tcPr>
          <w:p w14:paraId="6C4C843C" w14:textId="77777777" w:rsidR="008905F0" w:rsidRPr="00D835EA" w:rsidRDefault="008905F0" w:rsidP="00E4684C">
            <w:r w:rsidRPr="00D835EA">
              <w:t>Gender is not a barrier to success in my organisation</w:t>
            </w:r>
          </w:p>
        </w:tc>
        <w:tc>
          <w:tcPr>
            <w:tcW w:w="737" w:type="pct"/>
          </w:tcPr>
          <w:p w14:paraId="4E79DF57" w14:textId="77777777" w:rsidR="008905F0" w:rsidRPr="00D835EA" w:rsidRDefault="008905F0" w:rsidP="002A463A">
            <w:pPr>
              <w:jc w:val="center"/>
            </w:pPr>
            <w:r w:rsidRPr="00D835EA">
              <w:t>77</w:t>
            </w:r>
          </w:p>
        </w:tc>
        <w:tc>
          <w:tcPr>
            <w:tcW w:w="906" w:type="pct"/>
          </w:tcPr>
          <w:p w14:paraId="3479FC06" w14:textId="77777777" w:rsidR="008905F0" w:rsidRPr="00D835EA" w:rsidRDefault="008905F0" w:rsidP="002A463A">
            <w:pPr>
              <w:jc w:val="center"/>
            </w:pPr>
            <w:r w:rsidRPr="00D835EA">
              <w:t>83</w:t>
            </w:r>
          </w:p>
        </w:tc>
        <w:tc>
          <w:tcPr>
            <w:tcW w:w="906" w:type="pct"/>
          </w:tcPr>
          <w:p w14:paraId="46C64FD7" w14:textId="77777777" w:rsidR="008905F0" w:rsidRPr="00D835EA" w:rsidRDefault="008905F0" w:rsidP="002A463A">
            <w:pPr>
              <w:jc w:val="center"/>
            </w:pPr>
            <w:r w:rsidRPr="00D835EA">
              <w:t>57</w:t>
            </w:r>
          </w:p>
        </w:tc>
        <w:tc>
          <w:tcPr>
            <w:tcW w:w="906" w:type="pct"/>
          </w:tcPr>
          <w:p w14:paraId="40F1C6E5" w14:textId="77777777" w:rsidR="008905F0" w:rsidRPr="00D835EA" w:rsidRDefault="008905F0" w:rsidP="002A463A">
            <w:pPr>
              <w:jc w:val="center"/>
            </w:pPr>
            <w:r w:rsidRPr="00D835EA">
              <w:t>76</w:t>
            </w:r>
          </w:p>
        </w:tc>
      </w:tr>
      <w:tr w:rsidR="008905F0" w:rsidRPr="00D835EA" w14:paraId="1269FD27" w14:textId="77777777" w:rsidTr="0091654B">
        <w:tc>
          <w:tcPr>
            <w:tcW w:w="1546" w:type="pct"/>
          </w:tcPr>
          <w:p w14:paraId="2FC39A0A" w14:textId="77777777" w:rsidR="008905F0" w:rsidRPr="00D835EA" w:rsidRDefault="008905F0" w:rsidP="00E4684C">
            <w:r w:rsidRPr="00D835EA">
              <w:t>Being Aboriginal and/or Torres Strait Islander is not a barrier to success in my organisation</w:t>
            </w:r>
          </w:p>
        </w:tc>
        <w:tc>
          <w:tcPr>
            <w:tcW w:w="737" w:type="pct"/>
          </w:tcPr>
          <w:p w14:paraId="7DF94998" w14:textId="77777777" w:rsidR="008905F0" w:rsidRPr="00D835EA" w:rsidRDefault="008905F0" w:rsidP="002A463A">
            <w:pPr>
              <w:jc w:val="center"/>
            </w:pPr>
            <w:r w:rsidRPr="00D835EA">
              <w:t>63</w:t>
            </w:r>
          </w:p>
        </w:tc>
        <w:tc>
          <w:tcPr>
            <w:tcW w:w="906" w:type="pct"/>
          </w:tcPr>
          <w:p w14:paraId="5F8955DC" w14:textId="77777777" w:rsidR="008905F0" w:rsidRPr="00D835EA" w:rsidRDefault="008905F0" w:rsidP="002A463A">
            <w:pPr>
              <w:jc w:val="center"/>
            </w:pPr>
            <w:r w:rsidRPr="00D835EA">
              <w:t>72</w:t>
            </w:r>
          </w:p>
        </w:tc>
        <w:tc>
          <w:tcPr>
            <w:tcW w:w="906" w:type="pct"/>
          </w:tcPr>
          <w:p w14:paraId="32AFCCB0" w14:textId="77777777" w:rsidR="008905F0" w:rsidRPr="00D835EA" w:rsidRDefault="008905F0" w:rsidP="002A463A">
            <w:pPr>
              <w:jc w:val="center"/>
            </w:pPr>
            <w:r w:rsidRPr="00D835EA">
              <w:t>60</w:t>
            </w:r>
          </w:p>
        </w:tc>
        <w:tc>
          <w:tcPr>
            <w:tcW w:w="906" w:type="pct"/>
          </w:tcPr>
          <w:p w14:paraId="1D4C47C4" w14:textId="77777777" w:rsidR="008905F0" w:rsidRPr="00D835EA" w:rsidRDefault="008905F0" w:rsidP="002A463A">
            <w:pPr>
              <w:jc w:val="center"/>
            </w:pPr>
            <w:r w:rsidRPr="00D835EA">
              <w:t>65</w:t>
            </w:r>
          </w:p>
        </w:tc>
      </w:tr>
      <w:tr w:rsidR="008905F0" w:rsidRPr="00D835EA" w14:paraId="3DB84F43" w14:textId="77777777" w:rsidTr="0091654B">
        <w:tc>
          <w:tcPr>
            <w:tcW w:w="1546" w:type="pct"/>
          </w:tcPr>
          <w:p w14:paraId="07217792" w14:textId="77777777" w:rsidR="008905F0" w:rsidRPr="00D835EA" w:rsidRDefault="008905F0" w:rsidP="00E4684C">
            <w:r w:rsidRPr="00D835EA">
              <w:t>Cultural background is not a barrier to success in my organisation</w:t>
            </w:r>
          </w:p>
        </w:tc>
        <w:tc>
          <w:tcPr>
            <w:tcW w:w="737" w:type="pct"/>
          </w:tcPr>
          <w:p w14:paraId="29F4CA92" w14:textId="77777777" w:rsidR="008905F0" w:rsidRPr="00D835EA" w:rsidRDefault="008905F0" w:rsidP="002A463A">
            <w:pPr>
              <w:jc w:val="center"/>
            </w:pPr>
            <w:r w:rsidRPr="00D835EA">
              <w:t>69</w:t>
            </w:r>
          </w:p>
        </w:tc>
        <w:tc>
          <w:tcPr>
            <w:tcW w:w="906" w:type="pct"/>
          </w:tcPr>
          <w:p w14:paraId="2F0C1529" w14:textId="77777777" w:rsidR="008905F0" w:rsidRPr="00D835EA" w:rsidRDefault="008905F0" w:rsidP="002A463A">
            <w:pPr>
              <w:jc w:val="center"/>
            </w:pPr>
            <w:r w:rsidRPr="00D835EA">
              <w:t>76</w:t>
            </w:r>
          </w:p>
        </w:tc>
        <w:tc>
          <w:tcPr>
            <w:tcW w:w="906" w:type="pct"/>
          </w:tcPr>
          <w:p w14:paraId="7D94A2BA" w14:textId="77777777" w:rsidR="008905F0" w:rsidRPr="00D835EA" w:rsidRDefault="008905F0" w:rsidP="002A463A">
            <w:pPr>
              <w:jc w:val="center"/>
            </w:pPr>
            <w:r w:rsidRPr="00D835EA">
              <w:t>60</w:t>
            </w:r>
          </w:p>
        </w:tc>
        <w:tc>
          <w:tcPr>
            <w:tcW w:w="906" w:type="pct"/>
          </w:tcPr>
          <w:p w14:paraId="4A33BBCC" w14:textId="77777777" w:rsidR="008905F0" w:rsidRPr="00D835EA" w:rsidRDefault="008905F0" w:rsidP="002A463A">
            <w:pPr>
              <w:jc w:val="center"/>
            </w:pPr>
            <w:r w:rsidRPr="00D835EA">
              <w:t>70</w:t>
            </w:r>
          </w:p>
        </w:tc>
      </w:tr>
      <w:tr w:rsidR="008905F0" w:rsidRPr="00D835EA" w14:paraId="605341E1" w14:textId="77777777" w:rsidTr="0091654B">
        <w:tc>
          <w:tcPr>
            <w:tcW w:w="1546" w:type="pct"/>
          </w:tcPr>
          <w:p w14:paraId="62C5821F" w14:textId="77777777" w:rsidR="008905F0" w:rsidRPr="00D835EA" w:rsidRDefault="008905F0" w:rsidP="00E4684C">
            <w:r w:rsidRPr="00D835EA">
              <w:t>Sexual orientation is not a barrier to success in my organisation</w:t>
            </w:r>
          </w:p>
        </w:tc>
        <w:tc>
          <w:tcPr>
            <w:tcW w:w="737" w:type="pct"/>
          </w:tcPr>
          <w:p w14:paraId="4E1DD5B9" w14:textId="77777777" w:rsidR="008905F0" w:rsidRPr="00D835EA" w:rsidRDefault="008905F0" w:rsidP="002A463A">
            <w:pPr>
              <w:jc w:val="center"/>
            </w:pPr>
            <w:r w:rsidRPr="00D835EA">
              <w:t>75</w:t>
            </w:r>
          </w:p>
        </w:tc>
        <w:tc>
          <w:tcPr>
            <w:tcW w:w="906" w:type="pct"/>
          </w:tcPr>
          <w:p w14:paraId="699CFAB6" w14:textId="77777777" w:rsidR="008905F0" w:rsidRPr="00D835EA" w:rsidRDefault="008905F0" w:rsidP="002A463A">
            <w:pPr>
              <w:jc w:val="center"/>
            </w:pPr>
            <w:r w:rsidRPr="00D835EA">
              <w:t>81</w:t>
            </w:r>
          </w:p>
        </w:tc>
        <w:tc>
          <w:tcPr>
            <w:tcW w:w="906" w:type="pct"/>
          </w:tcPr>
          <w:p w14:paraId="464B1685" w14:textId="77777777" w:rsidR="008905F0" w:rsidRPr="00D835EA" w:rsidRDefault="008905F0" w:rsidP="002A463A">
            <w:pPr>
              <w:jc w:val="center"/>
            </w:pPr>
            <w:r w:rsidRPr="00D835EA">
              <w:t>57</w:t>
            </w:r>
          </w:p>
        </w:tc>
        <w:tc>
          <w:tcPr>
            <w:tcW w:w="906" w:type="pct"/>
          </w:tcPr>
          <w:p w14:paraId="49ABD691" w14:textId="77777777" w:rsidR="008905F0" w:rsidRPr="00D835EA" w:rsidRDefault="008905F0" w:rsidP="002A463A">
            <w:pPr>
              <w:jc w:val="center"/>
            </w:pPr>
            <w:r w:rsidRPr="00D835EA">
              <w:t>75</w:t>
            </w:r>
          </w:p>
        </w:tc>
      </w:tr>
      <w:tr w:rsidR="008905F0" w:rsidRPr="00D835EA" w14:paraId="0B296F18" w14:textId="77777777" w:rsidTr="0091654B">
        <w:tc>
          <w:tcPr>
            <w:tcW w:w="1546" w:type="pct"/>
          </w:tcPr>
          <w:p w14:paraId="75134055" w14:textId="77777777" w:rsidR="008905F0" w:rsidRPr="00D835EA" w:rsidRDefault="008905F0" w:rsidP="00E4684C">
            <w:r w:rsidRPr="00D835EA">
              <w:t>Disability is not a barrier to success in my organisation</w:t>
            </w:r>
          </w:p>
        </w:tc>
        <w:tc>
          <w:tcPr>
            <w:tcW w:w="737" w:type="pct"/>
          </w:tcPr>
          <w:p w14:paraId="7E97F6C9" w14:textId="77777777" w:rsidR="008905F0" w:rsidRPr="00D835EA" w:rsidRDefault="008905F0" w:rsidP="002A463A">
            <w:pPr>
              <w:jc w:val="center"/>
            </w:pPr>
            <w:r w:rsidRPr="00D835EA">
              <w:t>54</w:t>
            </w:r>
          </w:p>
        </w:tc>
        <w:tc>
          <w:tcPr>
            <w:tcW w:w="906" w:type="pct"/>
          </w:tcPr>
          <w:p w14:paraId="26E36B3E" w14:textId="77777777" w:rsidR="008905F0" w:rsidRPr="00D835EA" w:rsidRDefault="008905F0" w:rsidP="002A463A">
            <w:pPr>
              <w:jc w:val="center"/>
            </w:pPr>
            <w:r w:rsidRPr="00D835EA">
              <w:t>66</w:t>
            </w:r>
          </w:p>
        </w:tc>
        <w:tc>
          <w:tcPr>
            <w:tcW w:w="906" w:type="pct"/>
          </w:tcPr>
          <w:p w14:paraId="7D95E47D" w14:textId="77777777" w:rsidR="008905F0" w:rsidRPr="00D835EA" w:rsidRDefault="008905F0" w:rsidP="002A463A">
            <w:pPr>
              <w:jc w:val="center"/>
            </w:pPr>
            <w:r w:rsidRPr="00D835EA">
              <w:t>40</w:t>
            </w:r>
          </w:p>
        </w:tc>
        <w:tc>
          <w:tcPr>
            <w:tcW w:w="906" w:type="pct"/>
          </w:tcPr>
          <w:p w14:paraId="7A6B8DBC" w14:textId="77777777" w:rsidR="008905F0" w:rsidRPr="00D835EA" w:rsidRDefault="008905F0" w:rsidP="002A463A">
            <w:pPr>
              <w:jc w:val="center"/>
            </w:pPr>
            <w:r w:rsidRPr="00D835EA">
              <w:t>55</w:t>
            </w:r>
          </w:p>
        </w:tc>
      </w:tr>
      <w:tr w:rsidR="008905F0" w:rsidRPr="00D835EA" w14:paraId="739C486B" w14:textId="77777777" w:rsidTr="0091654B">
        <w:tc>
          <w:tcPr>
            <w:tcW w:w="1546" w:type="pct"/>
          </w:tcPr>
          <w:p w14:paraId="4F97A0B1" w14:textId="77777777" w:rsidR="008905F0" w:rsidRPr="00D835EA" w:rsidRDefault="008905F0" w:rsidP="00E4684C">
            <w:r w:rsidRPr="00D835EA">
              <w:t>Age is not a barrier to success in my organisation</w:t>
            </w:r>
          </w:p>
        </w:tc>
        <w:tc>
          <w:tcPr>
            <w:tcW w:w="737" w:type="pct"/>
          </w:tcPr>
          <w:p w14:paraId="06FC9041" w14:textId="77777777" w:rsidR="008905F0" w:rsidRPr="00D835EA" w:rsidRDefault="008905F0" w:rsidP="002A463A">
            <w:pPr>
              <w:jc w:val="center"/>
            </w:pPr>
            <w:r w:rsidRPr="00D835EA">
              <w:t>70</w:t>
            </w:r>
          </w:p>
        </w:tc>
        <w:tc>
          <w:tcPr>
            <w:tcW w:w="906" w:type="pct"/>
          </w:tcPr>
          <w:p w14:paraId="2236BAF2" w14:textId="77777777" w:rsidR="008905F0" w:rsidRPr="00D835EA" w:rsidRDefault="008905F0" w:rsidP="002A463A">
            <w:pPr>
              <w:jc w:val="center"/>
            </w:pPr>
            <w:r w:rsidRPr="00D835EA">
              <w:t>71</w:t>
            </w:r>
          </w:p>
        </w:tc>
        <w:tc>
          <w:tcPr>
            <w:tcW w:w="906" w:type="pct"/>
          </w:tcPr>
          <w:p w14:paraId="28AEABA2" w14:textId="77777777" w:rsidR="008905F0" w:rsidRPr="00D835EA" w:rsidRDefault="008905F0" w:rsidP="002A463A">
            <w:pPr>
              <w:jc w:val="center"/>
            </w:pPr>
            <w:r w:rsidRPr="00D835EA">
              <w:t>40</w:t>
            </w:r>
          </w:p>
        </w:tc>
        <w:tc>
          <w:tcPr>
            <w:tcW w:w="906" w:type="pct"/>
          </w:tcPr>
          <w:p w14:paraId="4FFB37E6" w14:textId="77777777" w:rsidR="008905F0" w:rsidRPr="00D835EA" w:rsidRDefault="008905F0" w:rsidP="002A463A">
            <w:pPr>
              <w:jc w:val="center"/>
            </w:pPr>
            <w:r w:rsidRPr="00D835EA">
              <w:t>67</w:t>
            </w:r>
          </w:p>
        </w:tc>
      </w:tr>
    </w:tbl>
    <w:p w14:paraId="385EE6B3" w14:textId="05434278" w:rsidR="008905F0" w:rsidRPr="00BA2C4A" w:rsidRDefault="008905F0" w:rsidP="002A463A">
      <w:pPr>
        <w:pStyle w:val="Heading2"/>
        <w:pageBreakBefore/>
        <w:numPr>
          <w:ilvl w:val="0"/>
          <w:numId w:val="0"/>
        </w:numPr>
        <w:spacing w:before="320" w:line="276" w:lineRule="auto"/>
      </w:pPr>
      <w:bookmarkStart w:id="40" w:name="_Toc110508780"/>
      <w:r w:rsidRPr="00BA2C4A">
        <w:lastRenderedPageBreak/>
        <w:t>Indicator 6</w:t>
      </w:r>
      <w:r w:rsidR="00F92528" w:rsidRPr="00BA2C4A">
        <w:t xml:space="preserve"> - </w:t>
      </w:r>
      <w:r w:rsidRPr="00BA2C4A">
        <w:t>Leave and flexible working arrangements</w:t>
      </w:r>
      <w:bookmarkEnd w:id="40"/>
    </w:p>
    <w:p w14:paraId="2BC5237E" w14:textId="77777777" w:rsidR="008905F0" w:rsidRDefault="008905F0" w:rsidP="008905F0">
      <w:pPr>
        <w:pStyle w:val="BodyText"/>
      </w:pPr>
      <w:r w:rsidRPr="00D835EA">
        <w:t xml:space="preserve">Indicator 6 relates to the availability and utilisation of terms, </w:t>
      </w:r>
      <w:proofErr w:type="gramStart"/>
      <w:r w:rsidRPr="00D835EA">
        <w:t>conditions</w:t>
      </w:r>
      <w:proofErr w:type="gramEnd"/>
      <w:r w:rsidRPr="00D835EA">
        <w:t xml:space="preserve"> and practices for family violence leave, working and leave arrangements supporting employees with family or caring responsibilities, and flexible working arrangements. Between 1 July 2020 and 30 June 2021:</w:t>
      </w:r>
    </w:p>
    <w:p w14:paraId="2BF69D4B" w14:textId="33EFFF94" w:rsidR="008905F0" w:rsidRPr="002A463A" w:rsidRDefault="008905F0" w:rsidP="00F92528">
      <w:pPr>
        <w:pStyle w:val="ListBullet"/>
      </w:pPr>
      <w:r w:rsidRPr="002A463A">
        <w:t xml:space="preserve">the proportion of </w:t>
      </w:r>
      <w:r w:rsidR="00E24D51">
        <w:t>Court Services Victoria</w:t>
      </w:r>
      <w:r w:rsidRPr="002A463A">
        <w:t>’s workforce utilising a formal flexible working arrangement</w:t>
      </w:r>
      <w:r w:rsidR="00D94DC8" w:rsidRPr="002A463A">
        <w:footnoteReference w:id="18"/>
      </w:r>
      <w:r w:rsidRPr="002A463A">
        <w:t xml:space="preserve"> was 9.8%</w:t>
      </w:r>
    </w:p>
    <w:p w14:paraId="3DC234D0" w14:textId="5E1A2E47" w:rsidR="008905F0" w:rsidRPr="002A463A" w:rsidRDefault="008905F0" w:rsidP="00F92528">
      <w:pPr>
        <w:pStyle w:val="ListBullet"/>
      </w:pPr>
      <w:r w:rsidRPr="002A463A">
        <w:t>254 people comprising 78.3% women and 21.7% men utilised a formal flexible working arrangement</w:t>
      </w:r>
    </w:p>
    <w:p w14:paraId="2DF5F7BC" w14:textId="77777777" w:rsidR="008905F0" w:rsidRPr="002A463A" w:rsidRDefault="008905F0" w:rsidP="00F92528">
      <w:pPr>
        <w:pStyle w:val="ListBullet"/>
      </w:pPr>
      <w:r w:rsidRPr="002A463A">
        <w:t>357 people comprising 89.9% women and 10.1% men were employed on a part time basis</w:t>
      </w:r>
    </w:p>
    <w:p w14:paraId="06B6091F" w14:textId="77777777" w:rsidR="008905F0" w:rsidRPr="002A463A" w:rsidRDefault="008905F0" w:rsidP="00F92528">
      <w:pPr>
        <w:pStyle w:val="ListBullet"/>
      </w:pPr>
      <w:r w:rsidRPr="002A463A">
        <w:t>176 people comprising 84.7% women and 15.3% men took a period of parental leave</w:t>
      </w:r>
    </w:p>
    <w:p w14:paraId="66A4AFF9" w14:textId="35836B9A" w:rsidR="008905F0" w:rsidRDefault="00F92528" w:rsidP="00F92528">
      <w:pPr>
        <w:pStyle w:val="ListBullet"/>
        <w:rPr>
          <w:b/>
        </w:rPr>
      </w:pPr>
      <w:r w:rsidRPr="002A463A">
        <w:t>9 women</w:t>
      </w:r>
      <w:r w:rsidR="008905F0" w:rsidRPr="002A463A">
        <w:t xml:space="preserve"> exited the organisation during a period of parental leave, family leave or extended</w:t>
      </w:r>
      <w:r w:rsidR="008905F0" w:rsidRPr="00D835EA">
        <w:t xml:space="preserve"> family leave.</w:t>
      </w:r>
    </w:p>
    <w:p w14:paraId="56FFD473" w14:textId="62A1240F" w:rsidR="008905F0" w:rsidRPr="00D835EA" w:rsidRDefault="002A463A" w:rsidP="008905F0">
      <w:pPr>
        <w:pStyle w:val="BodyText"/>
      </w:pPr>
      <w:r>
        <w:fldChar w:fldCharType="begin"/>
      </w:r>
      <w:r>
        <w:instrText xml:space="preserve"> REF _Ref110506980 \h </w:instrText>
      </w:r>
      <w:r>
        <w:fldChar w:fldCharType="separate"/>
      </w:r>
      <w:r w:rsidR="00561567">
        <w:t xml:space="preserve">Table </w:t>
      </w:r>
      <w:r w:rsidR="00561567">
        <w:rPr>
          <w:noProof/>
        </w:rPr>
        <w:t>12</w:t>
      </w:r>
      <w:r>
        <w:fldChar w:fldCharType="end"/>
      </w:r>
      <w:r w:rsidR="008905F0" w:rsidRPr="00D835EA">
        <w:t xml:space="preserve"> below provides results from the People Matter Survey in relation to Indicator 6. It shows the corresponding percentages of </w:t>
      </w:r>
      <w:r w:rsidR="00E24D51">
        <w:t>Court Services Victoria</w:t>
      </w:r>
      <w:r w:rsidR="008905F0" w:rsidRPr="00D835EA">
        <w:t xml:space="preserve"> people who agreed with each statement.</w:t>
      </w:r>
    </w:p>
    <w:p w14:paraId="2F861652" w14:textId="371DDF1F" w:rsidR="008905F0" w:rsidRPr="00D835EA" w:rsidRDefault="002A463A" w:rsidP="002A463A">
      <w:pPr>
        <w:pStyle w:val="Caption"/>
      </w:pPr>
      <w:bookmarkStart w:id="41" w:name="_Ref110506980"/>
      <w:r>
        <w:t xml:space="preserve">Table </w:t>
      </w:r>
      <w:fldSimple w:instr=" SEQ Table \* ARABIC ">
        <w:r w:rsidR="00561567">
          <w:rPr>
            <w:noProof/>
          </w:rPr>
          <w:t>12</w:t>
        </w:r>
      </w:fldSimple>
      <w:bookmarkEnd w:id="41"/>
      <w:r w:rsidR="008905F0" w:rsidRPr="00D835EA">
        <w:t>: People Matter Survey results related to Indicator 6: Leave and flexible working arrangements</w:t>
      </w:r>
    </w:p>
    <w:tbl>
      <w:tblPr>
        <w:tblStyle w:val="TableGrid"/>
        <w:tblW w:w="5000" w:type="pct"/>
        <w:tblLook w:val="0620" w:firstRow="1" w:lastRow="0" w:firstColumn="0" w:lastColumn="0" w:noHBand="1" w:noVBand="1"/>
      </w:tblPr>
      <w:tblGrid>
        <w:gridCol w:w="2966"/>
        <w:gridCol w:w="1664"/>
        <w:gridCol w:w="1664"/>
        <w:gridCol w:w="1663"/>
        <w:gridCol w:w="1664"/>
      </w:tblGrid>
      <w:tr w:rsidR="008905F0" w:rsidRPr="00D835EA" w14:paraId="466CBACA" w14:textId="77777777" w:rsidTr="0091654B">
        <w:trPr>
          <w:cnfStyle w:val="100000000000" w:firstRow="1" w:lastRow="0" w:firstColumn="0" w:lastColumn="0" w:oddVBand="0" w:evenVBand="0" w:oddHBand="0" w:evenHBand="0" w:firstRowFirstColumn="0" w:firstRowLastColumn="0" w:lastRowFirstColumn="0" w:lastRowLastColumn="0"/>
        </w:trPr>
        <w:tc>
          <w:tcPr>
            <w:tcW w:w="1541" w:type="pct"/>
          </w:tcPr>
          <w:p w14:paraId="65D01CBD" w14:textId="77777777" w:rsidR="008905F0" w:rsidRPr="00D835EA" w:rsidRDefault="008905F0" w:rsidP="00E4684C">
            <w:bookmarkStart w:id="42" w:name="ColumnTitle_12"/>
            <w:r w:rsidRPr="00D835EA">
              <w:rPr>
                <w:b/>
              </w:rPr>
              <w:t>Question/Statement</w:t>
            </w:r>
          </w:p>
        </w:tc>
        <w:tc>
          <w:tcPr>
            <w:tcW w:w="864" w:type="pct"/>
          </w:tcPr>
          <w:p w14:paraId="7BEB62C3" w14:textId="6E3E62C6" w:rsidR="008905F0" w:rsidRPr="00D835EA" w:rsidRDefault="008905F0" w:rsidP="002A463A">
            <w:pPr>
              <w:jc w:val="center"/>
            </w:pPr>
            <w:r w:rsidRPr="00D835EA">
              <w:rPr>
                <w:b/>
              </w:rPr>
              <w:t>Women Respondents</w:t>
            </w:r>
            <w:r w:rsidR="007A2E2C">
              <w:rPr>
                <w:b/>
              </w:rPr>
              <w:t xml:space="preserve"> </w:t>
            </w:r>
            <w:r w:rsidRPr="00D835EA">
              <w:rPr>
                <w:b/>
              </w:rPr>
              <w:t>(%)</w:t>
            </w:r>
          </w:p>
        </w:tc>
        <w:tc>
          <w:tcPr>
            <w:tcW w:w="865" w:type="pct"/>
          </w:tcPr>
          <w:p w14:paraId="1038C675" w14:textId="6A6031F9" w:rsidR="008905F0" w:rsidRPr="00D835EA" w:rsidRDefault="008905F0" w:rsidP="002A463A">
            <w:pPr>
              <w:jc w:val="center"/>
            </w:pPr>
            <w:r w:rsidRPr="00D835EA">
              <w:rPr>
                <w:b/>
              </w:rPr>
              <w:t>Men Respondents</w:t>
            </w:r>
            <w:r w:rsidR="007A2E2C">
              <w:rPr>
                <w:b/>
              </w:rPr>
              <w:t xml:space="preserve"> </w:t>
            </w:r>
            <w:r w:rsidRPr="00D835EA">
              <w:rPr>
                <w:b/>
              </w:rPr>
              <w:t>(%)</w:t>
            </w:r>
          </w:p>
        </w:tc>
        <w:tc>
          <w:tcPr>
            <w:tcW w:w="864" w:type="pct"/>
          </w:tcPr>
          <w:p w14:paraId="6D223478" w14:textId="0BDE1DD5" w:rsidR="008905F0" w:rsidRPr="00D835EA" w:rsidRDefault="008905F0" w:rsidP="002A463A">
            <w:pPr>
              <w:jc w:val="center"/>
            </w:pPr>
            <w:r w:rsidRPr="00D835EA">
              <w:rPr>
                <w:b/>
              </w:rPr>
              <w:t>Non</w:t>
            </w:r>
            <w:r w:rsidRPr="00D835EA">
              <w:rPr>
                <w:rFonts w:ascii="Cambria Math" w:hAnsi="Cambria Math" w:cs="Cambria Math"/>
                <w:b/>
              </w:rPr>
              <w:t>‑</w:t>
            </w:r>
            <w:r w:rsidRPr="00D835EA">
              <w:rPr>
                <w:b/>
              </w:rPr>
              <w:t>binary/ Prefer not</w:t>
            </w:r>
            <w:r w:rsidR="007A2E2C">
              <w:rPr>
                <w:b/>
              </w:rPr>
              <w:t xml:space="preserve"> </w:t>
            </w:r>
            <w:r w:rsidR="007A2E2C">
              <w:rPr>
                <w:b/>
              </w:rPr>
              <w:br/>
            </w:r>
            <w:r w:rsidRPr="00D835EA">
              <w:rPr>
                <w:b/>
              </w:rPr>
              <w:t>to say Respondents</w:t>
            </w:r>
            <w:r w:rsidR="007A2E2C">
              <w:rPr>
                <w:b/>
              </w:rPr>
              <w:t xml:space="preserve"> </w:t>
            </w:r>
            <w:r w:rsidRPr="00D835EA">
              <w:rPr>
                <w:b/>
              </w:rPr>
              <w:t>(%)</w:t>
            </w:r>
          </w:p>
        </w:tc>
        <w:tc>
          <w:tcPr>
            <w:tcW w:w="865" w:type="pct"/>
          </w:tcPr>
          <w:p w14:paraId="5443C1C0" w14:textId="0C9932BA" w:rsidR="008905F0" w:rsidRPr="00D835EA" w:rsidRDefault="008905F0" w:rsidP="002A463A">
            <w:pPr>
              <w:jc w:val="center"/>
              <w:rPr>
                <w:b/>
              </w:rPr>
            </w:pPr>
            <w:r w:rsidRPr="00D835EA">
              <w:rPr>
                <w:b/>
              </w:rPr>
              <w:t>All Respondents</w:t>
            </w:r>
            <w:r w:rsidR="007A2E2C">
              <w:rPr>
                <w:b/>
              </w:rPr>
              <w:t xml:space="preserve"> </w:t>
            </w:r>
            <w:r w:rsidRPr="00D835EA">
              <w:rPr>
                <w:b/>
              </w:rPr>
              <w:t>(%)</w:t>
            </w:r>
          </w:p>
        </w:tc>
      </w:tr>
      <w:bookmarkEnd w:id="42"/>
      <w:tr w:rsidR="008905F0" w:rsidRPr="00D835EA" w14:paraId="2A2D1F49" w14:textId="77777777" w:rsidTr="0091654B">
        <w:tc>
          <w:tcPr>
            <w:tcW w:w="1541" w:type="pct"/>
          </w:tcPr>
          <w:p w14:paraId="5446C1A1" w14:textId="77777777" w:rsidR="008905F0" w:rsidRPr="00D835EA" w:rsidRDefault="008905F0" w:rsidP="00E4684C">
            <w:r w:rsidRPr="00D835EA">
              <w:t>My organisation would support me if I needed to take family violence leave</w:t>
            </w:r>
          </w:p>
        </w:tc>
        <w:tc>
          <w:tcPr>
            <w:tcW w:w="864" w:type="pct"/>
          </w:tcPr>
          <w:p w14:paraId="397F2D0F" w14:textId="77777777" w:rsidR="008905F0" w:rsidRPr="00D835EA" w:rsidRDefault="008905F0" w:rsidP="002A463A">
            <w:pPr>
              <w:jc w:val="center"/>
            </w:pPr>
            <w:r w:rsidRPr="00D835EA">
              <w:t>79</w:t>
            </w:r>
          </w:p>
        </w:tc>
        <w:tc>
          <w:tcPr>
            <w:tcW w:w="865" w:type="pct"/>
          </w:tcPr>
          <w:p w14:paraId="5EF05DAE" w14:textId="77777777" w:rsidR="008905F0" w:rsidRPr="00D835EA" w:rsidRDefault="008905F0" w:rsidP="002A463A">
            <w:pPr>
              <w:jc w:val="center"/>
            </w:pPr>
            <w:r w:rsidRPr="00D835EA">
              <w:t>78</w:t>
            </w:r>
          </w:p>
        </w:tc>
        <w:tc>
          <w:tcPr>
            <w:tcW w:w="864" w:type="pct"/>
          </w:tcPr>
          <w:p w14:paraId="4646D61F" w14:textId="77777777" w:rsidR="008905F0" w:rsidRPr="00D835EA" w:rsidRDefault="008905F0" w:rsidP="002A463A">
            <w:pPr>
              <w:jc w:val="center"/>
            </w:pPr>
            <w:r w:rsidRPr="00D835EA">
              <w:t>68</w:t>
            </w:r>
          </w:p>
        </w:tc>
        <w:tc>
          <w:tcPr>
            <w:tcW w:w="865" w:type="pct"/>
          </w:tcPr>
          <w:p w14:paraId="26912B0B" w14:textId="77777777" w:rsidR="008905F0" w:rsidRPr="00D835EA" w:rsidRDefault="008905F0" w:rsidP="002A463A">
            <w:pPr>
              <w:jc w:val="center"/>
            </w:pPr>
            <w:r w:rsidRPr="00D835EA">
              <w:t>77</w:t>
            </w:r>
          </w:p>
        </w:tc>
      </w:tr>
      <w:tr w:rsidR="008905F0" w:rsidRPr="00D835EA" w14:paraId="62F64BF1" w14:textId="77777777" w:rsidTr="0091654B">
        <w:tc>
          <w:tcPr>
            <w:tcW w:w="1541" w:type="pct"/>
          </w:tcPr>
          <w:p w14:paraId="201608A4" w14:textId="77777777" w:rsidR="008905F0" w:rsidRPr="00D835EA" w:rsidRDefault="008905F0" w:rsidP="00E4684C">
            <w:r w:rsidRPr="00D835EA">
              <w:t>I am confident that if I requested a flexible work arrangement, it would be given due consideration</w:t>
            </w:r>
          </w:p>
        </w:tc>
        <w:tc>
          <w:tcPr>
            <w:tcW w:w="864" w:type="pct"/>
          </w:tcPr>
          <w:p w14:paraId="08563C3F" w14:textId="77777777" w:rsidR="008905F0" w:rsidRPr="00D835EA" w:rsidRDefault="008905F0" w:rsidP="002A463A">
            <w:pPr>
              <w:jc w:val="center"/>
            </w:pPr>
            <w:r w:rsidRPr="00D835EA">
              <w:t>71</w:t>
            </w:r>
          </w:p>
        </w:tc>
        <w:tc>
          <w:tcPr>
            <w:tcW w:w="865" w:type="pct"/>
          </w:tcPr>
          <w:p w14:paraId="6F51E6FE" w14:textId="77777777" w:rsidR="008905F0" w:rsidRPr="00D835EA" w:rsidRDefault="008905F0" w:rsidP="002A463A">
            <w:pPr>
              <w:jc w:val="center"/>
            </w:pPr>
            <w:r w:rsidRPr="00D835EA">
              <w:t>79</w:t>
            </w:r>
          </w:p>
        </w:tc>
        <w:tc>
          <w:tcPr>
            <w:tcW w:w="864" w:type="pct"/>
          </w:tcPr>
          <w:p w14:paraId="3417A1A0" w14:textId="77777777" w:rsidR="008905F0" w:rsidRPr="00D835EA" w:rsidRDefault="008905F0" w:rsidP="002A463A">
            <w:pPr>
              <w:jc w:val="center"/>
            </w:pPr>
            <w:r w:rsidRPr="00D835EA">
              <w:t>52</w:t>
            </w:r>
          </w:p>
        </w:tc>
        <w:tc>
          <w:tcPr>
            <w:tcW w:w="865" w:type="pct"/>
          </w:tcPr>
          <w:p w14:paraId="09A03AA4" w14:textId="77777777" w:rsidR="008905F0" w:rsidRPr="00D835EA" w:rsidRDefault="008905F0" w:rsidP="002A463A">
            <w:pPr>
              <w:jc w:val="center"/>
            </w:pPr>
            <w:r w:rsidRPr="00D835EA">
              <w:t>71</w:t>
            </w:r>
          </w:p>
        </w:tc>
      </w:tr>
      <w:tr w:rsidR="008905F0" w:rsidRPr="00D835EA" w14:paraId="4753BFA8" w14:textId="77777777" w:rsidTr="0091654B">
        <w:tc>
          <w:tcPr>
            <w:tcW w:w="1541" w:type="pct"/>
          </w:tcPr>
          <w:p w14:paraId="1DCC3664" w14:textId="77777777" w:rsidR="008905F0" w:rsidRPr="00D835EA" w:rsidRDefault="008905F0" w:rsidP="00E4684C">
            <w:r w:rsidRPr="00D835EA">
              <w:t>My organisation supports employees with family or other caring responsibilities, regardless of gender</w:t>
            </w:r>
          </w:p>
        </w:tc>
        <w:tc>
          <w:tcPr>
            <w:tcW w:w="864" w:type="pct"/>
          </w:tcPr>
          <w:p w14:paraId="3E4F6C00" w14:textId="77777777" w:rsidR="008905F0" w:rsidRPr="00D835EA" w:rsidRDefault="008905F0" w:rsidP="002A463A">
            <w:pPr>
              <w:jc w:val="center"/>
            </w:pPr>
            <w:r w:rsidRPr="00D835EA">
              <w:t>77</w:t>
            </w:r>
          </w:p>
        </w:tc>
        <w:tc>
          <w:tcPr>
            <w:tcW w:w="865" w:type="pct"/>
          </w:tcPr>
          <w:p w14:paraId="07EF1565" w14:textId="77777777" w:rsidR="008905F0" w:rsidRPr="00D835EA" w:rsidRDefault="008905F0" w:rsidP="002A463A">
            <w:pPr>
              <w:jc w:val="center"/>
            </w:pPr>
            <w:r w:rsidRPr="00D835EA">
              <w:t>76</w:t>
            </w:r>
          </w:p>
        </w:tc>
        <w:tc>
          <w:tcPr>
            <w:tcW w:w="864" w:type="pct"/>
          </w:tcPr>
          <w:p w14:paraId="7A146B8D" w14:textId="77777777" w:rsidR="008905F0" w:rsidRPr="00D835EA" w:rsidRDefault="008905F0" w:rsidP="002A463A">
            <w:pPr>
              <w:jc w:val="center"/>
            </w:pPr>
            <w:r w:rsidRPr="00D835EA">
              <w:t>59</w:t>
            </w:r>
          </w:p>
        </w:tc>
        <w:tc>
          <w:tcPr>
            <w:tcW w:w="865" w:type="pct"/>
          </w:tcPr>
          <w:p w14:paraId="7C6EF256" w14:textId="77777777" w:rsidR="008905F0" w:rsidRPr="00D835EA" w:rsidRDefault="008905F0" w:rsidP="002A463A">
            <w:pPr>
              <w:jc w:val="center"/>
            </w:pPr>
            <w:r w:rsidRPr="00D835EA">
              <w:t>74</w:t>
            </w:r>
          </w:p>
        </w:tc>
      </w:tr>
      <w:tr w:rsidR="008905F0" w:rsidRPr="00D835EA" w14:paraId="1486C909" w14:textId="77777777" w:rsidTr="0091654B">
        <w:tc>
          <w:tcPr>
            <w:tcW w:w="1541" w:type="pct"/>
          </w:tcPr>
          <w:p w14:paraId="72EC77F4" w14:textId="77777777" w:rsidR="008905F0" w:rsidRPr="00D835EA" w:rsidRDefault="008905F0" w:rsidP="00E4684C">
            <w:r w:rsidRPr="00D835EA">
              <w:t>I have the flexibility I need to manage my work and non</w:t>
            </w:r>
            <w:r w:rsidRPr="00D835EA">
              <w:rPr>
                <w:rFonts w:ascii="Cambria Math" w:hAnsi="Cambria Math" w:cs="Cambria Math"/>
              </w:rPr>
              <w:t>‑</w:t>
            </w:r>
            <w:r w:rsidRPr="00D835EA">
              <w:t>work activities and responsibilities</w:t>
            </w:r>
          </w:p>
        </w:tc>
        <w:tc>
          <w:tcPr>
            <w:tcW w:w="864" w:type="pct"/>
          </w:tcPr>
          <w:p w14:paraId="74C2C95E" w14:textId="77777777" w:rsidR="008905F0" w:rsidRPr="00D835EA" w:rsidRDefault="008905F0" w:rsidP="002A463A">
            <w:pPr>
              <w:jc w:val="center"/>
            </w:pPr>
            <w:r w:rsidRPr="00D835EA">
              <w:t>70</w:t>
            </w:r>
          </w:p>
        </w:tc>
        <w:tc>
          <w:tcPr>
            <w:tcW w:w="865" w:type="pct"/>
          </w:tcPr>
          <w:p w14:paraId="6FB4138E" w14:textId="77777777" w:rsidR="008905F0" w:rsidRPr="00D835EA" w:rsidRDefault="008905F0" w:rsidP="002A463A">
            <w:pPr>
              <w:jc w:val="center"/>
            </w:pPr>
            <w:r w:rsidRPr="00D835EA">
              <w:t>79</w:t>
            </w:r>
          </w:p>
        </w:tc>
        <w:tc>
          <w:tcPr>
            <w:tcW w:w="864" w:type="pct"/>
          </w:tcPr>
          <w:p w14:paraId="6A5F2AE4" w14:textId="77777777" w:rsidR="008905F0" w:rsidRPr="00D835EA" w:rsidRDefault="008905F0" w:rsidP="002A463A">
            <w:pPr>
              <w:jc w:val="center"/>
            </w:pPr>
            <w:r w:rsidRPr="00D835EA">
              <w:t>52</w:t>
            </w:r>
          </w:p>
        </w:tc>
        <w:tc>
          <w:tcPr>
            <w:tcW w:w="865" w:type="pct"/>
          </w:tcPr>
          <w:p w14:paraId="5FFD53DA" w14:textId="77777777" w:rsidR="008905F0" w:rsidRPr="00D835EA" w:rsidRDefault="008905F0" w:rsidP="002A463A">
            <w:pPr>
              <w:jc w:val="center"/>
            </w:pPr>
            <w:r w:rsidRPr="00D835EA">
              <w:t>70</w:t>
            </w:r>
          </w:p>
        </w:tc>
      </w:tr>
      <w:tr w:rsidR="008905F0" w:rsidRPr="00D835EA" w14:paraId="35CCA0FA" w14:textId="77777777" w:rsidTr="0091654B">
        <w:tc>
          <w:tcPr>
            <w:tcW w:w="1541" w:type="pct"/>
          </w:tcPr>
          <w:p w14:paraId="11DB14E5" w14:textId="77777777" w:rsidR="008905F0" w:rsidRPr="00D835EA" w:rsidRDefault="008905F0" w:rsidP="00E4684C">
            <w:r w:rsidRPr="00D835EA">
              <w:t>Using flexible work arrangements is not a barrier to success in my organisation</w:t>
            </w:r>
          </w:p>
        </w:tc>
        <w:tc>
          <w:tcPr>
            <w:tcW w:w="864" w:type="pct"/>
          </w:tcPr>
          <w:p w14:paraId="1CBD58A1" w14:textId="77777777" w:rsidR="008905F0" w:rsidRPr="00D835EA" w:rsidRDefault="008905F0" w:rsidP="002A463A">
            <w:pPr>
              <w:jc w:val="center"/>
            </w:pPr>
            <w:r w:rsidRPr="00D835EA">
              <w:t>57</w:t>
            </w:r>
          </w:p>
        </w:tc>
        <w:tc>
          <w:tcPr>
            <w:tcW w:w="865" w:type="pct"/>
          </w:tcPr>
          <w:p w14:paraId="26FDDE40" w14:textId="77777777" w:rsidR="008905F0" w:rsidRPr="00D835EA" w:rsidRDefault="008905F0" w:rsidP="002A463A">
            <w:pPr>
              <w:jc w:val="center"/>
            </w:pPr>
            <w:r w:rsidRPr="00D835EA">
              <w:t>66</w:t>
            </w:r>
          </w:p>
        </w:tc>
        <w:tc>
          <w:tcPr>
            <w:tcW w:w="864" w:type="pct"/>
          </w:tcPr>
          <w:p w14:paraId="7443F4D8" w14:textId="77777777" w:rsidR="008905F0" w:rsidRPr="00D835EA" w:rsidRDefault="008905F0" w:rsidP="002A463A">
            <w:pPr>
              <w:jc w:val="center"/>
            </w:pPr>
            <w:r w:rsidRPr="00D835EA">
              <w:t>44</w:t>
            </w:r>
          </w:p>
        </w:tc>
        <w:tc>
          <w:tcPr>
            <w:tcW w:w="865" w:type="pct"/>
          </w:tcPr>
          <w:p w14:paraId="6E14FA20" w14:textId="77777777" w:rsidR="008905F0" w:rsidRPr="00D835EA" w:rsidRDefault="008905F0" w:rsidP="002A463A">
            <w:pPr>
              <w:jc w:val="center"/>
            </w:pPr>
            <w:r w:rsidRPr="00D835EA">
              <w:t>58</w:t>
            </w:r>
          </w:p>
        </w:tc>
      </w:tr>
      <w:tr w:rsidR="008905F0" w:rsidRPr="00D835EA" w14:paraId="15FC7B6C" w14:textId="77777777" w:rsidTr="0091654B">
        <w:tc>
          <w:tcPr>
            <w:tcW w:w="1541" w:type="pct"/>
          </w:tcPr>
          <w:p w14:paraId="06485A56" w14:textId="77777777" w:rsidR="008905F0" w:rsidRPr="00D835EA" w:rsidRDefault="008905F0" w:rsidP="00E4684C">
            <w:r w:rsidRPr="00D835EA">
              <w:lastRenderedPageBreak/>
              <w:t>Having caring responsibilities is not a barrier to success in my organisation</w:t>
            </w:r>
          </w:p>
        </w:tc>
        <w:tc>
          <w:tcPr>
            <w:tcW w:w="864" w:type="pct"/>
          </w:tcPr>
          <w:p w14:paraId="20BE3B9C" w14:textId="77777777" w:rsidR="008905F0" w:rsidRPr="00D835EA" w:rsidRDefault="008905F0" w:rsidP="002A463A">
            <w:pPr>
              <w:jc w:val="center"/>
            </w:pPr>
            <w:r w:rsidRPr="00D835EA">
              <w:t>58</w:t>
            </w:r>
          </w:p>
        </w:tc>
        <w:tc>
          <w:tcPr>
            <w:tcW w:w="865" w:type="pct"/>
          </w:tcPr>
          <w:p w14:paraId="3D018326" w14:textId="77777777" w:rsidR="008905F0" w:rsidRPr="00D835EA" w:rsidRDefault="008905F0" w:rsidP="002A463A">
            <w:pPr>
              <w:jc w:val="center"/>
            </w:pPr>
            <w:r w:rsidRPr="00D835EA">
              <w:t>64</w:t>
            </w:r>
          </w:p>
        </w:tc>
        <w:tc>
          <w:tcPr>
            <w:tcW w:w="864" w:type="pct"/>
          </w:tcPr>
          <w:p w14:paraId="7E111A79" w14:textId="77777777" w:rsidR="008905F0" w:rsidRPr="00D835EA" w:rsidRDefault="008905F0" w:rsidP="002A463A">
            <w:pPr>
              <w:jc w:val="center"/>
            </w:pPr>
            <w:r w:rsidRPr="00D835EA">
              <w:t>47</w:t>
            </w:r>
          </w:p>
        </w:tc>
        <w:tc>
          <w:tcPr>
            <w:tcW w:w="865" w:type="pct"/>
          </w:tcPr>
          <w:p w14:paraId="713193B5" w14:textId="77777777" w:rsidR="008905F0" w:rsidRPr="00D835EA" w:rsidRDefault="008905F0" w:rsidP="002A463A">
            <w:pPr>
              <w:jc w:val="center"/>
            </w:pPr>
            <w:r w:rsidRPr="00D835EA">
              <w:t>58</w:t>
            </w:r>
          </w:p>
        </w:tc>
      </w:tr>
      <w:tr w:rsidR="008905F0" w:rsidRPr="00D835EA" w14:paraId="1656F14B" w14:textId="77777777" w:rsidTr="0091654B">
        <w:tc>
          <w:tcPr>
            <w:tcW w:w="1541" w:type="pct"/>
          </w:tcPr>
          <w:p w14:paraId="12178AAC" w14:textId="77777777" w:rsidR="008905F0" w:rsidRPr="00D835EA" w:rsidRDefault="008905F0" w:rsidP="00E4684C">
            <w:r w:rsidRPr="00D835EA">
              <w:t>Having family responsibilities is not a barrier to success in my organisation</w:t>
            </w:r>
          </w:p>
        </w:tc>
        <w:tc>
          <w:tcPr>
            <w:tcW w:w="864" w:type="pct"/>
          </w:tcPr>
          <w:p w14:paraId="2C2F90F2" w14:textId="77777777" w:rsidR="008905F0" w:rsidRPr="00D835EA" w:rsidRDefault="008905F0" w:rsidP="002A463A">
            <w:pPr>
              <w:jc w:val="center"/>
            </w:pPr>
            <w:r w:rsidRPr="00D835EA">
              <w:t>59</w:t>
            </w:r>
          </w:p>
        </w:tc>
        <w:tc>
          <w:tcPr>
            <w:tcW w:w="865" w:type="pct"/>
          </w:tcPr>
          <w:p w14:paraId="37D8710D" w14:textId="77777777" w:rsidR="008905F0" w:rsidRPr="00D835EA" w:rsidRDefault="008905F0" w:rsidP="002A463A">
            <w:pPr>
              <w:jc w:val="center"/>
            </w:pPr>
            <w:r w:rsidRPr="00D835EA">
              <w:t>71</w:t>
            </w:r>
          </w:p>
        </w:tc>
        <w:tc>
          <w:tcPr>
            <w:tcW w:w="864" w:type="pct"/>
          </w:tcPr>
          <w:p w14:paraId="0575D119" w14:textId="77777777" w:rsidR="008905F0" w:rsidRPr="00D835EA" w:rsidRDefault="008905F0" w:rsidP="002A463A">
            <w:pPr>
              <w:jc w:val="center"/>
            </w:pPr>
            <w:r w:rsidRPr="00D835EA">
              <w:t>52</w:t>
            </w:r>
          </w:p>
        </w:tc>
        <w:tc>
          <w:tcPr>
            <w:tcW w:w="865" w:type="pct"/>
          </w:tcPr>
          <w:p w14:paraId="13E3699A" w14:textId="77777777" w:rsidR="008905F0" w:rsidRPr="00D835EA" w:rsidRDefault="008905F0" w:rsidP="002A463A">
            <w:pPr>
              <w:jc w:val="center"/>
            </w:pPr>
            <w:r w:rsidRPr="00D835EA">
              <w:t>62</w:t>
            </w:r>
          </w:p>
        </w:tc>
      </w:tr>
    </w:tbl>
    <w:p w14:paraId="71F896E3" w14:textId="0DBFFAF5" w:rsidR="008905F0" w:rsidRPr="00BA2C4A" w:rsidRDefault="008905F0" w:rsidP="007A2E2C">
      <w:pPr>
        <w:pStyle w:val="Heading2"/>
        <w:numPr>
          <w:ilvl w:val="0"/>
          <w:numId w:val="0"/>
        </w:numPr>
      </w:pPr>
      <w:bookmarkStart w:id="43" w:name="_Toc110508781"/>
      <w:r w:rsidRPr="00BA2C4A">
        <w:t>Indicator 7</w:t>
      </w:r>
      <w:r w:rsidR="00B80252" w:rsidRPr="00BA2C4A">
        <w:t xml:space="preserve"> - </w:t>
      </w:r>
      <w:r w:rsidRPr="00BA2C4A">
        <w:t>Gendered work segregation</w:t>
      </w:r>
      <w:bookmarkEnd w:id="43"/>
    </w:p>
    <w:p w14:paraId="68C175DA" w14:textId="115490F5" w:rsidR="008905F0" w:rsidRPr="00D835EA" w:rsidRDefault="008905F0" w:rsidP="008905F0">
      <w:pPr>
        <w:pStyle w:val="BodyText"/>
      </w:pPr>
      <w:r w:rsidRPr="00D835EA">
        <w:t xml:space="preserve">Indicator 7 relates to the gender composition of employees by occupation as </w:t>
      </w:r>
      <w:proofErr w:type="gramStart"/>
      <w:r w:rsidRPr="00D835EA">
        <w:t>at</w:t>
      </w:r>
      <w:proofErr w:type="gramEnd"/>
      <w:r w:rsidRPr="00D835EA">
        <w:t xml:space="preserve"> 30 June 2021. Occupational categories were recorded in line with the Australian and New Zealand Standard Classification of Occupations (</w:t>
      </w:r>
      <w:proofErr w:type="spellStart"/>
      <w:r w:rsidRPr="00D835EA">
        <w:t>ANZSCO</w:t>
      </w:r>
      <w:proofErr w:type="spellEnd"/>
      <w:r w:rsidRPr="00D835EA">
        <w:t>) codes and categories</w:t>
      </w:r>
      <w:r w:rsidR="00971894">
        <w:rPr>
          <w:rStyle w:val="FootnoteReference"/>
        </w:rPr>
        <w:footnoteReference w:id="19"/>
      </w:r>
      <w:r w:rsidRPr="00D835EA">
        <w:t xml:space="preserve">. </w:t>
      </w:r>
      <w:r w:rsidR="002A463A">
        <w:fldChar w:fldCharType="begin"/>
      </w:r>
      <w:r w:rsidR="002A463A">
        <w:instrText xml:space="preserve"> REF _Ref110507022 \h </w:instrText>
      </w:r>
      <w:r w:rsidR="002A463A">
        <w:fldChar w:fldCharType="separate"/>
      </w:r>
      <w:r w:rsidR="00561567">
        <w:t xml:space="preserve">Table </w:t>
      </w:r>
      <w:r w:rsidR="00561567">
        <w:rPr>
          <w:noProof/>
        </w:rPr>
        <w:t>13</w:t>
      </w:r>
      <w:r w:rsidR="002A463A">
        <w:fldChar w:fldCharType="end"/>
      </w:r>
      <w:r w:rsidRPr="00D835EA">
        <w:t xml:space="preserve"> below show </w:t>
      </w:r>
      <w:r w:rsidR="00E24D51">
        <w:t>Court Services Victoria</w:t>
      </w:r>
      <w:r w:rsidRPr="00D835EA">
        <w:t xml:space="preserve"> employees are categorised in the four </w:t>
      </w:r>
      <w:proofErr w:type="spellStart"/>
      <w:r w:rsidRPr="00D835EA">
        <w:t>ANZSCO</w:t>
      </w:r>
      <w:proofErr w:type="spellEnd"/>
      <w:r w:rsidRPr="00D835EA">
        <w:t xml:space="preserve"> major code groups of Managers; Professionals; Technicians and Trades Workers; and Clerical and Administrative Workers.</w:t>
      </w:r>
    </w:p>
    <w:p w14:paraId="60D321E8" w14:textId="6ADC8B7A" w:rsidR="008905F0" w:rsidRPr="00D835EA" w:rsidRDefault="002A463A" w:rsidP="002A463A">
      <w:pPr>
        <w:pStyle w:val="Caption"/>
      </w:pPr>
      <w:bookmarkStart w:id="44" w:name="_Ref110507022"/>
      <w:r>
        <w:t xml:space="preserve">Table </w:t>
      </w:r>
      <w:fldSimple w:instr=" SEQ Table \* ARABIC ">
        <w:r w:rsidR="00561567">
          <w:rPr>
            <w:noProof/>
          </w:rPr>
          <w:t>13</w:t>
        </w:r>
      </w:fldSimple>
      <w:bookmarkEnd w:id="44"/>
      <w:r w:rsidR="008905F0" w:rsidRPr="00D835EA">
        <w:t xml:space="preserve">: </w:t>
      </w:r>
      <w:r w:rsidR="00E24D51">
        <w:t>Court Services Victoria</w:t>
      </w:r>
      <w:r w:rsidR="008905F0" w:rsidRPr="00D835EA">
        <w:t xml:space="preserve"> gendered work segregation (Major </w:t>
      </w:r>
      <w:proofErr w:type="spellStart"/>
      <w:r w:rsidR="008905F0" w:rsidRPr="00D835EA">
        <w:t>ANZSCO</w:t>
      </w:r>
      <w:proofErr w:type="spellEnd"/>
      <w:r w:rsidR="008905F0" w:rsidRPr="00D835EA">
        <w:t xml:space="preserve"> Code Groups)</w:t>
      </w:r>
    </w:p>
    <w:tbl>
      <w:tblPr>
        <w:tblStyle w:val="TableGrid"/>
        <w:tblW w:w="5000" w:type="pct"/>
        <w:tblLook w:val="0620" w:firstRow="1" w:lastRow="0" w:firstColumn="0" w:lastColumn="0" w:noHBand="1" w:noVBand="1"/>
      </w:tblPr>
      <w:tblGrid>
        <w:gridCol w:w="5525"/>
        <w:gridCol w:w="1366"/>
        <w:gridCol w:w="1366"/>
        <w:gridCol w:w="1364"/>
      </w:tblGrid>
      <w:tr w:rsidR="008905F0" w:rsidRPr="00D835EA" w14:paraId="3E2A2895" w14:textId="77777777" w:rsidTr="0091654B">
        <w:trPr>
          <w:cnfStyle w:val="100000000000" w:firstRow="1" w:lastRow="0" w:firstColumn="0" w:lastColumn="0" w:oddVBand="0" w:evenVBand="0" w:oddHBand="0" w:evenHBand="0" w:firstRowFirstColumn="0" w:firstRowLastColumn="0" w:lastRowFirstColumn="0" w:lastRowLastColumn="0"/>
        </w:trPr>
        <w:tc>
          <w:tcPr>
            <w:tcW w:w="2871" w:type="pct"/>
          </w:tcPr>
          <w:p w14:paraId="1301CE45" w14:textId="77777777" w:rsidR="008905F0" w:rsidRPr="00D835EA" w:rsidRDefault="008905F0" w:rsidP="00E4684C">
            <w:bookmarkStart w:id="45" w:name="ColumnTitle_13"/>
            <w:proofErr w:type="spellStart"/>
            <w:r w:rsidRPr="00D835EA">
              <w:rPr>
                <w:b/>
              </w:rPr>
              <w:t>ANZSCO</w:t>
            </w:r>
            <w:proofErr w:type="spellEnd"/>
            <w:r w:rsidRPr="00D835EA">
              <w:rPr>
                <w:b/>
              </w:rPr>
              <w:t xml:space="preserve"> Code Major Group</w:t>
            </w:r>
          </w:p>
        </w:tc>
        <w:tc>
          <w:tcPr>
            <w:tcW w:w="710" w:type="pct"/>
          </w:tcPr>
          <w:p w14:paraId="4752ED34" w14:textId="2F0C38F0" w:rsidR="008905F0" w:rsidRPr="00D835EA" w:rsidRDefault="008905F0" w:rsidP="002A463A">
            <w:pPr>
              <w:jc w:val="center"/>
            </w:pPr>
            <w:r w:rsidRPr="00D835EA">
              <w:rPr>
                <w:b/>
              </w:rPr>
              <w:t>Women</w:t>
            </w:r>
            <w:r w:rsidR="007A2E2C">
              <w:rPr>
                <w:b/>
              </w:rPr>
              <w:t xml:space="preserve"> </w:t>
            </w:r>
            <w:r w:rsidRPr="00D835EA">
              <w:rPr>
                <w:b/>
              </w:rPr>
              <w:t>(%)</w:t>
            </w:r>
          </w:p>
        </w:tc>
        <w:tc>
          <w:tcPr>
            <w:tcW w:w="710" w:type="pct"/>
          </w:tcPr>
          <w:p w14:paraId="5362D050" w14:textId="215D451E" w:rsidR="008905F0" w:rsidRPr="00D835EA" w:rsidRDefault="008905F0" w:rsidP="002A463A">
            <w:pPr>
              <w:jc w:val="center"/>
            </w:pPr>
            <w:r w:rsidRPr="00D835EA">
              <w:rPr>
                <w:b/>
              </w:rPr>
              <w:t xml:space="preserve">Men </w:t>
            </w:r>
            <w:r w:rsidR="009F75A2">
              <w:rPr>
                <w:b/>
              </w:rPr>
              <w:br/>
            </w:r>
            <w:r w:rsidRPr="00D835EA">
              <w:rPr>
                <w:b/>
              </w:rPr>
              <w:t>(%)</w:t>
            </w:r>
          </w:p>
        </w:tc>
        <w:tc>
          <w:tcPr>
            <w:tcW w:w="710" w:type="pct"/>
          </w:tcPr>
          <w:p w14:paraId="10DE6089" w14:textId="26D75CB4" w:rsidR="008905F0" w:rsidRPr="00D835EA" w:rsidRDefault="008905F0" w:rsidP="002A463A">
            <w:pPr>
              <w:jc w:val="center"/>
              <w:rPr>
                <w:b/>
              </w:rPr>
            </w:pPr>
            <w:proofErr w:type="spellStart"/>
            <w:r w:rsidRPr="00D835EA">
              <w:rPr>
                <w:b/>
              </w:rPr>
              <w:t>Self</w:t>
            </w:r>
            <w:proofErr w:type="spellEnd"/>
            <w:r w:rsidRPr="00D835EA">
              <w:rPr>
                <w:rFonts w:ascii="Cambria Math" w:hAnsi="Cambria Math" w:cs="Cambria Math"/>
                <w:b/>
              </w:rPr>
              <w:t>‑</w:t>
            </w:r>
            <w:r w:rsidRPr="00D835EA">
              <w:rPr>
                <w:b/>
              </w:rPr>
              <w:t xml:space="preserve"> Described</w:t>
            </w:r>
            <w:r w:rsidR="007A2E2C">
              <w:rPr>
                <w:b/>
              </w:rPr>
              <w:t xml:space="preserve"> </w:t>
            </w:r>
            <w:r w:rsidRPr="00D835EA">
              <w:rPr>
                <w:b/>
              </w:rPr>
              <w:t>(%)</w:t>
            </w:r>
          </w:p>
        </w:tc>
      </w:tr>
      <w:bookmarkEnd w:id="45"/>
      <w:tr w:rsidR="008905F0" w:rsidRPr="00D835EA" w14:paraId="1F8F4170" w14:textId="77777777" w:rsidTr="0091654B">
        <w:tc>
          <w:tcPr>
            <w:tcW w:w="2871" w:type="pct"/>
          </w:tcPr>
          <w:p w14:paraId="7263BA89" w14:textId="77777777" w:rsidR="008905F0" w:rsidRPr="00D835EA" w:rsidRDefault="008905F0" w:rsidP="00E4684C">
            <w:r w:rsidRPr="00D835EA">
              <w:t>1 – Managers</w:t>
            </w:r>
          </w:p>
        </w:tc>
        <w:tc>
          <w:tcPr>
            <w:tcW w:w="710" w:type="pct"/>
          </w:tcPr>
          <w:p w14:paraId="76F814E0" w14:textId="77777777" w:rsidR="008905F0" w:rsidRPr="00D835EA" w:rsidRDefault="008905F0" w:rsidP="002A463A">
            <w:pPr>
              <w:jc w:val="center"/>
            </w:pPr>
            <w:r w:rsidRPr="00D835EA">
              <w:t>61.8</w:t>
            </w:r>
          </w:p>
        </w:tc>
        <w:tc>
          <w:tcPr>
            <w:tcW w:w="710" w:type="pct"/>
          </w:tcPr>
          <w:p w14:paraId="2645C000" w14:textId="77777777" w:rsidR="008905F0" w:rsidRPr="00D835EA" w:rsidRDefault="008905F0" w:rsidP="002A463A">
            <w:pPr>
              <w:jc w:val="center"/>
            </w:pPr>
            <w:r w:rsidRPr="00D835EA">
              <w:t>38.2</w:t>
            </w:r>
          </w:p>
        </w:tc>
        <w:tc>
          <w:tcPr>
            <w:tcW w:w="710" w:type="pct"/>
          </w:tcPr>
          <w:p w14:paraId="5CE385C2" w14:textId="77777777" w:rsidR="008905F0" w:rsidRPr="00D835EA" w:rsidRDefault="008905F0" w:rsidP="002A463A">
            <w:pPr>
              <w:jc w:val="center"/>
            </w:pPr>
            <w:r w:rsidRPr="00D835EA">
              <w:t>0.0</w:t>
            </w:r>
          </w:p>
        </w:tc>
      </w:tr>
      <w:tr w:rsidR="008905F0" w:rsidRPr="00D835EA" w14:paraId="120594DA" w14:textId="77777777" w:rsidTr="0091654B">
        <w:tc>
          <w:tcPr>
            <w:tcW w:w="2871" w:type="pct"/>
          </w:tcPr>
          <w:p w14:paraId="55CE36FC" w14:textId="77777777" w:rsidR="008905F0" w:rsidRPr="00D835EA" w:rsidRDefault="008905F0" w:rsidP="00E4684C">
            <w:r w:rsidRPr="00D835EA">
              <w:t>2 – Professionals</w:t>
            </w:r>
          </w:p>
        </w:tc>
        <w:tc>
          <w:tcPr>
            <w:tcW w:w="710" w:type="pct"/>
          </w:tcPr>
          <w:p w14:paraId="63203E75" w14:textId="77777777" w:rsidR="008905F0" w:rsidRPr="00D835EA" w:rsidRDefault="008905F0" w:rsidP="002A463A">
            <w:pPr>
              <w:jc w:val="center"/>
            </w:pPr>
            <w:r w:rsidRPr="00D835EA">
              <w:t>68.1</w:t>
            </w:r>
          </w:p>
        </w:tc>
        <w:tc>
          <w:tcPr>
            <w:tcW w:w="710" w:type="pct"/>
          </w:tcPr>
          <w:p w14:paraId="6708F155" w14:textId="77777777" w:rsidR="008905F0" w:rsidRPr="00D835EA" w:rsidRDefault="008905F0" w:rsidP="002A463A">
            <w:pPr>
              <w:jc w:val="center"/>
            </w:pPr>
            <w:r w:rsidRPr="00D835EA">
              <w:t>31.6</w:t>
            </w:r>
          </w:p>
        </w:tc>
        <w:tc>
          <w:tcPr>
            <w:tcW w:w="710" w:type="pct"/>
          </w:tcPr>
          <w:p w14:paraId="5D1F3A1F" w14:textId="77777777" w:rsidR="008905F0" w:rsidRPr="00D835EA" w:rsidRDefault="008905F0" w:rsidP="002A463A">
            <w:pPr>
              <w:jc w:val="center"/>
            </w:pPr>
            <w:r w:rsidRPr="00D835EA">
              <w:t>0.2</w:t>
            </w:r>
          </w:p>
        </w:tc>
      </w:tr>
      <w:tr w:rsidR="008905F0" w:rsidRPr="00D835EA" w14:paraId="6EFDDD6F" w14:textId="77777777" w:rsidTr="0091654B">
        <w:tc>
          <w:tcPr>
            <w:tcW w:w="2871" w:type="pct"/>
          </w:tcPr>
          <w:p w14:paraId="7B2C1DA6" w14:textId="77777777" w:rsidR="008905F0" w:rsidRPr="00D835EA" w:rsidRDefault="008905F0" w:rsidP="00E4684C">
            <w:r w:rsidRPr="00D835EA">
              <w:t>3 – Technicians and Trades Workers</w:t>
            </w:r>
          </w:p>
        </w:tc>
        <w:tc>
          <w:tcPr>
            <w:tcW w:w="710" w:type="pct"/>
          </w:tcPr>
          <w:p w14:paraId="667A5AD2" w14:textId="77777777" w:rsidR="008905F0" w:rsidRPr="00D835EA" w:rsidRDefault="008905F0" w:rsidP="002A463A">
            <w:pPr>
              <w:jc w:val="center"/>
            </w:pPr>
            <w:r w:rsidRPr="00D835EA">
              <w:t>20.0</w:t>
            </w:r>
          </w:p>
        </w:tc>
        <w:tc>
          <w:tcPr>
            <w:tcW w:w="710" w:type="pct"/>
          </w:tcPr>
          <w:p w14:paraId="7EFB0B51" w14:textId="77777777" w:rsidR="008905F0" w:rsidRPr="00D835EA" w:rsidRDefault="008905F0" w:rsidP="002A463A">
            <w:pPr>
              <w:jc w:val="center"/>
            </w:pPr>
            <w:r w:rsidRPr="00D835EA">
              <w:t>73.3</w:t>
            </w:r>
          </w:p>
        </w:tc>
        <w:tc>
          <w:tcPr>
            <w:tcW w:w="710" w:type="pct"/>
          </w:tcPr>
          <w:p w14:paraId="7FEE2B3E" w14:textId="77777777" w:rsidR="008905F0" w:rsidRPr="00D835EA" w:rsidRDefault="008905F0" w:rsidP="002A463A">
            <w:pPr>
              <w:jc w:val="center"/>
            </w:pPr>
            <w:r w:rsidRPr="00D835EA">
              <w:t>6.7</w:t>
            </w:r>
          </w:p>
        </w:tc>
      </w:tr>
      <w:tr w:rsidR="008905F0" w:rsidRPr="00D835EA" w14:paraId="54E8391D" w14:textId="77777777" w:rsidTr="0091654B">
        <w:tc>
          <w:tcPr>
            <w:tcW w:w="2871" w:type="pct"/>
          </w:tcPr>
          <w:p w14:paraId="1C24EB87" w14:textId="77777777" w:rsidR="008905F0" w:rsidRPr="00D835EA" w:rsidRDefault="008905F0" w:rsidP="00E4684C">
            <w:r w:rsidRPr="00D835EA">
              <w:t>5 – Clerical and Administrative Workers</w:t>
            </w:r>
          </w:p>
        </w:tc>
        <w:tc>
          <w:tcPr>
            <w:tcW w:w="710" w:type="pct"/>
          </w:tcPr>
          <w:p w14:paraId="4F6C6BCA" w14:textId="77777777" w:rsidR="008905F0" w:rsidRPr="00D835EA" w:rsidRDefault="008905F0" w:rsidP="002A463A">
            <w:pPr>
              <w:jc w:val="center"/>
            </w:pPr>
            <w:r w:rsidRPr="00D835EA">
              <w:t>73.3</w:t>
            </w:r>
          </w:p>
        </w:tc>
        <w:tc>
          <w:tcPr>
            <w:tcW w:w="710" w:type="pct"/>
          </w:tcPr>
          <w:p w14:paraId="0D7004BE" w14:textId="77777777" w:rsidR="008905F0" w:rsidRPr="00D835EA" w:rsidRDefault="008905F0" w:rsidP="002A463A">
            <w:pPr>
              <w:jc w:val="center"/>
            </w:pPr>
            <w:r w:rsidRPr="00D835EA">
              <w:t>26.6</w:t>
            </w:r>
          </w:p>
        </w:tc>
        <w:tc>
          <w:tcPr>
            <w:tcW w:w="710" w:type="pct"/>
          </w:tcPr>
          <w:p w14:paraId="1D72B721" w14:textId="77777777" w:rsidR="008905F0" w:rsidRPr="00D835EA" w:rsidRDefault="008905F0" w:rsidP="002A463A">
            <w:pPr>
              <w:jc w:val="center"/>
            </w:pPr>
            <w:r w:rsidRPr="00D835EA">
              <w:t>0.1</w:t>
            </w:r>
          </w:p>
        </w:tc>
      </w:tr>
    </w:tbl>
    <w:p w14:paraId="6BE3FC5A" w14:textId="1724B2FC" w:rsidR="008905F0" w:rsidRPr="00D835EA" w:rsidRDefault="002A463A" w:rsidP="002A463A">
      <w:pPr>
        <w:pStyle w:val="BodyText"/>
        <w:keepNext/>
      </w:pPr>
      <w:r>
        <w:lastRenderedPageBreak/>
        <w:fldChar w:fldCharType="begin"/>
      </w:r>
      <w:r>
        <w:instrText xml:space="preserve"> REF _Ref110507044 \h </w:instrText>
      </w:r>
      <w:r>
        <w:fldChar w:fldCharType="separate"/>
      </w:r>
      <w:r w:rsidR="00561567">
        <w:t xml:space="preserve">Table </w:t>
      </w:r>
      <w:r w:rsidR="00561567">
        <w:rPr>
          <w:noProof/>
        </w:rPr>
        <w:t>14</w:t>
      </w:r>
      <w:r>
        <w:fldChar w:fldCharType="end"/>
      </w:r>
      <w:r w:rsidR="008905F0" w:rsidRPr="00D835EA">
        <w:t xml:space="preserve"> below provides results from the People Matter Survey in relation to Indicator 7. It shows the corresponding percentages of </w:t>
      </w:r>
      <w:r w:rsidR="00E24D51">
        <w:t>Court Services Victoria</w:t>
      </w:r>
      <w:r w:rsidR="008905F0" w:rsidRPr="00D835EA">
        <w:t xml:space="preserve"> people who agreed with each statement.</w:t>
      </w:r>
    </w:p>
    <w:p w14:paraId="2454FB56" w14:textId="773A5C71" w:rsidR="008905F0" w:rsidRPr="00D835EA" w:rsidRDefault="002A463A" w:rsidP="002A463A">
      <w:pPr>
        <w:pStyle w:val="Caption"/>
      </w:pPr>
      <w:bookmarkStart w:id="46" w:name="_Ref110507044"/>
      <w:r>
        <w:t xml:space="preserve">Table </w:t>
      </w:r>
      <w:fldSimple w:instr=" SEQ Table \* ARABIC ">
        <w:r w:rsidR="00561567">
          <w:rPr>
            <w:noProof/>
          </w:rPr>
          <w:t>14</w:t>
        </w:r>
      </w:fldSimple>
      <w:bookmarkEnd w:id="46"/>
      <w:r w:rsidR="008905F0" w:rsidRPr="00D835EA">
        <w:t>: People Matter Survey results related to Indicator 7: Gendered work segregation</w:t>
      </w:r>
    </w:p>
    <w:tbl>
      <w:tblPr>
        <w:tblStyle w:val="TableGrid"/>
        <w:tblW w:w="5000" w:type="pct"/>
        <w:tblLook w:val="0620" w:firstRow="1" w:lastRow="0" w:firstColumn="0" w:lastColumn="0" w:noHBand="1" w:noVBand="1"/>
      </w:tblPr>
      <w:tblGrid>
        <w:gridCol w:w="3181"/>
        <w:gridCol w:w="1610"/>
        <w:gridCol w:w="1610"/>
        <w:gridCol w:w="1610"/>
        <w:gridCol w:w="1610"/>
      </w:tblGrid>
      <w:tr w:rsidR="008905F0" w:rsidRPr="00D835EA" w14:paraId="4D01AE1C" w14:textId="77777777" w:rsidTr="0091654B">
        <w:trPr>
          <w:cnfStyle w:val="100000000000" w:firstRow="1" w:lastRow="0" w:firstColumn="0" w:lastColumn="0" w:oddVBand="0" w:evenVBand="0" w:oddHBand="0" w:evenHBand="0" w:firstRowFirstColumn="0" w:firstRowLastColumn="0" w:lastRowFirstColumn="0" w:lastRowLastColumn="0"/>
        </w:trPr>
        <w:tc>
          <w:tcPr>
            <w:tcW w:w="1657" w:type="pct"/>
          </w:tcPr>
          <w:p w14:paraId="4E0138FE" w14:textId="77777777" w:rsidR="008905F0" w:rsidRPr="00D835EA" w:rsidRDefault="008905F0" w:rsidP="00E4684C">
            <w:bookmarkStart w:id="47" w:name="ColumnTitle_14"/>
            <w:r w:rsidRPr="00D835EA">
              <w:rPr>
                <w:b/>
              </w:rPr>
              <w:t>Question/Statement</w:t>
            </w:r>
          </w:p>
        </w:tc>
        <w:tc>
          <w:tcPr>
            <w:tcW w:w="836" w:type="pct"/>
          </w:tcPr>
          <w:p w14:paraId="1FF43753" w14:textId="7905E7B7" w:rsidR="008905F0" w:rsidRPr="00D835EA" w:rsidRDefault="008905F0" w:rsidP="002A463A">
            <w:pPr>
              <w:jc w:val="center"/>
            </w:pPr>
            <w:r w:rsidRPr="00D835EA">
              <w:rPr>
                <w:b/>
              </w:rPr>
              <w:t>Women Respondents</w:t>
            </w:r>
            <w:r w:rsidR="007A2E2C">
              <w:rPr>
                <w:b/>
              </w:rPr>
              <w:t xml:space="preserve"> </w:t>
            </w:r>
            <w:r w:rsidRPr="00D835EA">
              <w:rPr>
                <w:b/>
              </w:rPr>
              <w:t>(%)</w:t>
            </w:r>
          </w:p>
        </w:tc>
        <w:tc>
          <w:tcPr>
            <w:tcW w:w="836" w:type="pct"/>
          </w:tcPr>
          <w:p w14:paraId="76FB36D4" w14:textId="729744DF" w:rsidR="008905F0" w:rsidRPr="00D835EA" w:rsidRDefault="008905F0" w:rsidP="002A463A">
            <w:pPr>
              <w:jc w:val="center"/>
            </w:pPr>
            <w:r w:rsidRPr="00D835EA">
              <w:rPr>
                <w:b/>
              </w:rPr>
              <w:t>Men Respondents</w:t>
            </w:r>
            <w:r w:rsidR="007A2E2C">
              <w:rPr>
                <w:b/>
              </w:rPr>
              <w:t xml:space="preserve"> </w:t>
            </w:r>
            <w:r w:rsidRPr="00D835EA">
              <w:rPr>
                <w:b/>
              </w:rPr>
              <w:t>(%)</w:t>
            </w:r>
          </w:p>
        </w:tc>
        <w:tc>
          <w:tcPr>
            <w:tcW w:w="836" w:type="pct"/>
          </w:tcPr>
          <w:p w14:paraId="1E734E64" w14:textId="361D8DD8" w:rsidR="008905F0" w:rsidRPr="00D835EA" w:rsidRDefault="008905F0" w:rsidP="002A463A">
            <w:pPr>
              <w:jc w:val="center"/>
            </w:pPr>
            <w:r w:rsidRPr="00D835EA">
              <w:rPr>
                <w:b/>
              </w:rPr>
              <w:t>Non</w:t>
            </w:r>
            <w:r w:rsidRPr="00D835EA">
              <w:rPr>
                <w:rFonts w:ascii="Cambria Math" w:hAnsi="Cambria Math" w:cs="Cambria Math"/>
                <w:b/>
              </w:rPr>
              <w:t>‑</w:t>
            </w:r>
            <w:r w:rsidRPr="00D835EA">
              <w:rPr>
                <w:b/>
              </w:rPr>
              <w:t>binary/ Prefer not</w:t>
            </w:r>
            <w:r w:rsidR="007A2E2C">
              <w:rPr>
                <w:b/>
              </w:rPr>
              <w:t xml:space="preserve"> </w:t>
            </w:r>
            <w:r w:rsidR="007A2E2C">
              <w:rPr>
                <w:b/>
              </w:rPr>
              <w:br/>
            </w:r>
            <w:r w:rsidRPr="00D835EA">
              <w:rPr>
                <w:b/>
              </w:rPr>
              <w:t>to say Respondents</w:t>
            </w:r>
            <w:r w:rsidR="007A2E2C">
              <w:rPr>
                <w:b/>
              </w:rPr>
              <w:t xml:space="preserve"> </w:t>
            </w:r>
            <w:r w:rsidRPr="00D835EA">
              <w:rPr>
                <w:b/>
              </w:rPr>
              <w:t>(%)</w:t>
            </w:r>
          </w:p>
        </w:tc>
        <w:tc>
          <w:tcPr>
            <w:tcW w:w="836" w:type="pct"/>
          </w:tcPr>
          <w:p w14:paraId="4893110B" w14:textId="0D0FE6FF" w:rsidR="008905F0" w:rsidRPr="00D835EA" w:rsidRDefault="008905F0" w:rsidP="00E4684C">
            <w:pPr>
              <w:rPr>
                <w:b/>
              </w:rPr>
            </w:pPr>
            <w:r w:rsidRPr="00D835EA">
              <w:rPr>
                <w:b/>
              </w:rPr>
              <w:t>All Respondents</w:t>
            </w:r>
            <w:r w:rsidR="007A2E2C">
              <w:rPr>
                <w:b/>
              </w:rPr>
              <w:t xml:space="preserve"> </w:t>
            </w:r>
            <w:r w:rsidRPr="00D835EA">
              <w:rPr>
                <w:b/>
              </w:rPr>
              <w:t>(%)</w:t>
            </w:r>
          </w:p>
        </w:tc>
      </w:tr>
      <w:bookmarkEnd w:id="47"/>
      <w:tr w:rsidR="008905F0" w:rsidRPr="00D835EA" w14:paraId="7B3FF5A8" w14:textId="77777777" w:rsidTr="0091654B">
        <w:tc>
          <w:tcPr>
            <w:tcW w:w="1657" w:type="pct"/>
          </w:tcPr>
          <w:p w14:paraId="54813D37" w14:textId="77777777" w:rsidR="008905F0" w:rsidRPr="00D835EA" w:rsidRDefault="008905F0" w:rsidP="00E4684C">
            <w:r w:rsidRPr="00D835EA">
              <w:t>My organisation uses inclusive and respectful images and language</w:t>
            </w:r>
          </w:p>
        </w:tc>
        <w:tc>
          <w:tcPr>
            <w:tcW w:w="836" w:type="pct"/>
          </w:tcPr>
          <w:p w14:paraId="7D164709" w14:textId="77777777" w:rsidR="008905F0" w:rsidRPr="00D835EA" w:rsidRDefault="008905F0" w:rsidP="002A463A">
            <w:pPr>
              <w:jc w:val="center"/>
            </w:pPr>
            <w:r w:rsidRPr="00D835EA">
              <w:t>79</w:t>
            </w:r>
          </w:p>
        </w:tc>
        <w:tc>
          <w:tcPr>
            <w:tcW w:w="836" w:type="pct"/>
          </w:tcPr>
          <w:p w14:paraId="5AB01F3A" w14:textId="77777777" w:rsidR="008905F0" w:rsidRPr="00D835EA" w:rsidRDefault="008905F0" w:rsidP="002A463A">
            <w:pPr>
              <w:jc w:val="center"/>
            </w:pPr>
            <w:r w:rsidRPr="00D835EA">
              <w:t>82</w:t>
            </w:r>
          </w:p>
        </w:tc>
        <w:tc>
          <w:tcPr>
            <w:tcW w:w="836" w:type="pct"/>
          </w:tcPr>
          <w:p w14:paraId="31AAD0C2" w14:textId="77777777" w:rsidR="008905F0" w:rsidRPr="00D835EA" w:rsidRDefault="008905F0" w:rsidP="002A463A">
            <w:pPr>
              <w:jc w:val="center"/>
            </w:pPr>
            <w:r w:rsidRPr="00D835EA">
              <w:t>63</w:t>
            </w:r>
          </w:p>
        </w:tc>
        <w:tc>
          <w:tcPr>
            <w:tcW w:w="836" w:type="pct"/>
          </w:tcPr>
          <w:p w14:paraId="01177068" w14:textId="77777777" w:rsidR="008905F0" w:rsidRPr="00D835EA" w:rsidRDefault="008905F0" w:rsidP="00E4684C">
            <w:r w:rsidRPr="00D835EA">
              <w:t>77</w:t>
            </w:r>
          </w:p>
        </w:tc>
      </w:tr>
      <w:tr w:rsidR="008905F0" w:rsidRPr="00D835EA" w14:paraId="0C4C5AE3" w14:textId="77777777" w:rsidTr="0091654B">
        <w:tc>
          <w:tcPr>
            <w:tcW w:w="1657" w:type="pct"/>
          </w:tcPr>
          <w:p w14:paraId="5FC030DB" w14:textId="77777777" w:rsidR="008905F0" w:rsidRPr="00D835EA" w:rsidRDefault="008905F0" w:rsidP="00E4684C">
            <w:r w:rsidRPr="00D835EA">
              <w:t>In my workgroup work is allocated fairly, regardless of gender</w:t>
            </w:r>
          </w:p>
        </w:tc>
        <w:tc>
          <w:tcPr>
            <w:tcW w:w="836" w:type="pct"/>
          </w:tcPr>
          <w:p w14:paraId="6B1F2C7B" w14:textId="77777777" w:rsidR="008905F0" w:rsidRPr="00D835EA" w:rsidRDefault="008905F0" w:rsidP="002A463A">
            <w:pPr>
              <w:jc w:val="center"/>
            </w:pPr>
            <w:r w:rsidRPr="00D835EA">
              <w:t>83</w:t>
            </w:r>
          </w:p>
        </w:tc>
        <w:tc>
          <w:tcPr>
            <w:tcW w:w="836" w:type="pct"/>
          </w:tcPr>
          <w:p w14:paraId="25FA4C3E" w14:textId="77777777" w:rsidR="008905F0" w:rsidRPr="00D835EA" w:rsidRDefault="008905F0" w:rsidP="002A463A">
            <w:pPr>
              <w:jc w:val="center"/>
            </w:pPr>
            <w:r w:rsidRPr="00D835EA">
              <w:t>87</w:t>
            </w:r>
          </w:p>
        </w:tc>
        <w:tc>
          <w:tcPr>
            <w:tcW w:w="836" w:type="pct"/>
          </w:tcPr>
          <w:p w14:paraId="0E4BAD2F" w14:textId="77777777" w:rsidR="008905F0" w:rsidRPr="00D835EA" w:rsidRDefault="008905F0" w:rsidP="002A463A">
            <w:pPr>
              <w:jc w:val="center"/>
            </w:pPr>
            <w:r w:rsidRPr="00D835EA">
              <w:t>62</w:t>
            </w:r>
          </w:p>
        </w:tc>
        <w:tc>
          <w:tcPr>
            <w:tcW w:w="836" w:type="pct"/>
          </w:tcPr>
          <w:p w14:paraId="083FA291" w14:textId="77777777" w:rsidR="008905F0" w:rsidRPr="00D835EA" w:rsidRDefault="008905F0" w:rsidP="00E4684C">
            <w:r w:rsidRPr="00D835EA">
              <w:t>81</w:t>
            </w:r>
          </w:p>
        </w:tc>
      </w:tr>
    </w:tbl>
    <w:p w14:paraId="68477182" w14:textId="785E38F6" w:rsidR="008905F0" w:rsidRPr="00D835EA" w:rsidRDefault="008905F0" w:rsidP="00971894"/>
    <w:p w14:paraId="17DA672A" w14:textId="77777777" w:rsidR="008905F0" w:rsidRPr="00D835EA" w:rsidRDefault="008905F0" w:rsidP="008905F0">
      <w:pPr>
        <w:pStyle w:val="NoSpacing"/>
        <w:pageBreakBefore/>
      </w:pPr>
      <w:r w:rsidRPr="00D835EA">
        <w:lastRenderedPageBreak/>
        <w:t>Court Services Victoria</w:t>
      </w:r>
    </w:p>
    <w:p w14:paraId="30B46F0E" w14:textId="77777777" w:rsidR="008905F0" w:rsidRPr="00D835EA" w:rsidRDefault="008905F0" w:rsidP="008905F0">
      <w:pPr>
        <w:pStyle w:val="NoSpacing"/>
      </w:pPr>
      <w:r w:rsidRPr="00D835EA">
        <w:t>181 William Street,</w:t>
      </w:r>
    </w:p>
    <w:p w14:paraId="151539CA" w14:textId="77777777" w:rsidR="008905F0" w:rsidRPr="00D835EA" w:rsidRDefault="008905F0" w:rsidP="008905F0">
      <w:pPr>
        <w:pStyle w:val="NoSpacing"/>
      </w:pPr>
      <w:r w:rsidRPr="00D835EA">
        <w:t>Melbourne VIC 3000</w:t>
      </w:r>
    </w:p>
    <w:p w14:paraId="6A56BBB8" w14:textId="454A3DCD" w:rsidR="008905F0" w:rsidRDefault="008905F0" w:rsidP="008905F0">
      <w:pPr>
        <w:pStyle w:val="NoSpacing"/>
      </w:pPr>
      <w:r w:rsidRPr="00D835EA">
        <w:t xml:space="preserve">Email: </w:t>
      </w:r>
      <w:hyperlink r:id="rId11">
        <w:r w:rsidRPr="00D835EA">
          <w:rPr>
            <w:rStyle w:val="Hyperlink"/>
          </w:rPr>
          <w:t>feedback@courts.vic.gov.au</w:t>
        </w:r>
      </w:hyperlink>
    </w:p>
    <w:sectPr w:rsidR="008905F0" w:rsidSect="00E560E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0" w:h="16840"/>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5436" w14:textId="77777777" w:rsidR="00FF75AF" w:rsidRDefault="00FF75AF">
      <w:r>
        <w:separator/>
      </w:r>
    </w:p>
    <w:p w14:paraId="68CF8A36" w14:textId="77777777" w:rsidR="00FF75AF" w:rsidRDefault="00FF75AF"/>
  </w:endnote>
  <w:endnote w:type="continuationSeparator" w:id="0">
    <w:p w14:paraId="07EABA74" w14:textId="77777777" w:rsidR="00FF75AF" w:rsidRDefault="00FF75AF">
      <w:r>
        <w:continuationSeparator/>
      </w:r>
    </w:p>
    <w:p w14:paraId="52FFB733" w14:textId="77777777" w:rsidR="00FF75AF" w:rsidRDefault="00FF7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Biennale Book">
    <w:altName w:val="Calibri"/>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A27A" w14:textId="77777777" w:rsidR="00BC51AD" w:rsidRDefault="00E80FBE">
    <w:pPr>
      <w:pStyle w:val="Footer"/>
    </w:pPr>
    <w:bookmarkStart w:id="52" w:name="_Hlk109825127"/>
    <w:bookmarkStart w:id="53" w:name="_Hlk109825128"/>
    <w:bookmarkEnd w:id="52"/>
    <w:bookmarkEnd w:id="5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70DE" w14:textId="77777777" w:rsidR="00BC51AD" w:rsidRDefault="00E80FBE">
    <w:pPr>
      <w:pStyle w:val="Footer"/>
    </w:pPr>
    <w:bookmarkStart w:id="54" w:name="_Hlk109825125"/>
    <w:bookmarkStart w:id="55" w:name="_Hlk109825126"/>
    <w:bookmarkEnd w:id="54"/>
    <w:bookmarkEnd w:id="5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F275" w14:textId="77777777" w:rsidR="00BC51AD" w:rsidRDefault="00E80FBE">
    <w:pPr>
      <w:pStyle w:val="Footer"/>
    </w:pPr>
    <w:bookmarkStart w:id="58" w:name="_Hlk109825123"/>
    <w:bookmarkStart w:id="59" w:name="_Hlk109825124"/>
    <w:bookmarkEnd w:id="58"/>
    <w:bookmarkEnd w:id="5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A4E3" w14:textId="77777777" w:rsidR="00FF75AF" w:rsidRPr="007E5AD9" w:rsidRDefault="00FF75AF" w:rsidP="00C2741F">
      <w:pPr>
        <w:pStyle w:val="FootnoteSeparator"/>
        <w:pBdr>
          <w:top w:val="none" w:sz="0" w:space="0" w:color="auto"/>
        </w:pBdr>
        <w:spacing w:after="0"/>
      </w:pPr>
      <w:r w:rsidRPr="007E5AD9">
        <w:separator/>
      </w:r>
    </w:p>
  </w:footnote>
  <w:footnote w:type="continuationSeparator" w:id="0">
    <w:p w14:paraId="66527F55" w14:textId="77777777" w:rsidR="00FF75AF" w:rsidRPr="007E5AD9" w:rsidRDefault="00FF75AF" w:rsidP="00C2741F">
      <w:pPr>
        <w:pStyle w:val="FootnoteSeparator"/>
        <w:pBdr>
          <w:top w:val="none" w:sz="0" w:space="0" w:color="auto"/>
        </w:pBdr>
        <w:spacing w:after="0"/>
      </w:pPr>
      <w:r w:rsidRPr="007E5AD9">
        <w:separator/>
      </w:r>
    </w:p>
  </w:footnote>
  <w:footnote w:type="continuationNotice" w:id="1">
    <w:p w14:paraId="4503372C" w14:textId="77777777" w:rsidR="00FF75AF" w:rsidRDefault="00FF75AF" w:rsidP="00C2741F">
      <w:pPr>
        <w:spacing w:after="0"/>
      </w:pPr>
    </w:p>
  </w:footnote>
  <w:footnote w:id="2">
    <w:p w14:paraId="2B88EB14" w14:textId="14D32CBF" w:rsidR="006476CA" w:rsidRDefault="006476CA" w:rsidP="006476CA">
      <w:pPr>
        <w:pStyle w:val="FootnoteText"/>
      </w:pPr>
      <w:r>
        <w:rPr>
          <w:rStyle w:val="FootnoteReference"/>
        </w:rPr>
        <w:footnoteRef/>
      </w:r>
      <w:r>
        <w:t xml:space="preserve"> </w:t>
      </w:r>
      <w:r w:rsidR="00F50D09">
        <w:tab/>
      </w:r>
      <w:r w:rsidRPr="006476CA">
        <w:t xml:space="preserve">Aside from the gender composition of Courts Council as required under gender equality indicator 2, the Workplace Gender Audit excludes Judicial Officers and </w:t>
      </w:r>
      <w:r w:rsidR="00E24D51">
        <w:t>Victorian Civil and Administrative Tribunal</w:t>
      </w:r>
      <w:r w:rsidRPr="006476CA">
        <w:t xml:space="preserve"> Members as they are statutory appointees. Data included refers to </w:t>
      </w:r>
      <w:r w:rsidR="00E24D51">
        <w:t>Court Services Victoria</w:t>
      </w:r>
      <w:r w:rsidRPr="006476CA">
        <w:t>’s Victorian Public Service employees and executives only.</w:t>
      </w:r>
    </w:p>
  </w:footnote>
  <w:footnote w:id="3">
    <w:p w14:paraId="19C4DCB8" w14:textId="2B7EE9D1" w:rsidR="006476CA" w:rsidRDefault="006476CA">
      <w:pPr>
        <w:pStyle w:val="FootnoteText"/>
      </w:pPr>
      <w:r>
        <w:rPr>
          <w:rStyle w:val="FootnoteReference"/>
        </w:rPr>
        <w:footnoteRef/>
      </w:r>
      <w:r>
        <w:t xml:space="preserve"> </w:t>
      </w:r>
      <w:r w:rsidR="00F50D09">
        <w:tab/>
      </w:r>
      <w:r w:rsidRPr="006476CA">
        <w:t xml:space="preserve">Review of Sexual Harassment in Victoria Courts: Preventing and Addressing Sexual Harassment in Victorian Courts and </w:t>
      </w:r>
      <w:r w:rsidR="00E24D51">
        <w:t>Victorian Civil and Administrative Tribunal</w:t>
      </w:r>
      <w:r w:rsidRPr="006476CA">
        <w:t xml:space="preserve"> – Report and Recommendations, March 2021, p15 and 65.</w:t>
      </w:r>
    </w:p>
  </w:footnote>
  <w:footnote w:id="4">
    <w:p w14:paraId="2C6CD468" w14:textId="2D05EE33" w:rsidR="006476CA" w:rsidRDefault="006476CA">
      <w:pPr>
        <w:pStyle w:val="FootnoteText"/>
      </w:pPr>
      <w:r>
        <w:rPr>
          <w:rStyle w:val="FootnoteReference"/>
        </w:rPr>
        <w:footnoteRef/>
      </w:r>
      <w:r>
        <w:t xml:space="preserve"> </w:t>
      </w:r>
      <w:r w:rsidR="003F1938">
        <w:tab/>
      </w:r>
      <w:r w:rsidRPr="006476CA">
        <w:t>Kahn, W. A. (1990). Psychological conditions of personal engagement and disengagement at work. Academy of Management Journal, 33(4), 692</w:t>
      </w:r>
      <w:r w:rsidRPr="006476CA">
        <w:rPr>
          <w:rFonts w:ascii="Cambria Math" w:hAnsi="Cambria Math" w:cs="Cambria Math"/>
        </w:rPr>
        <w:t>‑</w:t>
      </w:r>
      <w:r w:rsidRPr="006476CA">
        <w:t>724.</w:t>
      </w:r>
    </w:p>
  </w:footnote>
  <w:footnote w:id="5">
    <w:p w14:paraId="244AC00F" w14:textId="7D36DC6F" w:rsidR="0003150D" w:rsidRDefault="0003150D">
      <w:pPr>
        <w:pStyle w:val="FootnoteText"/>
      </w:pPr>
      <w:r>
        <w:rPr>
          <w:rStyle w:val="FootnoteReference"/>
        </w:rPr>
        <w:footnoteRef/>
      </w:r>
      <w:r w:rsidR="00575F3B">
        <w:t xml:space="preserve"> </w:t>
      </w:r>
      <w:r w:rsidR="00575F3B">
        <w:tab/>
      </w:r>
      <w:r w:rsidRPr="0003150D">
        <w:t>Shaffer, E. &amp; Neal, S. (2021). Why leaders must connect more during times of crisis. Catalyst.</w:t>
      </w:r>
    </w:p>
  </w:footnote>
  <w:footnote w:id="6">
    <w:p w14:paraId="698F9CF4" w14:textId="31C12273" w:rsidR="0003150D" w:rsidRDefault="0003150D">
      <w:pPr>
        <w:pStyle w:val="FootnoteText"/>
      </w:pPr>
      <w:r>
        <w:rPr>
          <w:rStyle w:val="FootnoteReference"/>
        </w:rPr>
        <w:footnoteRef/>
      </w:r>
      <w:r>
        <w:t xml:space="preserve"> </w:t>
      </w:r>
      <w:r w:rsidR="00575F3B">
        <w:tab/>
      </w:r>
      <w:r w:rsidRPr="0003150D">
        <w:t xml:space="preserve">Winspear, J., &amp; Feenstra, F. (2021). </w:t>
      </w:r>
      <w:hyperlink r:id="rId1" w:history="1">
        <w:r w:rsidRPr="00561567">
          <w:rPr>
            <w:rStyle w:val="Hyperlink"/>
          </w:rPr>
          <w:t>Breaking Dad: Psychological safety and more time at home for men</w:t>
        </w:r>
      </w:hyperlink>
      <w:r w:rsidRPr="0003150D">
        <w:t xml:space="preserve">. </w:t>
      </w:r>
      <w:r w:rsidR="00561567">
        <w:t>(</w:t>
      </w:r>
      <w:r w:rsidRPr="0003150D">
        <w:t>http://the100percentproject.com.au/what</w:t>
      </w:r>
      <w:r w:rsidRPr="0003150D">
        <w:rPr>
          <w:rFonts w:ascii="Cambria Math" w:hAnsi="Cambria Math" w:cs="Cambria Math"/>
        </w:rPr>
        <w:t>‑</w:t>
      </w:r>
      <w:r w:rsidRPr="0003150D">
        <w:t>we</w:t>
      </w:r>
      <w:r w:rsidRPr="0003150D">
        <w:rPr>
          <w:rFonts w:ascii="Cambria Math" w:hAnsi="Cambria Math" w:cs="Cambria Math"/>
        </w:rPr>
        <w:t>‑</w:t>
      </w:r>
      <w:r w:rsidRPr="0003150D">
        <w:t>do/research/2021</w:t>
      </w:r>
      <w:r w:rsidRPr="0003150D">
        <w:rPr>
          <w:rFonts w:ascii="Cambria Math" w:hAnsi="Cambria Math" w:cs="Cambria Math"/>
        </w:rPr>
        <w:t>‑</w:t>
      </w:r>
      <w:r w:rsidRPr="0003150D">
        <w:t>breaking</w:t>
      </w:r>
      <w:r w:rsidRPr="0003150D">
        <w:rPr>
          <w:rFonts w:ascii="Cambria Math" w:hAnsi="Cambria Math" w:cs="Cambria Math"/>
        </w:rPr>
        <w:t>‑</w:t>
      </w:r>
      <w:r w:rsidRPr="0003150D">
        <w:t>dad</w:t>
      </w:r>
      <w:r w:rsidR="00561567">
        <w:t>)</w:t>
      </w:r>
    </w:p>
  </w:footnote>
  <w:footnote w:id="7">
    <w:p w14:paraId="1F96475C" w14:textId="7E7C08D6" w:rsidR="0003150D" w:rsidRDefault="0003150D">
      <w:pPr>
        <w:pStyle w:val="FootnoteText"/>
      </w:pPr>
      <w:r>
        <w:rPr>
          <w:rStyle w:val="FootnoteReference"/>
        </w:rPr>
        <w:footnoteRef/>
      </w:r>
      <w:r>
        <w:t xml:space="preserve"> </w:t>
      </w:r>
      <w:r w:rsidR="00A2753D">
        <w:tab/>
      </w:r>
      <w:r w:rsidRPr="0003150D">
        <w:t>Unless stated otherwise, People Matter Survey results refer to ratings from all respondents (women, men and non</w:t>
      </w:r>
      <w:r w:rsidRPr="0003150D">
        <w:rPr>
          <w:rFonts w:ascii="Cambria Math" w:hAnsi="Cambria Math" w:cs="Cambria Math"/>
        </w:rPr>
        <w:t>‑</w:t>
      </w:r>
      <w:r w:rsidRPr="0003150D">
        <w:t>binary/prefer not say).</w:t>
      </w:r>
    </w:p>
  </w:footnote>
  <w:footnote w:id="8">
    <w:p w14:paraId="2B9EA448" w14:textId="776BFC7D" w:rsidR="0003150D" w:rsidRDefault="0003150D">
      <w:pPr>
        <w:pStyle w:val="FootnoteText"/>
      </w:pPr>
      <w:r>
        <w:rPr>
          <w:rStyle w:val="FootnoteReference"/>
        </w:rPr>
        <w:footnoteRef/>
      </w:r>
      <w:r>
        <w:t xml:space="preserve"> </w:t>
      </w:r>
      <w:r w:rsidR="00A2753D">
        <w:tab/>
      </w:r>
      <w:r w:rsidRPr="0003150D">
        <w:t>Leadership includes Registrar Grades 5 and 6, VPS Grades 5 and 6, STS Grade 7 and Executives.</w:t>
      </w:r>
    </w:p>
  </w:footnote>
  <w:footnote w:id="9">
    <w:p w14:paraId="6108FB43" w14:textId="7A56BA18" w:rsidR="00D94DC8" w:rsidRDefault="00D94DC8">
      <w:pPr>
        <w:pStyle w:val="FootnoteText"/>
      </w:pPr>
      <w:r>
        <w:rPr>
          <w:rStyle w:val="FootnoteReference"/>
        </w:rPr>
        <w:footnoteRef/>
      </w:r>
      <w:r>
        <w:t xml:space="preserve"> </w:t>
      </w:r>
      <w:r w:rsidR="00F520F7">
        <w:tab/>
      </w:r>
      <w:r w:rsidRPr="00D94DC8">
        <w:t>Base salary includes full time annualised salary specified in the relevant Award/Agreement for the employee’s classification, not actual earnings, and includes any packaged or salary sacrificed component, leave loading and penalty rates. The median is the middle salary from the list of salaries arranged in ascending or descending order.</w:t>
      </w:r>
    </w:p>
  </w:footnote>
  <w:footnote w:id="10">
    <w:p w14:paraId="238BF9B8" w14:textId="6C2E3329" w:rsidR="00D94DC8" w:rsidRDefault="00D94DC8">
      <w:pPr>
        <w:pStyle w:val="FootnoteText"/>
      </w:pPr>
      <w:r>
        <w:rPr>
          <w:rStyle w:val="FootnoteReference"/>
        </w:rPr>
        <w:footnoteRef/>
      </w:r>
      <w:r>
        <w:t xml:space="preserve"> </w:t>
      </w:r>
      <w:r w:rsidR="00F520F7">
        <w:tab/>
      </w:r>
      <w:r w:rsidRPr="00D94DC8">
        <w:t>Total remuneration refers to the base salary plus all bonuses, allowances, superannuation and other payments. The median is the middle salary from the list of salaries arranged in ascending or descending order.</w:t>
      </w:r>
    </w:p>
  </w:footnote>
  <w:footnote w:id="11">
    <w:p w14:paraId="12E75CD3" w14:textId="4D505B4F" w:rsidR="00D94DC8" w:rsidRDefault="00D94DC8">
      <w:pPr>
        <w:pStyle w:val="FootnoteText"/>
      </w:pPr>
      <w:r>
        <w:rPr>
          <w:rStyle w:val="FootnoteReference"/>
        </w:rPr>
        <w:footnoteRef/>
      </w:r>
      <w:r>
        <w:t xml:space="preserve"> </w:t>
      </w:r>
      <w:r w:rsidR="00575F3B">
        <w:tab/>
      </w:r>
      <w:r w:rsidRPr="00D94DC8">
        <w:t>Commission for Gender Equality in the Public Sector, Workplace Gender Audit 2021 Guidance for Defined Entities, p15.</w:t>
      </w:r>
    </w:p>
  </w:footnote>
  <w:footnote w:id="12">
    <w:p w14:paraId="3054E83D" w14:textId="1ECBB247" w:rsidR="00F520F7" w:rsidRDefault="00F520F7">
      <w:pPr>
        <w:pStyle w:val="FootnoteText"/>
      </w:pPr>
      <w:r>
        <w:rPr>
          <w:rStyle w:val="FootnoteReference"/>
        </w:rPr>
        <w:footnoteRef/>
      </w:r>
      <w:r>
        <w:t xml:space="preserve"> </w:t>
      </w:r>
      <w:r w:rsidR="00575F3B">
        <w:tab/>
      </w:r>
      <w:r w:rsidRPr="00D94DC8">
        <w:t>Achievement of this outcome is reliant on changes to systems managed by the Department of Justice and Community Safety.</w:t>
      </w:r>
    </w:p>
  </w:footnote>
  <w:footnote w:id="13">
    <w:p w14:paraId="35663FB9" w14:textId="078319B3" w:rsidR="00D94DC8" w:rsidRDefault="00D94DC8">
      <w:pPr>
        <w:pStyle w:val="FootnoteText"/>
      </w:pPr>
      <w:r>
        <w:rPr>
          <w:rStyle w:val="FootnoteReference"/>
        </w:rPr>
        <w:footnoteRef/>
      </w:r>
      <w:r>
        <w:t xml:space="preserve"> </w:t>
      </w:r>
      <w:r w:rsidR="00575F3B">
        <w:tab/>
      </w:r>
      <w:r w:rsidRPr="00D94DC8">
        <w:t>Court Services Victoria Act 2014, s8.</w:t>
      </w:r>
    </w:p>
  </w:footnote>
  <w:footnote w:id="14">
    <w:p w14:paraId="649FB8C1" w14:textId="4B7D9B94" w:rsidR="00D94DC8" w:rsidRDefault="00D94DC8">
      <w:pPr>
        <w:pStyle w:val="FootnoteText"/>
      </w:pPr>
      <w:r>
        <w:rPr>
          <w:rStyle w:val="FootnoteReference"/>
        </w:rPr>
        <w:footnoteRef/>
      </w:r>
      <w:r>
        <w:t xml:space="preserve"> </w:t>
      </w:r>
      <w:r w:rsidR="00575F3B">
        <w:tab/>
      </w:r>
      <w:r w:rsidRPr="00D94DC8">
        <w:t>Court Services Victoria Act 2014, s36.</w:t>
      </w:r>
    </w:p>
  </w:footnote>
  <w:footnote w:id="15">
    <w:p w14:paraId="11A1A963" w14:textId="34637AE4" w:rsidR="00D94DC8" w:rsidRDefault="00D94DC8">
      <w:pPr>
        <w:pStyle w:val="FootnoteText"/>
      </w:pPr>
      <w:r>
        <w:rPr>
          <w:rStyle w:val="FootnoteReference"/>
        </w:rPr>
        <w:footnoteRef/>
      </w:r>
      <w:r>
        <w:t xml:space="preserve"> </w:t>
      </w:r>
      <w:r w:rsidR="000C6F23">
        <w:tab/>
      </w:r>
      <w:r w:rsidRPr="00D94DC8">
        <w:t xml:space="preserve">Aside from the gender composition of Courts Council as required under gender equality indicator 2, the Workplace Gender Audit excludes Judicial Officers and </w:t>
      </w:r>
      <w:r w:rsidR="00E24D51">
        <w:t>Victorian Civil and Administrative Tribunal</w:t>
      </w:r>
      <w:r w:rsidRPr="00D94DC8">
        <w:t xml:space="preserve"> Members as they are statutory appointees. Data included refers to </w:t>
      </w:r>
      <w:r w:rsidR="00E24D51">
        <w:t>Court Services Victoria</w:t>
      </w:r>
      <w:r w:rsidRPr="00D94DC8">
        <w:t>’s Victorian Public Service employees and executives only.</w:t>
      </w:r>
    </w:p>
  </w:footnote>
  <w:footnote w:id="16">
    <w:p w14:paraId="05665698" w14:textId="57DC6060" w:rsidR="00D94DC8" w:rsidRDefault="00D94DC8">
      <w:pPr>
        <w:pStyle w:val="FootnoteText"/>
      </w:pPr>
      <w:r>
        <w:rPr>
          <w:rStyle w:val="FootnoteReference"/>
        </w:rPr>
        <w:footnoteRef/>
      </w:r>
      <w:r>
        <w:t xml:space="preserve"> </w:t>
      </w:r>
      <w:r w:rsidR="000C6F23">
        <w:tab/>
      </w:r>
      <w:r w:rsidRPr="00D94DC8">
        <w:t>The People Matter Survey grouped together respondents who identified as non</w:t>
      </w:r>
      <w:r w:rsidRPr="00D94DC8">
        <w:rPr>
          <w:rFonts w:ascii="Cambria Math" w:hAnsi="Cambria Math" w:cs="Cambria Math"/>
        </w:rPr>
        <w:t>‑</w:t>
      </w:r>
      <w:r w:rsidRPr="00D94DC8">
        <w:t>binary or who preferred not to say for anonymity.</w:t>
      </w:r>
    </w:p>
  </w:footnote>
  <w:footnote w:id="17">
    <w:p w14:paraId="64C77A37" w14:textId="5E11834C" w:rsidR="00D94DC8" w:rsidRDefault="00D94DC8">
      <w:pPr>
        <w:pStyle w:val="FootnoteText"/>
      </w:pPr>
      <w:r>
        <w:rPr>
          <w:rStyle w:val="FootnoteReference"/>
        </w:rPr>
        <w:footnoteRef/>
      </w:r>
      <w:r>
        <w:t xml:space="preserve"> </w:t>
      </w:r>
      <w:r w:rsidR="00BA2C4A">
        <w:tab/>
      </w:r>
      <w:r w:rsidRPr="00D94DC8">
        <w:t>The first item in the table shows People Matter Survey percentages of respondents who reported experiencing sexual harassment in the workplace during the last 12 months. All other items in the table show the corresponding percentages of people who agreed with each statement.</w:t>
      </w:r>
    </w:p>
  </w:footnote>
  <w:footnote w:id="18">
    <w:p w14:paraId="53F6AFE1" w14:textId="4F8DE23A" w:rsidR="00D94DC8" w:rsidRDefault="00D94DC8">
      <w:pPr>
        <w:pStyle w:val="FootnoteText"/>
      </w:pPr>
      <w:r>
        <w:rPr>
          <w:rStyle w:val="FootnoteReference"/>
        </w:rPr>
        <w:footnoteRef/>
      </w:r>
      <w:r>
        <w:t xml:space="preserve"> </w:t>
      </w:r>
      <w:r w:rsidR="002A463A">
        <w:tab/>
      </w:r>
      <w:r w:rsidRPr="00D94DC8">
        <w:t>Formal flexible working arrangements include compressed working hours, job sharing, study leave, purchased leave, and/or part time as negotiated by the employee upon commencement.</w:t>
      </w:r>
    </w:p>
  </w:footnote>
  <w:footnote w:id="19">
    <w:p w14:paraId="7BB5EE6B" w14:textId="401E3A9C" w:rsidR="00971894" w:rsidRDefault="00971894">
      <w:pPr>
        <w:pStyle w:val="FootnoteText"/>
      </w:pPr>
      <w:r>
        <w:rPr>
          <w:rStyle w:val="FootnoteReference"/>
        </w:rPr>
        <w:footnoteRef/>
      </w:r>
      <w:r>
        <w:t xml:space="preserve"> </w:t>
      </w:r>
      <w:r w:rsidR="002A463A">
        <w:tab/>
      </w:r>
      <w:r w:rsidRPr="00971894">
        <w:t xml:space="preserve">Guidance on ANZSCO coding for public sector entities is available through the </w:t>
      </w:r>
      <w:hyperlink r:id="rId2" w:history="1">
        <w:r w:rsidRPr="00561567">
          <w:rPr>
            <w:rStyle w:val="Hyperlink"/>
          </w:rPr>
          <w:t>Victorian Public Sector Commission’s ANZSCO Coding Guides</w:t>
        </w:r>
      </w:hyperlink>
      <w:r w:rsidRPr="00971894">
        <w:t xml:space="preserve"> (https://vpsc.vic.gov.au/resources/anzsco</w:t>
      </w:r>
      <w:r w:rsidRPr="00971894">
        <w:rPr>
          <w:rFonts w:ascii="Cambria Math" w:hAnsi="Cambria Math" w:cs="Cambria Math"/>
        </w:rPr>
        <w:t>‑</w:t>
      </w:r>
      <w:r w:rsidRPr="00971894">
        <w:t>coding</w:t>
      </w:r>
      <w:r w:rsidRPr="00971894">
        <w:rPr>
          <w:rFonts w:ascii="Cambria Math" w:hAnsi="Cambria Math" w:cs="Cambria Math"/>
        </w:rPr>
        <w:t>‑</w:t>
      </w:r>
      <w:r w:rsidRPr="00971894">
        <w:t>guides/).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6127" w14:textId="77777777" w:rsidR="00BC51AD" w:rsidRDefault="00E80FBE">
    <w:pPr>
      <w:pStyle w:val="Header"/>
    </w:pPr>
    <w:bookmarkStart w:id="48" w:name="_Hlk109825121"/>
    <w:bookmarkStart w:id="49" w:name="_Hlk109825122"/>
    <w:bookmarkEnd w:id="48"/>
    <w:bookmarkEnd w:id="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0108" w14:textId="77777777" w:rsidR="00BC51AD" w:rsidRDefault="00E80FBE">
    <w:pPr>
      <w:pStyle w:val="Header"/>
    </w:pPr>
    <w:bookmarkStart w:id="50" w:name="_Hlk109825119"/>
    <w:bookmarkStart w:id="51" w:name="_Hlk109825120"/>
    <w:bookmarkEnd w:id="50"/>
    <w:bookmarkEnd w:id="5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07D0" w14:textId="77777777" w:rsidR="00BC51AD" w:rsidRDefault="00E80FBE">
    <w:pPr>
      <w:pStyle w:val="Header"/>
    </w:pPr>
    <w:bookmarkStart w:id="56" w:name="_Hlk109825117"/>
    <w:bookmarkStart w:id="57" w:name="_Hlk109825118"/>
    <w:bookmarkEnd w:id="56"/>
    <w:bookmarkEnd w:id="5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BEF69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7FE"/>
    <w:multiLevelType w:val="multilevel"/>
    <w:tmpl w:val="CA2C90DE"/>
    <w:name w:val="JemenaListBullets"/>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680"/>
        </w:tabs>
        <w:ind w:left="680" w:hanging="340"/>
      </w:pPr>
      <w:rPr>
        <w:rFonts w:ascii="Calibri" w:hAnsi="Calibri" w:hint="default"/>
        <w:b w:val="0"/>
        <w:i w:val="0"/>
        <w:color w:val="auto"/>
        <w:position w:val="2"/>
        <w:sz w:val="18"/>
      </w:rPr>
    </w:lvl>
    <w:lvl w:ilvl="2">
      <w:start w:val="1"/>
      <w:numFmt w:val="bullet"/>
      <w:lvlText w:val="–"/>
      <w:lvlJc w:val="left"/>
      <w:pPr>
        <w:tabs>
          <w:tab w:val="num" w:pos="1021"/>
        </w:tabs>
        <w:ind w:left="1021" w:hanging="341"/>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7E21D8C"/>
    <w:multiLevelType w:val="multilevel"/>
    <w:tmpl w:val="D0E0D7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B2573F"/>
    <w:multiLevelType w:val="multilevel"/>
    <w:tmpl w:val="5FB2AFCA"/>
    <w:name w:val="MyListNumbering"/>
    <w:lvl w:ilvl="0">
      <w:start w:val="1"/>
      <w:numFmt w:val="decimal"/>
      <w:lvlText w:val="(%1)"/>
      <w:lvlJc w:val="left"/>
      <w:pPr>
        <w:tabs>
          <w:tab w:val="num" w:pos="340"/>
        </w:tabs>
        <w:ind w:left="340" w:hanging="340"/>
      </w:pPr>
      <w:rPr>
        <w:rFonts w:hint="default"/>
        <w:spacing w:val="-10"/>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4" w15:restartNumberingAfterBreak="0">
    <w:nsid w:val="11EC4992"/>
    <w:multiLevelType w:val="multilevel"/>
    <w:tmpl w:val="FD707BE2"/>
    <w:name w:val="Alpha List"/>
    <w:lvl w:ilvl="0">
      <w:start w:val="1"/>
      <w:numFmt w:val="lowerLetter"/>
      <w:lvlText w:val="(%1)"/>
      <w:lvlJc w:val="left"/>
      <w:pPr>
        <w:tabs>
          <w:tab w:val="num" w:pos="397"/>
        </w:tabs>
        <w:ind w:left="397" w:hanging="397"/>
      </w:pPr>
      <w:rPr>
        <w:rFonts w:hint="default"/>
        <w:color w:val="auto"/>
      </w:rPr>
    </w:lvl>
    <w:lvl w:ilvl="1">
      <w:start w:val="1"/>
      <w:numFmt w:val="lowerRoman"/>
      <w:lvlText w:val="(%2)"/>
      <w:lvlJc w:val="left"/>
      <w:pPr>
        <w:tabs>
          <w:tab w:val="num" w:pos="794"/>
        </w:tabs>
        <w:ind w:left="794" w:hanging="397"/>
      </w:pPr>
      <w:rPr>
        <w:rFonts w:hint="default"/>
      </w:rPr>
    </w:lvl>
    <w:lvl w:ilvl="2">
      <w:start w:val="1"/>
      <w:numFmt w:val="upperLetter"/>
      <w:lvlText w:val="(%3)"/>
      <w:lvlJc w:val="left"/>
      <w:pPr>
        <w:tabs>
          <w:tab w:val="num" w:pos="1191"/>
        </w:tabs>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15E41210"/>
    <w:multiLevelType w:val="multilevel"/>
    <w:tmpl w:val="7A7E9CE2"/>
    <w:name w:val="Warning"/>
    <w:lvl w:ilvl="0">
      <w:start w:val="1"/>
      <w:numFmt w:val="none"/>
      <w:lvlText w:val="warning"/>
      <w:lvlJc w:val="left"/>
      <w:pPr>
        <w:tabs>
          <w:tab w:val="num" w:pos="1134"/>
        </w:tabs>
        <w:ind w:left="1134" w:hanging="1134"/>
      </w:pPr>
      <w:rPr>
        <w:rFonts w:hint="default"/>
        <w:b/>
        <w:i w:val="0"/>
        <w:caps/>
        <w:color w:val="FF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4A695C"/>
    <w:multiLevelType w:val="multilevel"/>
    <w:tmpl w:val="8C48371A"/>
    <w:name w:val="TableBullets"/>
    <w:lvl w:ilvl="0">
      <w:start w:val="1"/>
      <w:numFmt w:val="bullet"/>
      <w:lvlText w:val="•"/>
      <w:lvlJc w:val="left"/>
      <w:pPr>
        <w:tabs>
          <w:tab w:val="num" w:pos="284"/>
        </w:tabs>
        <w:ind w:left="284" w:hanging="284"/>
      </w:pPr>
      <w:rPr>
        <w:rFonts w:ascii="Calibri" w:hAnsi="Calibri" w:hint="default"/>
        <w:color w:val="000000" w:themeColor="text1"/>
        <w:position w:val="0"/>
        <w:sz w:val="22"/>
        <w:szCs w:val="12"/>
      </w:rPr>
    </w:lvl>
    <w:lvl w:ilvl="1">
      <w:start w:val="1"/>
      <w:numFmt w:val="bullet"/>
      <w:lvlText w:val="–"/>
      <w:lvlJc w:val="left"/>
      <w:pPr>
        <w:tabs>
          <w:tab w:val="num" w:pos="567"/>
        </w:tabs>
        <w:ind w:left="568" w:hanging="284"/>
      </w:pPr>
      <w:rPr>
        <w:rFonts w:ascii="Arial" w:hAnsi="Arial" w:hint="default"/>
        <w:b w:val="0"/>
        <w:i w:val="0"/>
        <w:color w:val="000000" w:themeColor="text1"/>
        <w:sz w:val="18"/>
        <w:szCs w:val="18"/>
      </w:rPr>
    </w:lvl>
    <w:lvl w:ilvl="2">
      <w:start w:val="1"/>
      <w:numFmt w:val="bullet"/>
      <w:lvlText w:val="»"/>
      <w:lvlJc w:val="left"/>
      <w:pPr>
        <w:tabs>
          <w:tab w:val="num" w:pos="851"/>
        </w:tabs>
        <w:ind w:left="852" w:hanging="284"/>
      </w:pPr>
      <w:rPr>
        <w:rFonts w:ascii="Calibri" w:hAnsi="Calibri" w:hint="default"/>
        <w:color w:val="000000" w:themeColor="text1"/>
      </w:rPr>
    </w:lvl>
    <w:lvl w:ilvl="3">
      <w:start w:val="1"/>
      <w:numFmt w:val="none"/>
      <w:lvlText w:val=""/>
      <w:lvlJc w:val="left"/>
      <w:pPr>
        <w:tabs>
          <w:tab w:val="num" w:pos="1192"/>
        </w:tabs>
        <w:ind w:left="1136" w:hanging="284"/>
      </w:pPr>
      <w:rPr>
        <w:rFonts w:hint="default"/>
      </w:rPr>
    </w:lvl>
    <w:lvl w:ilvl="4">
      <w:start w:val="1"/>
      <w:numFmt w:val="none"/>
      <w:lvlText w:val=""/>
      <w:lvlJc w:val="left"/>
      <w:pPr>
        <w:tabs>
          <w:tab w:val="num" w:pos="1476"/>
        </w:tabs>
        <w:ind w:left="1420" w:hanging="284"/>
      </w:pPr>
      <w:rPr>
        <w:rFonts w:hint="default"/>
      </w:rPr>
    </w:lvl>
    <w:lvl w:ilvl="5">
      <w:start w:val="1"/>
      <w:numFmt w:val="none"/>
      <w:lvlText w:val=""/>
      <w:lvlJc w:val="left"/>
      <w:pPr>
        <w:tabs>
          <w:tab w:val="num" w:pos="1760"/>
        </w:tabs>
        <w:ind w:left="1704" w:hanging="284"/>
      </w:pPr>
      <w:rPr>
        <w:rFonts w:hint="default"/>
      </w:rPr>
    </w:lvl>
    <w:lvl w:ilvl="6">
      <w:start w:val="1"/>
      <w:numFmt w:val="none"/>
      <w:lvlText w:val=""/>
      <w:lvlJc w:val="left"/>
      <w:pPr>
        <w:tabs>
          <w:tab w:val="num" w:pos="2044"/>
        </w:tabs>
        <w:ind w:left="1988" w:hanging="284"/>
      </w:pPr>
      <w:rPr>
        <w:rFonts w:hint="default"/>
      </w:rPr>
    </w:lvl>
    <w:lvl w:ilvl="7">
      <w:start w:val="1"/>
      <w:numFmt w:val="none"/>
      <w:lvlText w:val=""/>
      <w:lvlJc w:val="left"/>
      <w:pPr>
        <w:tabs>
          <w:tab w:val="num" w:pos="2328"/>
        </w:tabs>
        <w:ind w:left="2272" w:hanging="284"/>
      </w:pPr>
      <w:rPr>
        <w:rFonts w:hint="default"/>
      </w:rPr>
    </w:lvl>
    <w:lvl w:ilvl="8">
      <w:start w:val="1"/>
      <w:numFmt w:val="none"/>
      <w:lvlText w:val=""/>
      <w:lvlJc w:val="left"/>
      <w:pPr>
        <w:tabs>
          <w:tab w:val="num" w:pos="2612"/>
        </w:tabs>
        <w:ind w:left="2556" w:hanging="284"/>
      </w:pPr>
      <w:rPr>
        <w:rFonts w:hint="default"/>
      </w:rPr>
    </w:lvl>
  </w:abstractNum>
  <w:abstractNum w:abstractNumId="7" w15:restartNumberingAfterBreak="0">
    <w:nsid w:val="217071B5"/>
    <w:multiLevelType w:val="multilevel"/>
    <w:tmpl w:val="183C21C0"/>
    <w:name w:val="ListBullets"/>
    <w:lvl w:ilvl="0">
      <w:start w:val="1"/>
      <w:numFmt w:val="bullet"/>
      <w:lvlRestart w:val="0"/>
      <w:pStyle w:val="ListBullet"/>
      <w:lvlText w:val="•"/>
      <w:lvlJc w:val="left"/>
      <w:pPr>
        <w:tabs>
          <w:tab w:val="num" w:pos="227"/>
        </w:tabs>
        <w:ind w:left="227" w:hanging="227"/>
      </w:pPr>
      <w:rPr>
        <w:rFonts w:ascii="Arial" w:hAnsi="Arial" w:hint="default"/>
        <w:color w:val="000000" w:themeColor="text1"/>
        <w:sz w:val="22"/>
      </w:rPr>
    </w:lvl>
    <w:lvl w:ilvl="1">
      <w:start w:val="1"/>
      <w:numFmt w:val="bullet"/>
      <w:pStyle w:val="ListBullet2"/>
      <w:lvlText w:val="–"/>
      <w:lvlJc w:val="left"/>
      <w:pPr>
        <w:tabs>
          <w:tab w:val="num" w:pos="454"/>
        </w:tabs>
        <w:ind w:left="454" w:hanging="227"/>
      </w:pPr>
      <w:rPr>
        <w:rFonts w:ascii="Arial" w:hAnsi="Arial" w:hint="default"/>
        <w:color w:val="000000" w:themeColor="text1"/>
      </w:rPr>
    </w:lvl>
    <w:lvl w:ilvl="2">
      <w:start w:val="1"/>
      <w:numFmt w:val="bullet"/>
      <w:pStyle w:val="ListBullet3"/>
      <w:lvlText w:val="»"/>
      <w:lvlJc w:val="left"/>
      <w:pPr>
        <w:tabs>
          <w:tab w:val="num" w:pos="680"/>
        </w:tabs>
        <w:ind w:left="680" w:hanging="226"/>
      </w:pPr>
      <w:rPr>
        <w:rFonts w:ascii="Calibri" w:hAnsi="Calibri" w:hint="default"/>
        <w:color w:val="000000" w:themeColor="text1"/>
      </w:rPr>
    </w:lvl>
    <w:lvl w:ilvl="3">
      <w:start w:val="1"/>
      <w:numFmt w:val="bullet"/>
      <w:pStyle w:val="ListBullet4"/>
      <w:lvlText w:val="–"/>
      <w:lvlJc w:val="left"/>
      <w:pPr>
        <w:tabs>
          <w:tab w:val="num" w:pos="907"/>
        </w:tabs>
        <w:ind w:left="907" w:hanging="227"/>
      </w:pPr>
      <w:rPr>
        <w:rFonts w:ascii="Arial" w:hAnsi="Arial" w:hint="default"/>
        <w:color w:val="000000" w:themeColor="text1"/>
      </w:rPr>
    </w:lvl>
    <w:lvl w:ilvl="4">
      <w:start w:val="1"/>
      <w:numFmt w:val="bullet"/>
      <w:pStyle w:val="ListBullet5"/>
      <w:lvlText w:val="–"/>
      <w:lvlJc w:val="left"/>
      <w:pPr>
        <w:tabs>
          <w:tab w:val="num" w:pos="1134"/>
        </w:tabs>
        <w:ind w:left="1134" w:hanging="227"/>
      </w:pPr>
      <w:rPr>
        <w:rFonts w:ascii="Arial" w:hAnsi="Arial" w:hint="default"/>
        <w:color w:val="000000" w:themeColor="text1"/>
      </w:rPr>
    </w:lvl>
    <w:lvl w:ilvl="5">
      <w:start w:val="1"/>
      <w:numFmt w:val="bullet"/>
      <w:lvlText w:val=""/>
      <w:lvlJc w:val="left"/>
      <w:pPr>
        <w:tabs>
          <w:tab w:val="num" w:pos="1874"/>
        </w:tabs>
        <w:ind w:left="2724" w:hanging="454"/>
      </w:pPr>
      <w:rPr>
        <w:rFonts w:ascii="Wingdings" w:hAnsi="Wingdings" w:hint="default"/>
      </w:rPr>
    </w:lvl>
    <w:lvl w:ilvl="6">
      <w:start w:val="1"/>
      <w:numFmt w:val="bullet"/>
      <w:lvlText w:val=""/>
      <w:lvlJc w:val="left"/>
      <w:pPr>
        <w:tabs>
          <w:tab w:val="num" w:pos="2158"/>
        </w:tabs>
        <w:ind w:left="3178" w:hanging="454"/>
      </w:pPr>
      <w:rPr>
        <w:rFonts w:ascii="Symbol" w:hAnsi="Symbol" w:hint="default"/>
      </w:rPr>
    </w:lvl>
    <w:lvl w:ilvl="7">
      <w:start w:val="1"/>
      <w:numFmt w:val="bullet"/>
      <w:lvlText w:val="o"/>
      <w:lvlJc w:val="left"/>
      <w:pPr>
        <w:tabs>
          <w:tab w:val="num" w:pos="2442"/>
        </w:tabs>
        <w:ind w:left="3632" w:hanging="454"/>
      </w:pPr>
      <w:rPr>
        <w:rFonts w:ascii="Courier New" w:hAnsi="Courier New" w:hint="default"/>
      </w:rPr>
    </w:lvl>
    <w:lvl w:ilvl="8">
      <w:start w:val="1"/>
      <w:numFmt w:val="bullet"/>
      <w:lvlText w:val=""/>
      <w:lvlJc w:val="left"/>
      <w:pPr>
        <w:tabs>
          <w:tab w:val="num" w:pos="2726"/>
        </w:tabs>
        <w:ind w:left="4086" w:hanging="454"/>
      </w:pPr>
      <w:rPr>
        <w:rFonts w:ascii="Wingdings" w:hAnsi="Wingdings" w:hint="default"/>
      </w:rPr>
    </w:lvl>
  </w:abstractNum>
  <w:abstractNum w:abstractNumId="8"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9" w15:restartNumberingAfterBreak="0">
    <w:nsid w:val="2C72580B"/>
    <w:multiLevelType w:val="multilevel"/>
    <w:tmpl w:val="463E0F0C"/>
    <w:name w:val="PullOutBoxNumbering"/>
    <w:lvl w:ilvl="0">
      <w:start w:val="1"/>
      <w:numFmt w:val="decimal"/>
      <w:pStyle w:val="PullOutBoxNumbered"/>
      <w:lvlText w:val="%1."/>
      <w:lvlJc w:val="left"/>
      <w:pPr>
        <w:ind w:left="680" w:hanging="396"/>
      </w:pPr>
      <w:rPr>
        <w:rFonts w:hint="default"/>
        <w:b w:val="0"/>
        <w:i w:val="0"/>
        <w:color w:val="000000" w:themeColor="text1"/>
      </w:rPr>
    </w:lvl>
    <w:lvl w:ilvl="1">
      <w:start w:val="1"/>
      <w:numFmt w:val="lowerLetter"/>
      <w:lvlText w:val="%2."/>
      <w:lvlJc w:val="left"/>
      <w:pPr>
        <w:ind w:left="567" w:hanging="283"/>
      </w:pPr>
      <w:rPr>
        <w:rFonts w:hint="default"/>
        <w:b w:val="0"/>
        <w:i w:val="0"/>
        <w:color w:val="000000" w:themeColor="text1"/>
      </w:rPr>
    </w:lvl>
    <w:lvl w:ilvl="2">
      <w:start w:val="1"/>
      <w:numFmt w:val="lowerRoman"/>
      <w:lvlText w:val="%3."/>
      <w:lvlJc w:val="left"/>
      <w:pPr>
        <w:ind w:left="567" w:hanging="283"/>
      </w:pPr>
      <w:rPr>
        <w:rFonts w:hint="default"/>
        <w:b w:val="0"/>
        <w:i w:val="0"/>
        <w:color w:val="000000" w:themeColor="text1"/>
        <w:position w:val="2"/>
        <w:sz w:val="20"/>
      </w:rPr>
    </w:lvl>
    <w:lvl w:ilvl="3">
      <w:start w:val="1"/>
      <w:numFmt w:val="none"/>
      <w:lvlText w:val=""/>
      <w:lvlJc w:val="left"/>
      <w:pPr>
        <w:tabs>
          <w:tab w:val="num" w:pos="1700"/>
        </w:tabs>
        <w:ind w:left="567" w:hanging="283"/>
      </w:pPr>
      <w:rPr>
        <w:rFonts w:hint="default"/>
      </w:rPr>
    </w:lvl>
    <w:lvl w:ilvl="4">
      <w:start w:val="1"/>
      <w:numFmt w:val="none"/>
      <w:lvlText w:val=""/>
      <w:lvlJc w:val="left"/>
      <w:pPr>
        <w:tabs>
          <w:tab w:val="num" w:pos="2040"/>
        </w:tabs>
        <w:ind w:left="567" w:hanging="283"/>
      </w:pPr>
      <w:rPr>
        <w:rFonts w:hint="default"/>
      </w:rPr>
    </w:lvl>
    <w:lvl w:ilvl="5">
      <w:start w:val="1"/>
      <w:numFmt w:val="none"/>
      <w:lvlText w:val=""/>
      <w:lvlJc w:val="left"/>
      <w:pPr>
        <w:tabs>
          <w:tab w:val="num" w:pos="2380"/>
        </w:tabs>
        <w:ind w:left="567" w:hanging="283"/>
      </w:pPr>
      <w:rPr>
        <w:rFonts w:hint="default"/>
      </w:rPr>
    </w:lvl>
    <w:lvl w:ilvl="6">
      <w:start w:val="1"/>
      <w:numFmt w:val="none"/>
      <w:lvlText w:val=""/>
      <w:lvlJc w:val="left"/>
      <w:pPr>
        <w:tabs>
          <w:tab w:val="num" w:pos="2720"/>
        </w:tabs>
        <w:ind w:left="567" w:hanging="283"/>
      </w:pPr>
      <w:rPr>
        <w:rFonts w:hint="default"/>
      </w:rPr>
    </w:lvl>
    <w:lvl w:ilvl="7">
      <w:start w:val="1"/>
      <w:numFmt w:val="none"/>
      <w:lvlText w:val=""/>
      <w:lvlJc w:val="left"/>
      <w:pPr>
        <w:tabs>
          <w:tab w:val="num" w:pos="3060"/>
        </w:tabs>
        <w:ind w:left="567" w:hanging="283"/>
      </w:pPr>
      <w:rPr>
        <w:rFonts w:hint="default"/>
      </w:rPr>
    </w:lvl>
    <w:lvl w:ilvl="8">
      <w:start w:val="1"/>
      <w:numFmt w:val="none"/>
      <w:lvlText w:val=""/>
      <w:lvlJc w:val="left"/>
      <w:pPr>
        <w:tabs>
          <w:tab w:val="num" w:pos="3400"/>
        </w:tabs>
        <w:ind w:left="567" w:hanging="283"/>
      </w:pPr>
      <w:rPr>
        <w:rFonts w:hint="default"/>
      </w:rPr>
    </w:lvl>
  </w:abstractNum>
  <w:abstractNum w:abstractNumId="10" w15:restartNumberingAfterBreak="0">
    <w:nsid w:val="315672CA"/>
    <w:multiLevelType w:val="multilevel"/>
    <w:tmpl w:val="F9C0EF30"/>
    <w:name w:val="Table Numbering"/>
    <w:lvl w:ilvl="0">
      <w:start w:val="1"/>
      <w:numFmt w:val="decimal"/>
      <w:lvlText w:val="%1."/>
      <w:lvlJc w:val="left"/>
      <w:pPr>
        <w:tabs>
          <w:tab w:val="num" w:pos="312"/>
        </w:tabs>
        <w:ind w:left="312" w:hanging="284"/>
      </w:pPr>
      <w:rPr>
        <w:rFonts w:hint="default"/>
        <w:color w:val="252420"/>
      </w:rPr>
    </w:lvl>
    <w:lvl w:ilvl="1">
      <w:start w:val="1"/>
      <w:numFmt w:val="lowerLetter"/>
      <w:lvlText w:val="%2."/>
      <w:lvlJc w:val="left"/>
      <w:pPr>
        <w:tabs>
          <w:tab w:val="num" w:pos="595"/>
        </w:tabs>
        <w:ind w:left="595" w:hanging="283"/>
      </w:pPr>
      <w:rPr>
        <w:rFonts w:hint="default"/>
        <w:color w:val="252420"/>
      </w:rPr>
    </w:lvl>
    <w:lvl w:ilvl="2">
      <w:start w:val="1"/>
      <w:numFmt w:val="lowerRoman"/>
      <w:lvlText w:val="%3."/>
      <w:lvlJc w:val="left"/>
      <w:pPr>
        <w:tabs>
          <w:tab w:val="num" w:pos="879"/>
        </w:tabs>
        <w:ind w:left="879" w:hanging="284"/>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1" w15:restartNumberingAfterBreak="0">
    <w:nsid w:val="36CB565A"/>
    <w:multiLevelType w:val="multilevel"/>
    <w:tmpl w:val="E4D8BAB8"/>
    <w:name w:val="Headings"/>
    <w:lvl w:ilvl="0">
      <w:start w:val="1"/>
      <w:numFmt w:val="decimal"/>
      <w:suff w:val="nothing"/>
      <w:lvlText w:val="Section %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D246EF"/>
    <w:multiLevelType w:val="multilevel"/>
    <w:tmpl w:val="2C32E76A"/>
    <w:name w:val="OakeswellHeadings2"/>
    <w:lvl w:ilvl="0">
      <w:numFmt w:val="bullet"/>
      <w:pStyle w:val="PullOutBoxBullet"/>
      <w:lvlText w:val="•"/>
      <w:lvlJc w:val="left"/>
      <w:pPr>
        <w:ind w:left="567" w:hanging="283"/>
      </w:pPr>
      <w:rPr>
        <w:rFonts w:ascii="Arial" w:hAnsi="Arial" w:hint="default"/>
        <w:lang w:val="en-US" w:eastAsia="en-US" w:bidi="en-US"/>
      </w:rPr>
    </w:lvl>
    <w:lvl w:ilvl="1">
      <w:start w:val="1"/>
      <w:numFmt w:val="bullet"/>
      <w:lvlText w:val="o"/>
      <w:lvlJc w:val="left"/>
      <w:pPr>
        <w:ind w:left="567" w:hanging="283"/>
      </w:pPr>
      <w:rPr>
        <w:rFonts w:ascii="Courier New" w:hAnsi="Courier New" w:cs="Courier New" w:hint="default"/>
      </w:rPr>
    </w:lvl>
    <w:lvl w:ilvl="2">
      <w:start w:val="1"/>
      <w:numFmt w:val="bullet"/>
      <w:lvlText w:val=""/>
      <w:lvlJc w:val="left"/>
      <w:pPr>
        <w:ind w:left="567" w:hanging="283"/>
      </w:pPr>
      <w:rPr>
        <w:rFonts w:ascii="Wingdings" w:hAnsi="Wingdings" w:hint="default"/>
      </w:rPr>
    </w:lvl>
    <w:lvl w:ilvl="3">
      <w:start w:val="1"/>
      <w:numFmt w:val="bullet"/>
      <w:lvlText w:val=""/>
      <w:lvlJc w:val="left"/>
      <w:pPr>
        <w:ind w:left="567" w:hanging="283"/>
      </w:pPr>
      <w:rPr>
        <w:rFonts w:ascii="Symbol" w:hAnsi="Symbol" w:hint="default"/>
      </w:rPr>
    </w:lvl>
    <w:lvl w:ilvl="4">
      <w:start w:val="1"/>
      <w:numFmt w:val="bullet"/>
      <w:lvlText w:val="o"/>
      <w:lvlJc w:val="left"/>
      <w:pPr>
        <w:ind w:left="567" w:hanging="283"/>
      </w:pPr>
      <w:rPr>
        <w:rFonts w:ascii="Courier New" w:hAnsi="Courier New" w:cs="Courier New" w:hint="default"/>
      </w:rPr>
    </w:lvl>
    <w:lvl w:ilvl="5">
      <w:start w:val="1"/>
      <w:numFmt w:val="bullet"/>
      <w:lvlText w:val=""/>
      <w:lvlJc w:val="left"/>
      <w:pPr>
        <w:ind w:left="567" w:hanging="283"/>
      </w:pPr>
      <w:rPr>
        <w:rFonts w:ascii="Wingdings" w:hAnsi="Wingdings" w:hint="default"/>
      </w:rPr>
    </w:lvl>
    <w:lvl w:ilvl="6">
      <w:start w:val="1"/>
      <w:numFmt w:val="bullet"/>
      <w:lvlText w:val=""/>
      <w:lvlJc w:val="left"/>
      <w:pPr>
        <w:ind w:left="567" w:hanging="283"/>
      </w:pPr>
      <w:rPr>
        <w:rFonts w:ascii="Symbol" w:hAnsi="Symbol" w:hint="default"/>
      </w:rPr>
    </w:lvl>
    <w:lvl w:ilvl="7">
      <w:start w:val="1"/>
      <w:numFmt w:val="bullet"/>
      <w:lvlText w:val="o"/>
      <w:lvlJc w:val="left"/>
      <w:pPr>
        <w:ind w:left="567" w:hanging="283"/>
      </w:pPr>
      <w:rPr>
        <w:rFonts w:ascii="Courier New" w:hAnsi="Courier New" w:cs="Courier New" w:hint="default"/>
      </w:rPr>
    </w:lvl>
    <w:lvl w:ilvl="8">
      <w:start w:val="1"/>
      <w:numFmt w:val="bullet"/>
      <w:lvlText w:val=""/>
      <w:lvlJc w:val="left"/>
      <w:pPr>
        <w:ind w:left="567" w:hanging="283"/>
      </w:pPr>
      <w:rPr>
        <w:rFonts w:ascii="Wingdings" w:hAnsi="Wingdings" w:hint="default"/>
      </w:rPr>
    </w:lvl>
  </w:abstractNum>
  <w:abstractNum w:abstractNumId="13" w15:restartNumberingAfterBreak="0">
    <w:nsid w:val="372B3323"/>
    <w:multiLevelType w:val="multilevel"/>
    <w:tmpl w:val="1DC8DA2E"/>
    <w:name w:val="OakeswellHeadings"/>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none"/>
      <w:suff w:val="nothing"/>
      <w:lvlText w:val=""/>
      <w:lvlJc w:val="left"/>
      <w:pPr>
        <w:ind w:left="0" w:firstLine="0"/>
      </w:pPr>
      <w:rPr>
        <w:rFonts w:hint="default"/>
        <w:spacing w:val="0"/>
      </w:rPr>
    </w:lvl>
    <w:lvl w:ilvl="4">
      <w:start w:val="1"/>
      <w:numFmt w:val="none"/>
      <w:suff w:val="nothing"/>
      <w:lvlText w:val=""/>
      <w:lvlJc w:val="left"/>
      <w:pPr>
        <w:ind w:left="0" w:firstLine="0"/>
      </w:pPr>
      <w:rPr>
        <w:rFonts w:hint="default"/>
      </w:rPr>
    </w:lvl>
    <w:lvl w:ilvl="5">
      <w:start w:val="1"/>
      <w:numFmt w:val="lowerRoman"/>
      <w:lvlText w:val="(%6)"/>
      <w:lvlJc w:val="left"/>
      <w:pPr>
        <w:tabs>
          <w:tab w:val="num" w:pos="1134"/>
        </w:tabs>
        <w:ind w:left="1134"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723AD4"/>
    <w:multiLevelType w:val="multilevel"/>
    <w:tmpl w:val="A60805B0"/>
    <w:name w:val="PullOutList"/>
    <w:lvl w:ilvl="0">
      <w:start w:val="1"/>
      <w:numFmt w:val="bullet"/>
      <w:lvlText w:val=""/>
      <w:lvlJc w:val="left"/>
      <w:pPr>
        <w:ind w:left="227" w:hanging="227"/>
      </w:pPr>
      <w:rPr>
        <w:rFonts w:ascii="Wingdings" w:hAnsi="Wingdings" w:hint="default"/>
        <w:color w:val="C45911" w:themeColor="accent2" w:themeShade="BF"/>
        <w:sz w:val="22"/>
      </w:rPr>
    </w:lvl>
    <w:lvl w:ilvl="1">
      <w:start w:val="1"/>
      <w:numFmt w:val="bullet"/>
      <w:lvlText w:val="–"/>
      <w:lvlJc w:val="left"/>
      <w:pPr>
        <w:ind w:left="454" w:hanging="227"/>
      </w:pPr>
      <w:rPr>
        <w:rFonts w:ascii="Arial" w:hAnsi="Arial" w:hint="default"/>
        <w:color w:val="000000" w:themeColor="text1"/>
      </w:rPr>
    </w:lvl>
    <w:lvl w:ilvl="2">
      <w:start w:val="1"/>
      <w:numFmt w:val="bullet"/>
      <w:lvlText w:val="»"/>
      <w:lvlJc w:val="left"/>
      <w:pPr>
        <w:ind w:left="681" w:hanging="227"/>
      </w:pPr>
      <w:rPr>
        <w:rFonts w:ascii="Calibri" w:hAnsi="Calibri" w:hint="default"/>
        <w:color w:val="000000" w:themeColor="text1"/>
      </w:rPr>
    </w:lvl>
    <w:lvl w:ilvl="3">
      <w:start w:val="1"/>
      <w:numFmt w:val="none"/>
      <w:lvlText w:val=""/>
      <w:lvlJc w:val="left"/>
      <w:pPr>
        <w:tabs>
          <w:tab w:val="num" w:pos="1700"/>
        </w:tabs>
        <w:ind w:left="908" w:hanging="227"/>
      </w:pPr>
      <w:rPr>
        <w:rFonts w:hint="default"/>
      </w:rPr>
    </w:lvl>
    <w:lvl w:ilvl="4">
      <w:start w:val="1"/>
      <w:numFmt w:val="none"/>
      <w:lvlText w:val=""/>
      <w:lvlJc w:val="left"/>
      <w:pPr>
        <w:tabs>
          <w:tab w:val="num" w:pos="2040"/>
        </w:tabs>
        <w:ind w:left="1135" w:hanging="227"/>
      </w:pPr>
      <w:rPr>
        <w:rFonts w:hint="default"/>
      </w:rPr>
    </w:lvl>
    <w:lvl w:ilvl="5">
      <w:start w:val="1"/>
      <w:numFmt w:val="none"/>
      <w:lvlText w:val=""/>
      <w:lvlJc w:val="left"/>
      <w:pPr>
        <w:tabs>
          <w:tab w:val="num" w:pos="2380"/>
        </w:tabs>
        <w:ind w:left="1362" w:hanging="227"/>
      </w:pPr>
      <w:rPr>
        <w:rFonts w:hint="default"/>
      </w:rPr>
    </w:lvl>
    <w:lvl w:ilvl="6">
      <w:start w:val="1"/>
      <w:numFmt w:val="none"/>
      <w:lvlText w:val=""/>
      <w:lvlJc w:val="left"/>
      <w:pPr>
        <w:tabs>
          <w:tab w:val="num" w:pos="2720"/>
        </w:tabs>
        <w:ind w:left="1589" w:hanging="227"/>
      </w:pPr>
      <w:rPr>
        <w:rFonts w:hint="default"/>
      </w:rPr>
    </w:lvl>
    <w:lvl w:ilvl="7">
      <w:start w:val="1"/>
      <w:numFmt w:val="none"/>
      <w:lvlText w:val=""/>
      <w:lvlJc w:val="left"/>
      <w:pPr>
        <w:tabs>
          <w:tab w:val="num" w:pos="3060"/>
        </w:tabs>
        <w:ind w:left="1816" w:hanging="227"/>
      </w:pPr>
      <w:rPr>
        <w:rFonts w:hint="default"/>
      </w:rPr>
    </w:lvl>
    <w:lvl w:ilvl="8">
      <w:start w:val="1"/>
      <w:numFmt w:val="none"/>
      <w:lvlText w:val=""/>
      <w:lvlJc w:val="left"/>
      <w:pPr>
        <w:tabs>
          <w:tab w:val="num" w:pos="3400"/>
        </w:tabs>
        <w:ind w:left="2043" w:hanging="227"/>
      </w:pPr>
      <w:rPr>
        <w:rFonts w:hint="default"/>
      </w:rPr>
    </w:lvl>
  </w:abstractNum>
  <w:abstractNum w:abstractNumId="15"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AEB0F0D"/>
    <w:multiLevelType w:val="multilevel"/>
    <w:tmpl w:val="7A7E9CE2"/>
    <w:name w:val="Caution22"/>
    <w:lvl w:ilvl="0">
      <w:start w:val="1"/>
      <w:numFmt w:val="none"/>
      <w:lvlText w:val="warning"/>
      <w:lvlJc w:val="left"/>
      <w:pPr>
        <w:tabs>
          <w:tab w:val="num" w:pos="1134"/>
        </w:tabs>
        <w:ind w:left="1134" w:hanging="1134"/>
      </w:pPr>
      <w:rPr>
        <w:rFonts w:hint="default"/>
        <w:b/>
        <w:i w:val="0"/>
        <w:caps/>
        <w:color w:val="FF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636683"/>
    <w:multiLevelType w:val="multilevel"/>
    <w:tmpl w:val="5474591E"/>
    <w:name w:val="WPHeadings"/>
    <w:lvl w:ilvl="0">
      <w:start w:val="1"/>
      <w:numFmt w:val="none"/>
      <w:lvlRestart w:val="0"/>
      <w:lvlText w:val="%1"/>
      <w:lvlJc w:val="left"/>
      <w:pPr>
        <w:ind w:left="0" w:firstLine="0"/>
      </w:pPr>
      <w:rPr>
        <w:rFonts w:hint="default"/>
      </w:rPr>
    </w:lvl>
    <w:lvl w:ilvl="1">
      <w:start w:val="1"/>
      <w:numFmt w:val="none"/>
      <w:lvlText w:val="%1"/>
      <w:lvlJc w:val="left"/>
      <w:pPr>
        <w:ind w:left="-32767" w:firstLine="32767"/>
      </w:pPr>
      <w:rPr>
        <w:rFonts w:hint="default"/>
      </w:rPr>
    </w:lvl>
    <w:lvl w:ilvl="2">
      <w:start w:val="1"/>
      <w:numFmt w:val="none"/>
      <w:lvlText w:val="%1"/>
      <w:lvlJc w:val="left"/>
      <w:pPr>
        <w:ind w:left="-32767" w:firstLine="32767"/>
      </w:pPr>
      <w:rPr>
        <w:rFonts w:hint="default"/>
      </w:rPr>
    </w:lvl>
    <w:lvl w:ilvl="3">
      <w:start w:val="1"/>
      <w:numFmt w:val="none"/>
      <w:suff w:val="nothing"/>
      <w:lvlText w:val=""/>
      <w:lvlJc w:val="left"/>
      <w:pPr>
        <w:ind w:left="0" w:firstLine="0"/>
      </w:pPr>
      <w:rPr>
        <w:rFonts w:hint="default"/>
        <w:spacing w:val="0"/>
      </w:rPr>
    </w:lvl>
    <w:lvl w:ilvl="4">
      <w:start w:val="1"/>
      <w:numFmt w:val="none"/>
      <w:suff w:val="nothing"/>
      <w:lvlText w:val=""/>
      <w:lvlJc w:val="left"/>
      <w:pPr>
        <w:ind w:left="0" w:firstLine="0"/>
      </w:pPr>
      <w:rPr>
        <w:rFonts w:hint="default"/>
      </w:rPr>
    </w:lvl>
    <w:lvl w:ilvl="5">
      <w:start w:val="1"/>
      <w:numFmt w:val="lowerRoman"/>
      <w:lvlText w:val="(%6)"/>
      <w:lvlJc w:val="left"/>
      <w:pPr>
        <w:tabs>
          <w:tab w:val="num" w:pos="1134"/>
        </w:tabs>
        <w:ind w:left="1134"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DA65BE2"/>
    <w:multiLevelType w:val="multilevel"/>
    <w:tmpl w:val="28362486"/>
    <w:name w:val="PullOutList2"/>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0" w15:restartNumberingAfterBreak="0">
    <w:nsid w:val="3ED8373F"/>
    <w:multiLevelType w:val="multilevel"/>
    <w:tmpl w:val="A60CB002"/>
    <w:name w:val="AlphaList"/>
    <w:lvl w:ilvl="0">
      <w:start w:val="1"/>
      <w:numFmt w:val="lowerLetter"/>
      <w:pStyle w:val="ListAlpha1"/>
      <w:lvlText w:val="%1)"/>
      <w:lvlJc w:val="left"/>
      <w:pPr>
        <w:ind w:left="454" w:hanging="454"/>
      </w:pPr>
      <w:rPr>
        <w:rFonts w:hint="default"/>
      </w:rPr>
    </w:lvl>
    <w:lvl w:ilvl="1">
      <w:start w:val="1"/>
      <w:numFmt w:val="lowerRoman"/>
      <w:pStyle w:val="ListAlpha2"/>
      <w:lvlText w:val="%2)"/>
      <w:lvlJc w:val="left"/>
      <w:pPr>
        <w:ind w:left="908" w:hanging="454"/>
      </w:pPr>
      <w:rPr>
        <w:rFonts w:hint="default"/>
      </w:rPr>
    </w:lvl>
    <w:lvl w:ilvl="2">
      <w:start w:val="1"/>
      <w:numFmt w:val="upperLetter"/>
      <w:pStyle w:val="ListAlpha3"/>
      <w:lvlText w:val="%3)"/>
      <w:lvlJc w:val="left"/>
      <w:pPr>
        <w:ind w:left="1362" w:hanging="454"/>
      </w:pPr>
      <w:rPr>
        <w:rFonts w:hint="default"/>
      </w:rPr>
    </w:lvl>
    <w:lvl w:ilvl="3">
      <w:start w:val="1"/>
      <w:numFmt w:val="upperRoman"/>
      <w:pStyle w:val="ListAlpha4"/>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C737292"/>
    <w:multiLevelType w:val="multilevel"/>
    <w:tmpl w:val="0C09001D"/>
    <w:name w:val="Caution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0540A9"/>
    <w:multiLevelType w:val="multilevel"/>
    <w:tmpl w:val="BB8ECC44"/>
    <w:name w:val="SDPAppendices"/>
    <w:lvl w:ilvl="0">
      <w:start w:val="1"/>
      <w:numFmt w:val="upperLetter"/>
      <w:suff w:val="nothing"/>
      <w:lvlText w:val="Appendix %1"/>
      <w:lvlJc w:val="left"/>
      <w:pPr>
        <w:ind w:left="0" w:firstLine="0"/>
      </w:pPr>
      <w:rPr>
        <w:rFonts w:hint="default"/>
        <w:b/>
        <w:i w:val="0"/>
        <w:color w:val="4472C4" w:themeColor="accent1"/>
        <w:sz w:val="96"/>
      </w:rPr>
    </w:lvl>
    <w:lvl w:ilvl="1">
      <w:start w:val="1"/>
      <w:numFmt w:val="decimal"/>
      <w:lvlText w:val="%1%2."/>
      <w:lvlJc w:val="left"/>
      <w:pPr>
        <w:tabs>
          <w:tab w:val="num" w:pos="907"/>
        </w:tabs>
        <w:ind w:left="907" w:hanging="907"/>
      </w:pPr>
      <w:rPr>
        <w:rFonts w:hint="default"/>
        <w:sz w:val="36"/>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907"/>
        </w:tabs>
        <w:ind w:left="907" w:hanging="907"/>
      </w:pPr>
      <w:rPr>
        <w:rFonts w:hint="default"/>
        <w:spacing w:val="0"/>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54B61F50"/>
    <w:name w:val="Atco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4BE0EF7"/>
    <w:multiLevelType w:val="multilevel"/>
    <w:tmpl w:val="CE1806B8"/>
    <w:name w:val="ETIUAppendices"/>
    <w:lvl w:ilvl="0">
      <w:start w:val="1"/>
      <w:numFmt w:val="upperLetter"/>
      <w:suff w:val="nothing"/>
      <w:lvlText w:val="Appendix %1"/>
      <w:lvlJc w:val="left"/>
      <w:pPr>
        <w:ind w:left="0" w:firstLine="0"/>
      </w:pPr>
      <w:rPr>
        <w:rFonts w:hint="default"/>
        <w:b/>
        <w:i w:val="0"/>
        <w:color w:val="C45911" w:themeColor="accent2" w:themeShade="BF"/>
        <w:sz w:val="24"/>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27" w15:restartNumberingAfterBreak="0">
    <w:nsid w:val="650257EE"/>
    <w:multiLevelType w:val="multilevel"/>
    <w:tmpl w:val="5CE67AA4"/>
    <w:name w:val="WPAppendices"/>
    <w:lvl w:ilvl="0">
      <w:start w:val="1"/>
      <w:numFmt w:val="upperLetter"/>
      <w:suff w:val="nothing"/>
      <w:lvlText w:val="Appendix %1"/>
      <w:lvlJc w:val="left"/>
      <w:pPr>
        <w:ind w:left="0" w:firstLine="0"/>
      </w:pPr>
      <w:rPr>
        <w:rFonts w:hint="default"/>
        <w:b/>
        <w:i w:val="0"/>
        <w:caps w:val="0"/>
        <w:color w:val="4472C4" w:themeColor="accent1"/>
        <w:sz w:val="24"/>
      </w:rPr>
    </w:lvl>
    <w:lvl w:ilvl="1">
      <w:start w:val="1"/>
      <w:numFmt w:val="decimal"/>
      <w:lvlText w:val="%1.%2"/>
      <w:lvlJc w:val="left"/>
      <w:pPr>
        <w:ind w:left="907" w:hanging="907"/>
      </w:pPr>
      <w:rPr>
        <w:rFonts w:hint="default"/>
        <w:color w:val="44546A" w:themeColor="text2"/>
      </w:rPr>
    </w:lvl>
    <w:lvl w:ilvl="2">
      <w:start w:val="1"/>
      <w:numFmt w:val="decimal"/>
      <w:lvlText w:val="%1.%2.%3"/>
      <w:lvlJc w:val="left"/>
      <w:pPr>
        <w:ind w:left="907" w:hanging="907"/>
      </w:pPr>
      <w:rPr>
        <w:rFonts w:hint="default"/>
        <w:color w:val="44546A" w:themeColor="text2"/>
      </w:rPr>
    </w:lvl>
    <w:lvl w:ilvl="3">
      <w:start w:val="1"/>
      <w:numFmt w:val="decimal"/>
      <w:lvlText w:val="%1.%2.%3.%4"/>
      <w:lvlJc w:val="left"/>
      <w:pPr>
        <w:ind w:left="907" w:hanging="907"/>
      </w:pPr>
      <w:rPr>
        <w:rFonts w:hint="default"/>
        <w:color w:val="44546A" w:themeColor="text2"/>
      </w:rPr>
    </w:lvl>
    <w:lvl w:ilvl="4">
      <w:start w:val="1"/>
      <w:numFmt w:val="decimal"/>
      <w:lvlText w:val="%1.%2.%3.%4.%5"/>
      <w:lvlJc w:val="left"/>
      <w:pPr>
        <w:ind w:left="1134" w:hanging="1134"/>
      </w:pPr>
      <w:rPr>
        <w:rFonts w:hint="default"/>
        <w:color w:val="44546A" w:themeColor="text2"/>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28" w15:restartNumberingAfterBreak="0">
    <w:nsid w:val="6BA7450D"/>
    <w:multiLevelType w:val="multilevel"/>
    <w:tmpl w:val="1B284622"/>
    <w:name w:val="ListNumbering"/>
    <w:lvl w:ilvl="0">
      <w:start w:val="1"/>
      <w:numFmt w:val="decimal"/>
      <w:lvlText w:val="%1."/>
      <w:lvlJc w:val="left"/>
      <w:pPr>
        <w:tabs>
          <w:tab w:val="num" w:pos="454"/>
        </w:tabs>
        <w:ind w:left="454" w:hanging="454"/>
      </w:pPr>
      <w:rPr>
        <w:rFonts w:hint="default"/>
        <w:b/>
        <w:i w:val="0"/>
        <w:color w:val="auto"/>
      </w:rPr>
    </w:lvl>
    <w:lvl w:ilvl="1">
      <w:start w:val="1"/>
      <w:numFmt w:val="lowerLetter"/>
      <w:lvlText w:val="%2."/>
      <w:lvlJc w:val="left"/>
      <w:pPr>
        <w:tabs>
          <w:tab w:val="num" w:pos="908"/>
        </w:tabs>
        <w:ind w:left="908" w:hanging="454"/>
      </w:pPr>
      <w:rPr>
        <w:rFonts w:hint="default"/>
        <w:b/>
        <w:i w:val="0"/>
        <w:color w:val="auto"/>
      </w:rPr>
    </w:lvl>
    <w:lvl w:ilvl="2">
      <w:start w:val="1"/>
      <w:numFmt w:val="lowerRoman"/>
      <w:lvlText w:val="%3."/>
      <w:lvlJc w:val="left"/>
      <w:pPr>
        <w:tabs>
          <w:tab w:val="num" w:pos="1362"/>
        </w:tabs>
        <w:ind w:left="1362" w:hanging="454"/>
      </w:pPr>
      <w:rPr>
        <w:rFonts w:hint="default"/>
        <w:b/>
        <w:i w:val="0"/>
        <w:color w:val="auto"/>
      </w:rPr>
    </w:lvl>
    <w:lvl w:ilvl="3">
      <w:start w:val="1"/>
      <w:numFmt w:val="upperLetter"/>
      <w:lvlText w:val="%4."/>
      <w:lvlJc w:val="left"/>
      <w:pPr>
        <w:tabs>
          <w:tab w:val="num" w:pos="1816"/>
        </w:tabs>
        <w:ind w:left="1816" w:hanging="454"/>
      </w:pPr>
      <w:rPr>
        <w:rFonts w:hint="default"/>
        <w:b/>
        <w:i w:val="0"/>
        <w:color w:val="auto"/>
      </w:rPr>
    </w:lvl>
    <w:lvl w:ilvl="4">
      <w:start w:val="1"/>
      <w:numFmt w:val="upperRoman"/>
      <w:lvlText w:val="%5."/>
      <w:lvlJc w:val="left"/>
      <w:pPr>
        <w:tabs>
          <w:tab w:val="num" w:pos="2270"/>
        </w:tabs>
        <w:ind w:left="2270" w:hanging="454"/>
      </w:pPr>
      <w:rPr>
        <w:rFonts w:hint="default"/>
        <w:b/>
        <w:i w:val="0"/>
        <w:color w:val="auto"/>
      </w:rPr>
    </w:lvl>
    <w:lvl w:ilvl="5">
      <w:start w:val="1"/>
      <w:numFmt w:val="lowerRoman"/>
      <w:lvlText w:val="%6."/>
      <w:lvlJc w:val="right"/>
      <w:pPr>
        <w:tabs>
          <w:tab w:val="num" w:pos="2724"/>
        </w:tabs>
        <w:ind w:left="2724" w:hanging="454"/>
      </w:pPr>
      <w:rPr>
        <w:rFonts w:hint="default"/>
      </w:rPr>
    </w:lvl>
    <w:lvl w:ilvl="6">
      <w:start w:val="1"/>
      <w:numFmt w:val="decimal"/>
      <w:lvlText w:val="%7."/>
      <w:lvlJc w:val="left"/>
      <w:pPr>
        <w:tabs>
          <w:tab w:val="num" w:pos="3178"/>
        </w:tabs>
        <w:ind w:left="3178" w:hanging="454"/>
      </w:pPr>
      <w:rPr>
        <w:rFonts w:hint="default"/>
      </w:rPr>
    </w:lvl>
    <w:lvl w:ilvl="7">
      <w:start w:val="1"/>
      <w:numFmt w:val="lowerLetter"/>
      <w:lvlText w:val="%8."/>
      <w:lvlJc w:val="left"/>
      <w:pPr>
        <w:tabs>
          <w:tab w:val="num" w:pos="3632"/>
        </w:tabs>
        <w:ind w:left="3632" w:hanging="454"/>
      </w:pPr>
      <w:rPr>
        <w:rFonts w:hint="default"/>
      </w:rPr>
    </w:lvl>
    <w:lvl w:ilvl="8">
      <w:start w:val="1"/>
      <w:numFmt w:val="lowerRoman"/>
      <w:lvlText w:val="%9."/>
      <w:lvlJc w:val="right"/>
      <w:pPr>
        <w:tabs>
          <w:tab w:val="num" w:pos="4086"/>
        </w:tabs>
        <w:ind w:left="4086" w:hanging="454"/>
      </w:pPr>
      <w:rPr>
        <w:rFonts w:hint="default"/>
      </w:rPr>
    </w:lvl>
  </w:abstractNum>
  <w:abstractNum w:abstractNumId="29" w15:restartNumberingAfterBreak="0">
    <w:nsid w:val="6D1D40AC"/>
    <w:multiLevelType w:val="multilevel"/>
    <w:tmpl w:val="B1020C4E"/>
    <w:name w:val="TableNumbering"/>
    <w:lvl w:ilvl="0">
      <w:start w:val="1"/>
      <w:numFmt w:val="decimal"/>
      <w:lvlText w:val="%1."/>
      <w:lvlJc w:val="left"/>
      <w:pPr>
        <w:tabs>
          <w:tab w:val="num" w:pos="340"/>
        </w:tabs>
        <w:ind w:left="340" w:hanging="340"/>
      </w:pPr>
      <w:rPr>
        <w:rFonts w:hint="default"/>
        <w:b w:val="0"/>
        <w:i w:val="0"/>
        <w:color w:val="000000" w:themeColor="text1"/>
      </w:rPr>
    </w:lvl>
    <w:lvl w:ilvl="1">
      <w:start w:val="1"/>
      <w:numFmt w:val="lowerLetter"/>
      <w:lvlText w:val="%2."/>
      <w:lvlJc w:val="left"/>
      <w:pPr>
        <w:tabs>
          <w:tab w:val="num" w:pos="680"/>
        </w:tabs>
        <w:ind w:left="680" w:hanging="340"/>
      </w:pPr>
      <w:rPr>
        <w:rFonts w:hint="default"/>
        <w:b w:val="0"/>
        <w:i w:val="0"/>
        <w:color w:val="000000" w:themeColor="text1"/>
      </w:rPr>
    </w:lvl>
    <w:lvl w:ilvl="2">
      <w:start w:val="1"/>
      <w:numFmt w:val="lowerRoman"/>
      <w:lvlText w:val="%3."/>
      <w:lvlJc w:val="left"/>
      <w:pPr>
        <w:tabs>
          <w:tab w:val="num" w:pos="1021"/>
        </w:tabs>
        <w:ind w:left="1020" w:hanging="340"/>
      </w:pPr>
      <w:rPr>
        <w:rFonts w:hint="default"/>
        <w:b w:val="0"/>
        <w:i w:val="0"/>
        <w:color w:val="000000" w:themeColor="text1"/>
      </w:rPr>
    </w:lvl>
    <w:lvl w:ilvl="3">
      <w:start w:val="1"/>
      <w:numFmt w:val="none"/>
      <w:lvlText w:val=""/>
      <w:lvlJc w:val="left"/>
      <w:pPr>
        <w:tabs>
          <w:tab w:val="num" w:pos="1417"/>
        </w:tabs>
        <w:ind w:left="1360" w:hanging="340"/>
      </w:pPr>
      <w:rPr>
        <w:rFonts w:hint="default"/>
      </w:rPr>
    </w:lvl>
    <w:lvl w:ilvl="4">
      <w:start w:val="1"/>
      <w:numFmt w:val="none"/>
      <w:lvlText w:val=""/>
      <w:lvlJc w:val="left"/>
      <w:pPr>
        <w:tabs>
          <w:tab w:val="num" w:pos="1757"/>
        </w:tabs>
        <w:ind w:left="1700" w:hanging="340"/>
      </w:pPr>
      <w:rPr>
        <w:rFonts w:hint="default"/>
      </w:rPr>
    </w:lvl>
    <w:lvl w:ilvl="5">
      <w:start w:val="1"/>
      <w:numFmt w:val="none"/>
      <w:lvlText w:val=""/>
      <w:lvlJc w:val="left"/>
      <w:pPr>
        <w:tabs>
          <w:tab w:val="num" w:pos="2097"/>
        </w:tabs>
        <w:ind w:left="2040" w:hanging="340"/>
      </w:pPr>
      <w:rPr>
        <w:rFonts w:hint="default"/>
      </w:rPr>
    </w:lvl>
    <w:lvl w:ilvl="6">
      <w:start w:val="1"/>
      <w:numFmt w:val="none"/>
      <w:lvlText w:val=""/>
      <w:lvlJc w:val="left"/>
      <w:pPr>
        <w:tabs>
          <w:tab w:val="num" w:pos="2437"/>
        </w:tabs>
        <w:ind w:left="2380" w:hanging="340"/>
      </w:pPr>
      <w:rPr>
        <w:rFonts w:hint="default"/>
      </w:rPr>
    </w:lvl>
    <w:lvl w:ilvl="7">
      <w:start w:val="1"/>
      <w:numFmt w:val="none"/>
      <w:lvlText w:val=""/>
      <w:lvlJc w:val="left"/>
      <w:pPr>
        <w:tabs>
          <w:tab w:val="num" w:pos="2777"/>
        </w:tabs>
        <w:ind w:left="2720" w:hanging="340"/>
      </w:pPr>
      <w:rPr>
        <w:rFonts w:hint="default"/>
      </w:rPr>
    </w:lvl>
    <w:lvl w:ilvl="8">
      <w:start w:val="1"/>
      <w:numFmt w:val="none"/>
      <w:lvlText w:val=""/>
      <w:lvlJc w:val="left"/>
      <w:pPr>
        <w:tabs>
          <w:tab w:val="num" w:pos="3117"/>
        </w:tabs>
        <w:ind w:left="3060" w:hanging="340"/>
      </w:pPr>
      <w:rPr>
        <w:rFonts w:hint="default"/>
      </w:rPr>
    </w:lvl>
  </w:abstractNum>
  <w:abstractNum w:abstractNumId="30" w15:restartNumberingAfterBreak="0">
    <w:nsid w:val="70250B03"/>
    <w:multiLevelType w:val="multilevel"/>
    <w:tmpl w:val="8168E026"/>
    <w:name w:val="QuoteBullets"/>
    <w:lvl w:ilvl="0">
      <w:start w:val="1"/>
      <w:numFmt w:val="bullet"/>
      <w:lvlText w:val="•"/>
      <w:lvlJc w:val="left"/>
      <w:pPr>
        <w:tabs>
          <w:tab w:val="num" w:pos="851"/>
        </w:tabs>
        <w:ind w:left="851" w:hanging="284"/>
      </w:pPr>
      <w:rPr>
        <w:rFonts w:ascii="Calibri" w:hAnsi="Calibri" w:hint="default"/>
        <w:color w:val="000000" w:themeColor="text1"/>
      </w:rPr>
    </w:lvl>
    <w:lvl w:ilvl="1">
      <w:start w:val="1"/>
      <w:numFmt w:val="bullet"/>
      <w:lvlText w:val="‒"/>
      <w:lvlJc w:val="left"/>
      <w:pPr>
        <w:tabs>
          <w:tab w:val="num" w:pos="1134"/>
        </w:tabs>
        <w:ind w:left="1134" w:hanging="283"/>
      </w:pPr>
      <w:rPr>
        <w:rFonts w:ascii="Calibri" w:hAnsi="Calibri" w:hint="default"/>
        <w:color w:val="000000" w:themeColor="text1"/>
      </w:rPr>
    </w:lvl>
    <w:lvl w:ilvl="2">
      <w:start w:val="1"/>
      <w:numFmt w:val="bullet"/>
      <w:lvlText w:val="‒"/>
      <w:lvlJc w:val="left"/>
      <w:pPr>
        <w:tabs>
          <w:tab w:val="num" w:pos="1418"/>
        </w:tabs>
        <w:ind w:left="1418" w:hanging="283"/>
      </w:pPr>
      <w:rPr>
        <w:rFonts w:ascii="Calibri" w:hAnsi="Calibri" w:hint="default"/>
        <w:color w:val="44546A"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7E735AF"/>
    <w:multiLevelType w:val="multilevel"/>
    <w:tmpl w:val="F0BA989E"/>
    <w:name w:val="MyListNumbering"/>
    <w:lvl w:ilvl="0">
      <w:start w:val="1"/>
      <w:numFmt w:val="decimal"/>
      <w:lvlRestart w:val="0"/>
      <w:pStyle w:val="ListNumber"/>
      <w:lvlText w:val="%1."/>
      <w:lvlJc w:val="left"/>
      <w:pPr>
        <w:ind w:left="454" w:hanging="454"/>
      </w:pPr>
      <w:rPr>
        <w:rFonts w:hint="default"/>
      </w:rPr>
    </w:lvl>
    <w:lvl w:ilvl="1">
      <w:start w:val="1"/>
      <w:numFmt w:val="lowerLetter"/>
      <w:pStyle w:val="ListNumber2"/>
      <w:lvlText w:val="%2."/>
      <w:lvlJc w:val="left"/>
      <w:pPr>
        <w:ind w:left="907" w:hanging="453"/>
      </w:pPr>
      <w:rPr>
        <w:rFonts w:hint="default"/>
      </w:rPr>
    </w:lvl>
    <w:lvl w:ilvl="2">
      <w:start w:val="1"/>
      <w:numFmt w:val="lowerRoman"/>
      <w:pStyle w:val="ListNumber3"/>
      <w:lvlText w:val="(%3)"/>
      <w:lvlJc w:val="left"/>
      <w:pPr>
        <w:ind w:left="1361" w:hanging="454"/>
      </w:pPr>
      <w:rPr>
        <w:rFonts w:hint="default"/>
      </w:rPr>
    </w:lvl>
    <w:lvl w:ilvl="3">
      <w:start w:val="1"/>
      <w:numFmt w:val="upperLetter"/>
      <w:pStyle w:val="ListNumber4"/>
      <w:lvlText w:val="%4."/>
      <w:lvlJc w:val="left"/>
      <w:pPr>
        <w:ind w:left="1814" w:hanging="453"/>
      </w:pPr>
      <w:rPr>
        <w:rFonts w:hint="default"/>
      </w:rPr>
    </w:lvl>
    <w:lvl w:ilvl="4">
      <w:start w:val="1"/>
      <w:numFmt w:val="upperRoman"/>
      <w:pStyle w:val="ListNumber5"/>
      <w:lvlText w:val="%5."/>
      <w:lvlJc w:val="left"/>
      <w:pPr>
        <w:ind w:left="2268"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32" w15:restartNumberingAfterBreak="0">
    <w:nsid w:val="7839021E"/>
    <w:multiLevelType w:val="multilevel"/>
    <w:tmpl w:val="D6C4C82E"/>
    <w:name w:val="JemenaListNumbering"/>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color w:val="auto"/>
        <w:position w:val="0"/>
        <w:sz w:val="20"/>
        <w:szCs w:val="16"/>
      </w:rPr>
    </w:lvl>
    <w:lvl w:ilvl="3">
      <w:start w:val="1"/>
      <w:numFmt w:val="none"/>
      <w:lvlText w:val=""/>
      <w:lvlJc w:val="left"/>
      <w:pPr>
        <w:tabs>
          <w:tab w:val="num" w:pos="1573"/>
        </w:tabs>
        <w:ind w:left="1501" w:hanging="648"/>
      </w:pPr>
      <w:rPr>
        <w:rFonts w:hint="default"/>
      </w:rPr>
    </w:lvl>
    <w:lvl w:ilvl="4">
      <w:start w:val="1"/>
      <w:numFmt w:val="none"/>
      <w:lvlText w:val=""/>
      <w:lvlJc w:val="left"/>
      <w:pPr>
        <w:tabs>
          <w:tab w:val="num" w:pos="2293"/>
        </w:tabs>
        <w:ind w:left="2005" w:hanging="792"/>
      </w:pPr>
      <w:rPr>
        <w:rFonts w:hint="default"/>
      </w:rPr>
    </w:lvl>
    <w:lvl w:ilvl="5">
      <w:start w:val="1"/>
      <w:numFmt w:val="none"/>
      <w:lvlText w:val=""/>
      <w:lvlJc w:val="left"/>
      <w:pPr>
        <w:tabs>
          <w:tab w:val="num" w:pos="2653"/>
        </w:tabs>
        <w:ind w:left="2509" w:hanging="936"/>
      </w:pPr>
      <w:rPr>
        <w:rFonts w:hint="default"/>
      </w:rPr>
    </w:lvl>
    <w:lvl w:ilvl="6">
      <w:start w:val="1"/>
      <w:numFmt w:val="none"/>
      <w:lvlText w:val=""/>
      <w:lvlJc w:val="left"/>
      <w:pPr>
        <w:tabs>
          <w:tab w:val="num" w:pos="3373"/>
        </w:tabs>
        <w:ind w:left="3013" w:hanging="1080"/>
      </w:pPr>
      <w:rPr>
        <w:rFonts w:hint="default"/>
      </w:rPr>
    </w:lvl>
    <w:lvl w:ilvl="7">
      <w:start w:val="1"/>
      <w:numFmt w:val="none"/>
      <w:lvlText w:val=""/>
      <w:lvlJc w:val="left"/>
      <w:pPr>
        <w:tabs>
          <w:tab w:val="num" w:pos="3733"/>
        </w:tabs>
        <w:ind w:left="3517" w:hanging="1224"/>
      </w:pPr>
      <w:rPr>
        <w:rFonts w:hint="default"/>
      </w:rPr>
    </w:lvl>
    <w:lvl w:ilvl="8">
      <w:start w:val="1"/>
      <w:numFmt w:val="none"/>
      <w:lvlText w:val=""/>
      <w:lvlJc w:val="left"/>
      <w:pPr>
        <w:tabs>
          <w:tab w:val="num" w:pos="4453"/>
        </w:tabs>
        <w:ind w:left="4093" w:hanging="1440"/>
      </w:pPr>
      <w:rPr>
        <w:rFonts w:hint="default"/>
      </w:rPr>
    </w:lvl>
  </w:abstractNum>
  <w:abstractNum w:abstractNumId="33" w15:restartNumberingAfterBreak="0">
    <w:nsid w:val="79841DDA"/>
    <w:multiLevelType w:val="multilevel"/>
    <w:tmpl w:val="367A380A"/>
    <w:name w:val="Warning2"/>
    <w:lvl w:ilvl="0">
      <w:start w:val="1"/>
      <w:numFmt w:val="none"/>
      <w:lvlText w:val="Warning:"/>
      <w:lvlJc w:val="left"/>
      <w:pPr>
        <w:tabs>
          <w:tab w:val="num" w:pos="1134"/>
        </w:tabs>
        <w:ind w:left="1134" w:hanging="992"/>
      </w:pPr>
      <w:rPr>
        <w:rFonts w:hint="default"/>
        <w:b/>
        <w:i w:val="0"/>
        <w:caps w:val="0"/>
        <w:color w:val="FF0000"/>
      </w:rPr>
    </w:lvl>
    <w:lvl w:ilvl="1">
      <w:start w:val="1"/>
      <w:numFmt w:val="none"/>
      <w:lvlText w:val="Warning:"/>
      <w:lvlJc w:val="left"/>
      <w:pPr>
        <w:tabs>
          <w:tab w:val="num" w:pos="1503"/>
        </w:tabs>
        <w:ind w:left="1503" w:hanging="993"/>
      </w:pPr>
      <w:rPr>
        <w:rFonts w:hint="default"/>
        <w:b/>
        <w:i w:val="0"/>
        <w:color w:val="FF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D68569C"/>
    <w:multiLevelType w:val="multilevel"/>
    <w:tmpl w:val="F62A3C0E"/>
    <w:lvl w:ilvl="0">
      <w:start w:val="1"/>
      <w:numFmt w:val="decimal"/>
      <w:pStyle w:val="Heading1"/>
      <w:lvlText w:val="%1."/>
      <w:lvlJc w:val="left"/>
      <w:pPr>
        <w:ind w:left="567" w:hanging="567"/>
      </w:pPr>
      <w:rPr>
        <w:rFonts w:hint="default"/>
      </w:rPr>
    </w:lvl>
    <w:lvl w:ilvl="1">
      <w:start w:val="1"/>
      <w:numFmt w:val="decimal"/>
      <w:pStyle w:val="Heading2"/>
      <w:suff w:val="space"/>
      <w:lvlText w:val="%1.%2"/>
      <w:lvlJc w:val="left"/>
      <w:pPr>
        <w:ind w:left="0" w:firstLine="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64296521">
    <w:abstractNumId w:val="18"/>
  </w:num>
  <w:num w:numId="2" w16cid:durableId="1133717489">
    <w:abstractNumId w:val="6"/>
  </w:num>
  <w:num w:numId="3" w16cid:durableId="1181775902">
    <w:abstractNumId w:val="9"/>
  </w:num>
  <w:num w:numId="4" w16cid:durableId="843593273">
    <w:abstractNumId w:val="7"/>
  </w:num>
  <w:num w:numId="5" w16cid:durableId="100077269">
    <w:abstractNumId w:val="3"/>
  </w:num>
  <w:num w:numId="6" w16cid:durableId="66077829">
    <w:abstractNumId w:val="31"/>
  </w:num>
  <w:num w:numId="7" w16cid:durableId="337738727">
    <w:abstractNumId w:val="20"/>
  </w:num>
  <w:num w:numId="8" w16cid:durableId="623073742">
    <w:abstractNumId w:val="19"/>
  </w:num>
  <w:num w:numId="9" w16cid:durableId="1127509057">
    <w:abstractNumId w:val="12"/>
  </w:num>
  <w:num w:numId="10" w16cid:durableId="316804392">
    <w:abstractNumId w:val="10"/>
  </w:num>
  <w:num w:numId="11" w16cid:durableId="373966979">
    <w:abstractNumId w:val="8"/>
  </w:num>
  <w:num w:numId="12" w16cid:durableId="8119427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9828172">
    <w:abstractNumId w:val="0"/>
    <w:lvlOverride w:ilvl="0">
      <w:startOverride w:val="1"/>
    </w:lvlOverride>
  </w:num>
  <w:num w:numId="14" w16cid:durableId="11695193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1665678">
    <w:abstractNumId w:val="2"/>
  </w:num>
  <w:num w:numId="16" w16cid:durableId="300575016">
    <w:abstractNumId w:val="34"/>
  </w:num>
  <w:num w:numId="17" w16cid:durableId="1310599062">
    <w:abstractNumId w:val="34"/>
    <w:lvlOverride w:ilvl="0">
      <w:startOverride w:val="1"/>
    </w:lvlOverride>
    <w:lvlOverride w:ilvl="1">
      <w:startOverride w:val="1"/>
    </w:lvlOverride>
    <w:lvlOverride w:ilvl="2">
      <w:startOverride w:val="5"/>
    </w:lvlOverride>
  </w:num>
  <w:num w:numId="18" w16cid:durableId="1947732122">
    <w:abstractNumId w:val="34"/>
    <w:lvlOverride w:ilvl="0">
      <w:startOverride w:val="1"/>
    </w:lvlOverride>
    <w:lvlOverride w:ilvl="1">
      <w:startOverride w:val="1"/>
    </w:lvlOverride>
    <w:lvlOverride w:ilvl="2">
      <w:startOverride w:val="5"/>
    </w:lvlOverride>
  </w:num>
  <w:num w:numId="19" w16cid:durableId="13053130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breviations" w:val="True"/>
    <w:docVar w:name="Appendices" w:val="False"/>
    <w:docVar w:name="AppendixName" w:val="Appendix"/>
    <w:docVar w:name="chkHeading1OddPage" w:val="False"/>
    <w:docVar w:name="CoverLayout" w:val="5"/>
    <w:docVar w:name="DCP" w:val="True"/>
    <w:docVar w:name="ESprefix" w:val="ES"/>
    <w:docVar w:name="ExecutiveSummary" w:val="True"/>
    <w:docVar w:name="Glossary" w:val="True"/>
    <w:docVar w:name="Heading1Numbered" w:val="True"/>
    <w:docVar w:name="Heading2Numbered" w:val="True"/>
    <w:docVar w:name="Heading3Numbered" w:val="True"/>
    <w:docVar w:name="Heading4Numbered" w:val="False"/>
    <w:docVar w:name="Heading5Numbered" w:val="False"/>
    <w:docVar w:name="IsWordingOverview" w:val="False"/>
    <w:docVar w:name="NumberedBodyText" w:val="False"/>
    <w:docVar w:name="Overview" w:val="True"/>
    <w:docVar w:name="PageSetup" w:val="Single"/>
    <w:docVar w:name="RibbonLabel" w:val="Appendix"/>
    <w:docVar w:name="TitleInFooter" w:val="True"/>
    <w:docVar w:name="TOC" w:val="True"/>
    <w:docVar w:name="TOCNew" w:val="False"/>
    <w:docVar w:name="xAppendixName" w:val="Appendix"/>
    <w:docVar w:name="xHeadingsNumbered" w:val="True"/>
  </w:docVars>
  <w:rsids>
    <w:rsidRoot w:val="006746F3"/>
    <w:rsid w:val="0000017F"/>
    <w:rsid w:val="00000279"/>
    <w:rsid w:val="000003D5"/>
    <w:rsid w:val="000004BD"/>
    <w:rsid w:val="00000B7A"/>
    <w:rsid w:val="00000B97"/>
    <w:rsid w:val="00000C89"/>
    <w:rsid w:val="00000FEB"/>
    <w:rsid w:val="000011F7"/>
    <w:rsid w:val="000011F8"/>
    <w:rsid w:val="0000122A"/>
    <w:rsid w:val="000012BE"/>
    <w:rsid w:val="00001C31"/>
    <w:rsid w:val="0000273A"/>
    <w:rsid w:val="0000279C"/>
    <w:rsid w:val="000028B4"/>
    <w:rsid w:val="00002DE1"/>
    <w:rsid w:val="00003125"/>
    <w:rsid w:val="000033A9"/>
    <w:rsid w:val="000037A0"/>
    <w:rsid w:val="000038D5"/>
    <w:rsid w:val="00003960"/>
    <w:rsid w:val="00003AA8"/>
    <w:rsid w:val="00004237"/>
    <w:rsid w:val="000042C3"/>
    <w:rsid w:val="00004CA4"/>
    <w:rsid w:val="00005014"/>
    <w:rsid w:val="00005261"/>
    <w:rsid w:val="00005647"/>
    <w:rsid w:val="00005667"/>
    <w:rsid w:val="00005811"/>
    <w:rsid w:val="0000591C"/>
    <w:rsid w:val="00006185"/>
    <w:rsid w:val="00006217"/>
    <w:rsid w:val="00006731"/>
    <w:rsid w:val="00006769"/>
    <w:rsid w:val="00006A2C"/>
    <w:rsid w:val="00006F08"/>
    <w:rsid w:val="000079BC"/>
    <w:rsid w:val="00007A8E"/>
    <w:rsid w:val="00007E98"/>
    <w:rsid w:val="00010A57"/>
    <w:rsid w:val="00010AAD"/>
    <w:rsid w:val="00010E3F"/>
    <w:rsid w:val="00010FF9"/>
    <w:rsid w:val="0001107C"/>
    <w:rsid w:val="000114BD"/>
    <w:rsid w:val="00011709"/>
    <w:rsid w:val="00011F39"/>
    <w:rsid w:val="0001206D"/>
    <w:rsid w:val="0001226A"/>
    <w:rsid w:val="000128BB"/>
    <w:rsid w:val="00012B94"/>
    <w:rsid w:val="00012CBE"/>
    <w:rsid w:val="00012E66"/>
    <w:rsid w:val="00012EC2"/>
    <w:rsid w:val="00013360"/>
    <w:rsid w:val="0001362A"/>
    <w:rsid w:val="00013703"/>
    <w:rsid w:val="0001389C"/>
    <w:rsid w:val="0001393A"/>
    <w:rsid w:val="000139D3"/>
    <w:rsid w:val="00013A74"/>
    <w:rsid w:val="00013BAE"/>
    <w:rsid w:val="00013DC6"/>
    <w:rsid w:val="0001420D"/>
    <w:rsid w:val="00014305"/>
    <w:rsid w:val="0001466C"/>
    <w:rsid w:val="00014E15"/>
    <w:rsid w:val="0001529C"/>
    <w:rsid w:val="00015BB6"/>
    <w:rsid w:val="00015C8F"/>
    <w:rsid w:val="00016478"/>
    <w:rsid w:val="000164A1"/>
    <w:rsid w:val="00017122"/>
    <w:rsid w:val="000171F8"/>
    <w:rsid w:val="000171FD"/>
    <w:rsid w:val="00017507"/>
    <w:rsid w:val="00017CA2"/>
    <w:rsid w:val="00017D91"/>
    <w:rsid w:val="0002002D"/>
    <w:rsid w:val="0002027E"/>
    <w:rsid w:val="000203FC"/>
    <w:rsid w:val="00021389"/>
    <w:rsid w:val="00021A33"/>
    <w:rsid w:val="00021CF5"/>
    <w:rsid w:val="00021CF6"/>
    <w:rsid w:val="000220D6"/>
    <w:rsid w:val="0002261E"/>
    <w:rsid w:val="00022F51"/>
    <w:rsid w:val="000230FD"/>
    <w:rsid w:val="0002325E"/>
    <w:rsid w:val="00023536"/>
    <w:rsid w:val="000236AE"/>
    <w:rsid w:val="00023AFB"/>
    <w:rsid w:val="0002404B"/>
    <w:rsid w:val="0002407D"/>
    <w:rsid w:val="00024416"/>
    <w:rsid w:val="00024485"/>
    <w:rsid w:val="00024572"/>
    <w:rsid w:val="00024574"/>
    <w:rsid w:val="00024990"/>
    <w:rsid w:val="000251A3"/>
    <w:rsid w:val="00025217"/>
    <w:rsid w:val="0002541C"/>
    <w:rsid w:val="00025A62"/>
    <w:rsid w:val="00025ADB"/>
    <w:rsid w:val="00025AEE"/>
    <w:rsid w:val="00025FB1"/>
    <w:rsid w:val="00026290"/>
    <w:rsid w:val="000263AA"/>
    <w:rsid w:val="00026700"/>
    <w:rsid w:val="00026706"/>
    <w:rsid w:val="0002674C"/>
    <w:rsid w:val="00026AC5"/>
    <w:rsid w:val="00026D7B"/>
    <w:rsid w:val="00026DF3"/>
    <w:rsid w:val="00026EB1"/>
    <w:rsid w:val="0002752C"/>
    <w:rsid w:val="00027779"/>
    <w:rsid w:val="00027E07"/>
    <w:rsid w:val="00027F13"/>
    <w:rsid w:val="0003003E"/>
    <w:rsid w:val="000303AC"/>
    <w:rsid w:val="00030692"/>
    <w:rsid w:val="00030993"/>
    <w:rsid w:val="00030D21"/>
    <w:rsid w:val="00030D71"/>
    <w:rsid w:val="0003108C"/>
    <w:rsid w:val="00031119"/>
    <w:rsid w:val="00031190"/>
    <w:rsid w:val="000312CC"/>
    <w:rsid w:val="000312E9"/>
    <w:rsid w:val="0003150D"/>
    <w:rsid w:val="0003176C"/>
    <w:rsid w:val="00031F2C"/>
    <w:rsid w:val="0003236F"/>
    <w:rsid w:val="000323E0"/>
    <w:rsid w:val="000323EF"/>
    <w:rsid w:val="000327D2"/>
    <w:rsid w:val="00032D71"/>
    <w:rsid w:val="00033137"/>
    <w:rsid w:val="00033144"/>
    <w:rsid w:val="00033331"/>
    <w:rsid w:val="00033A8A"/>
    <w:rsid w:val="00033D33"/>
    <w:rsid w:val="0003420E"/>
    <w:rsid w:val="0003451C"/>
    <w:rsid w:val="00034763"/>
    <w:rsid w:val="00034F0C"/>
    <w:rsid w:val="00035139"/>
    <w:rsid w:val="00035163"/>
    <w:rsid w:val="000351EF"/>
    <w:rsid w:val="00035842"/>
    <w:rsid w:val="00035B4E"/>
    <w:rsid w:val="00035BF1"/>
    <w:rsid w:val="00035DFD"/>
    <w:rsid w:val="00035F72"/>
    <w:rsid w:val="00036031"/>
    <w:rsid w:val="00036151"/>
    <w:rsid w:val="000364C1"/>
    <w:rsid w:val="00036908"/>
    <w:rsid w:val="00036A70"/>
    <w:rsid w:val="00036FBD"/>
    <w:rsid w:val="00037072"/>
    <w:rsid w:val="00037102"/>
    <w:rsid w:val="000376F7"/>
    <w:rsid w:val="00037CE2"/>
    <w:rsid w:val="00037F81"/>
    <w:rsid w:val="00040335"/>
    <w:rsid w:val="00040BDB"/>
    <w:rsid w:val="0004115A"/>
    <w:rsid w:val="0004119F"/>
    <w:rsid w:val="00041301"/>
    <w:rsid w:val="00041622"/>
    <w:rsid w:val="0004176C"/>
    <w:rsid w:val="00041797"/>
    <w:rsid w:val="00041903"/>
    <w:rsid w:val="00041A3E"/>
    <w:rsid w:val="00041C5B"/>
    <w:rsid w:val="00041FBF"/>
    <w:rsid w:val="00042132"/>
    <w:rsid w:val="000424FC"/>
    <w:rsid w:val="00042855"/>
    <w:rsid w:val="000430CC"/>
    <w:rsid w:val="000430E6"/>
    <w:rsid w:val="00043515"/>
    <w:rsid w:val="00043650"/>
    <w:rsid w:val="0004368E"/>
    <w:rsid w:val="0004371D"/>
    <w:rsid w:val="00043E65"/>
    <w:rsid w:val="00043FEA"/>
    <w:rsid w:val="000441FC"/>
    <w:rsid w:val="00044335"/>
    <w:rsid w:val="000444FB"/>
    <w:rsid w:val="00044BDC"/>
    <w:rsid w:val="00044D99"/>
    <w:rsid w:val="00045134"/>
    <w:rsid w:val="000454F9"/>
    <w:rsid w:val="000455E1"/>
    <w:rsid w:val="000459CF"/>
    <w:rsid w:val="00045AA1"/>
    <w:rsid w:val="00045D46"/>
    <w:rsid w:val="0004622F"/>
    <w:rsid w:val="0004641D"/>
    <w:rsid w:val="00046864"/>
    <w:rsid w:val="00046F73"/>
    <w:rsid w:val="000471A0"/>
    <w:rsid w:val="000473A1"/>
    <w:rsid w:val="0004761D"/>
    <w:rsid w:val="00047999"/>
    <w:rsid w:val="00047CE9"/>
    <w:rsid w:val="000501F1"/>
    <w:rsid w:val="00050257"/>
    <w:rsid w:val="00050487"/>
    <w:rsid w:val="000504A5"/>
    <w:rsid w:val="000507C3"/>
    <w:rsid w:val="0005118D"/>
    <w:rsid w:val="000520CB"/>
    <w:rsid w:val="00052234"/>
    <w:rsid w:val="00052630"/>
    <w:rsid w:val="00052C61"/>
    <w:rsid w:val="00052CAC"/>
    <w:rsid w:val="00053020"/>
    <w:rsid w:val="00053244"/>
    <w:rsid w:val="000538CB"/>
    <w:rsid w:val="00053C43"/>
    <w:rsid w:val="00053C7E"/>
    <w:rsid w:val="00053E6B"/>
    <w:rsid w:val="00053F61"/>
    <w:rsid w:val="00054212"/>
    <w:rsid w:val="000543C6"/>
    <w:rsid w:val="0005473A"/>
    <w:rsid w:val="0005568C"/>
    <w:rsid w:val="00055782"/>
    <w:rsid w:val="00055860"/>
    <w:rsid w:val="00055D0B"/>
    <w:rsid w:val="0006013C"/>
    <w:rsid w:val="00060EBF"/>
    <w:rsid w:val="00060EE0"/>
    <w:rsid w:val="00060F7F"/>
    <w:rsid w:val="00060FD9"/>
    <w:rsid w:val="000617D7"/>
    <w:rsid w:val="00062300"/>
    <w:rsid w:val="00062640"/>
    <w:rsid w:val="00062985"/>
    <w:rsid w:val="00063B87"/>
    <w:rsid w:val="00063E71"/>
    <w:rsid w:val="000640A9"/>
    <w:rsid w:val="0006422E"/>
    <w:rsid w:val="00064489"/>
    <w:rsid w:val="00064576"/>
    <w:rsid w:val="00064640"/>
    <w:rsid w:val="00064D86"/>
    <w:rsid w:val="00065173"/>
    <w:rsid w:val="00065584"/>
    <w:rsid w:val="000655FD"/>
    <w:rsid w:val="00065A52"/>
    <w:rsid w:val="00066E44"/>
    <w:rsid w:val="00066ED6"/>
    <w:rsid w:val="00066F02"/>
    <w:rsid w:val="00067098"/>
    <w:rsid w:val="00067230"/>
    <w:rsid w:val="0006742D"/>
    <w:rsid w:val="000676F8"/>
    <w:rsid w:val="00067769"/>
    <w:rsid w:val="000703B0"/>
    <w:rsid w:val="000703D5"/>
    <w:rsid w:val="000704F3"/>
    <w:rsid w:val="0007070E"/>
    <w:rsid w:val="00070797"/>
    <w:rsid w:val="00070C97"/>
    <w:rsid w:val="0007112E"/>
    <w:rsid w:val="00071B67"/>
    <w:rsid w:val="00071CA4"/>
    <w:rsid w:val="00071DE2"/>
    <w:rsid w:val="00072074"/>
    <w:rsid w:val="00072288"/>
    <w:rsid w:val="0007238E"/>
    <w:rsid w:val="0007270F"/>
    <w:rsid w:val="00072783"/>
    <w:rsid w:val="00072E02"/>
    <w:rsid w:val="00072E53"/>
    <w:rsid w:val="00072EDA"/>
    <w:rsid w:val="00073536"/>
    <w:rsid w:val="00073956"/>
    <w:rsid w:val="00073963"/>
    <w:rsid w:val="00073A9B"/>
    <w:rsid w:val="00073F07"/>
    <w:rsid w:val="00073F9C"/>
    <w:rsid w:val="000742AF"/>
    <w:rsid w:val="00074385"/>
    <w:rsid w:val="00074430"/>
    <w:rsid w:val="00074A1F"/>
    <w:rsid w:val="00074C2B"/>
    <w:rsid w:val="00074E28"/>
    <w:rsid w:val="00075045"/>
    <w:rsid w:val="00075247"/>
    <w:rsid w:val="000752FC"/>
    <w:rsid w:val="0007590F"/>
    <w:rsid w:val="000762A1"/>
    <w:rsid w:val="00076846"/>
    <w:rsid w:val="000770B6"/>
    <w:rsid w:val="0007716D"/>
    <w:rsid w:val="000776E5"/>
    <w:rsid w:val="0007797D"/>
    <w:rsid w:val="0008006E"/>
    <w:rsid w:val="00080374"/>
    <w:rsid w:val="0008061A"/>
    <w:rsid w:val="00080D89"/>
    <w:rsid w:val="00080E39"/>
    <w:rsid w:val="0008129B"/>
    <w:rsid w:val="000816AD"/>
    <w:rsid w:val="00082224"/>
    <w:rsid w:val="00082352"/>
    <w:rsid w:val="0008252E"/>
    <w:rsid w:val="00082889"/>
    <w:rsid w:val="00082914"/>
    <w:rsid w:val="00083459"/>
    <w:rsid w:val="000834C7"/>
    <w:rsid w:val="000838A2"/>
    <w:rsid w:val="00083917"/>
    <w:rsid w:val="00083CD6"/>
    <w:rsid w:val="00083E60"/>
    <w:rsid w:val="00083F92"/>
    <w:rsid w:val="00084187"/>
    <w:rsid w:val="000841C2"/>
    <w:rsid w:val="00084CB1"/>
    <w:rsid w:val="00085689"/>
    <w:rsid w:val="0008568F"/>
    <w:rsid w:val="000857C5"/>
    <w:rsid w:val="000859C6"/>
    <w:rsid w:val="00085EA1"/>
    <w:rsid w:val="00085FB7"/>
    <w:rsid w:val="000877A8"/>
    <w:rsid w:val="000908C8"/>
    <w:rsid w:val="000908D6"/>
    <w:rsid w:val="00090ED3"/>
    <w:rsid w:val="0009125C"/>
    <w:rsid w:val="000913AD"/>
    <w:rsid w:val="000913E7"/>
    <w:rsid w:val="0009214D"/>
    <w:rsid w:val="00092223"/>
    <w:rsid w:val="00092296"/>
    <w:rsid w:val="00093051"/>
    <w:rsid w:val="000934C7"/>
    <w:rsid w:val="000938C5"/>
    <w:rsid w:val="00093A29"/>
    <w:rsid w:val="00093A45"/>
    <w:rsid w:val="00093F02"/>
    <w:rsid w:val="00094095"/>
    <w:rsid w:val="000945F9"/>
    <w:rsid w:val="000949EC"/>
    <w:rsid w:val="00094A28"/>
    <w:rsid w:val="00094A84"/>
    <w:rsid w:val="00094F27"/>
    <w:rsid w:val="00095932"/>
    <w:rsid w:val="00095E8A"/>
    <w:rsid w:val="00096627"/>
    <w:rsid w:val="00096740"/>
    <w:rsid w:val="00096A48"/>
    <w:rsid w:val="00096B35"/>
    <w:rsid w:val="00096C5E"/>
    <w:rsid w:val="00096E3B"/>
    <w:rsid w:val="00097170"/>
    <w:rsid w:val="00097763"/>
    <w:rsid w:val="00097825"/>
    <w:rsid w:val="000979B3"/>
    <w:rsid w:val="00097BCF"/>
    <w:rsid w:val="00097C1B"/>
    <w:rsid w:val="000A0179"/>
    <w:rsid w:val="000A0373"/>
    <w:rsid w:val="000A047A"/>
    <w:rsid w:val="000A04B4"/>
    <w:rsid w:val="000A055B"/>
    <w:rsid w:val="000A059B"/>
    <w:rsid w:val="000A05D6"/>
    <w:rsid w:val="000A0D74"/>
    <w:rsid w:val="000A0F80"/>
    <w:rsid w:val="000A1512"/>
    <w:rsid w:val="000A1794"/>
    <w:rsid w:val="000A2315"/>
    <w:rsid w:val="000A251F"/>
    <w:rsid w:val="000A2603"/>
    <w:rsid w:val="000A28BD"/>
    <w:rsid w:val="000A2A90"/>
    <w:rsid w:val="000A2C62"/>
    <w:rsid w:val="000A2E53"/>
    <w:rsid w:val="000A2F22"/>
    <w:rsid w:val="000A30F9"/>
    <w:rsid w:val="000A3721"/>
    <w:rsid w:val="000A3841"/>
    <w:rsid w:val="000A3BA5"/>
    <w:rsid w:val="000A430E"/>
    <w:rsid w:val="000A4339"/>
    <w:rsid w:val="000A4476"/>
    <w:rsid w:val="000A4744"/>
    <w:rsid w:val="000A47EA"/>
    <w:rsid w:val="000A4C7D"/>
    <w:rsid w:val="000A5159"/>
    <w:rsid w:val="000A51F3"/>
    <w:rsid w:val="000A5EBD"/>
    <w:rsid w:val="000A6267"/>
    <w:rsid w:val="000A6592"/>
    <w:rsid w:val="000A6840"/>
    <w:rsid w:val="000A6C89"/>
    <w:rsid w:val="000A6DCB"/>
    <w:rsid w:val="000A6F1A"/>
    <w:rsid w:val="000A6F46"/>
    <w:rsid w:val="000A719A"/>
    <w:rsid w:val="000A73D0"/>
    <w:rsid w:val="000A73DC"/>
    <w:rsid w:val="000A7418"/>
    <w:rsid w:val="000A75EE"/>
    <w:rsid w:val="000A7C62"/>
    <w:rsid w:val="000A7E08"/>
    <w:rsid w:val="000B00B4"/>
    <w:rsid w:val="000B012B"/>
    <w:rsid w:val="000B0536"/>
    <w:rsid w:val="000B06A6"/>
    <w:rsid w:val="000B0959"/>
    <w:rsid w:val="000B0A6B"/>
    <w:rsid w:val="000B0AD6"/>
    <w:rsid w:val="000B11F1"/>
    <w:rsid w:val="000B167B"/>
    <w:rsid w:val="000B1B52"/>
    <w:rsid w:val="000B20BF"/>
    <w:rsid w:val="000B22C0"/>
    <w:rsid w:val="000B2568"/>
    <w:rsid w:val="000B271B"/>
    <w:rsid w:val="000B2C4D"/>
    <w:rsid w:val="000B2D62"/>
    <w:rsid w:val="000B2DE7"/>
    <w:rsid w:val="000B3709"/>
    <w:rsid w:val="000B3831"/>
    <w:rsid w:val="000B3DC1"/>
    <w:rsid w:val="000B3FB6"/>
    <w:rsid w:val="000B402E"/>
    <w:rsid w:val="000B40D6"/>
    <w:rsid w:val="000B427F"/>
    <w:rsid w:val="000B44D9"/>
    <w:rsid w:val="000B46C3"/>
    <w:rsid w:val="000B473E"/>
    <w:rsid w:val="000B4CFC"/>
    <w:rsid w:val="000B5144"/>
    <w:rsid w:val="000B5240"/>
    <w:rsid w:val="000B547C"/>
    <w:rsid w:val="000B5504"/>
    <w:rsid w:val="000B561E"/>
    <w:rsid w:val="000B594C"/>
    <w:rsid w:val="000B5EA3"/>
    <w:rsid w:val="000B6357"/>
    <w:rsid w:val="000B669C"/>
    <w:rsid w:val="000B6AEA"/>
    <w:rsid w:val="000B6BF6"/>
    <w:rsid w:val="000B7CAB"/>
    <w:rsid w:val="000B7CC2"/>
    <w:rsid w:val="000C005D"/>
    <w:rsid w:val="000C015B"/>
    <w:rsid w:val="000C0321"/>
    <w:rsid w:val="000C037C"/>
    <w:rsid w:val="000C0411"/>
    <w:rsid w:val="000C08D7"/>
    <w:rsid w:val="000C0A3E"/>
    <w:rsid w:val="000C0B31"/>
    <w:rsid w:val="000C0E88"/>
    <w:rsid w:val="000C1070"/>
    <w:rsid w:val="000C27FF"/>
    <w:rsid w:val="000C2888"/>
    <w:rsid w:val="000C2CCC"/>
    <w:rsid w:val="000C2CD8"/>
    <w:rsid w:val="000C31C4"/>
    <w:rsid w:val="000C32D6"/>
    <w:rsid w:val="000C346B"/>
    <w:rsid w:val="000C3A3F"/>
    <w:rsid w:val="000C3B79"/>
    <w:rsid w:val="000C3C38"/>
    <w:rsid w:val="000C4113"/>
    <w:rsid w:val="000C41E0"/>
    <w:rsid w:val="000C41F9"/>
    <w:rsid w:val="000C4231"/>
    <w:rsid w:val="000C4241"/>
    <w:rsid w:val="000C436A"/>
    <w:rsid w:val="000C44FF"/>
    <w:rsid w:val="000C47EF"/>
    <w:rsid w:val="000C4A2B"/>
    <w:rsid w:val="000C4EFC"/>
    <w:rsid w:val="000C5143"/>
    <w:rsid w:val="000C54A6"/>
    <w:rsid w:val="000C55BE"/>
    <w:rsid w:val="000C57F2"/>
    <w:rsid w:val="000C5CD0"/>
    <w:rsid w:val="000C5E48"/>
    <w:rsid w:val="000C6231"/>
    <w:rsid w:val="000C6DA1"/>
    <w:rsid w:val="000C6E63"/>
    <w:rsid w:val="000C6F23"/>
    <w:rsid w:val="000C6FFF"/>
    <w:rsid w:val="000C707C"/>
    <w:rsid w:val="000C7611"/>
    <w:rsid w:val="000C773E"/>
    <w:rsid w:val="000C7ACB"/>
    <w:rsid w:val="000C7EC1"/>
    <w:rsid w:val="000D01BD"/>
    <w:rsid w:val="000D0526"/>
    <w:rsid w:val="000D06F8"/>
    <w:rsid w:val="000D09EC"/>
    <w:rsid w:val="000D0C0B"/>
    <w:rsid w:val="000D0CCB"/>
    <w:rsid w:val="000D18B8"/>
    <w:rsid w:val="000D1A7B"/>
    <w:rsid w:val="000D2526"/>
    <w:rsid w:val="000D2542"/>
    <w:rsid w:val="000D2813"/>
    <w:rsid w:val="000D300C"/>
    <w:rsid w:val="000D3282"/>
    <w:rsid w:val="000D3B59"/>
    <w:rsid w:val="000D3D33"/>
    <w:rsid w:val="000D3E39"/>
    <w:rsid w:val="000D3F7B"/>
    <w:rsid w:val="000D3FDD"/>
    <w:rsid w:val="000D464F"/>
    <w:rsid w:val="000D4EC1"/>
    <w:rsid w:val="000D536C"/>
    <w:rsid w:val="000D5476"/>
    <w:rsid w:val="000D5A39"/>
    <w:rsid w:val="000D5CBC"/>
    <w:rsid w:val="000D5F5A"/>
    <w:rsid w:val="000D65B5"/>
    <w:rsid w:val="000D6DC7"/>
    <w:rsid w:val="000D7202"/>
    <w:rsid w:val="000D7482"/>
    <w:rsid w:val="000D76D9"/>
    <w:rsid w:val="000D7891"/>
    <w:rsid w:val="000D7C58"/>
    <w:rsid w:val="000E01C1"/>
    <w:rsid w:val="000E01D0"/>
    <w:rsid w:val="000E06C9"/>
    <w:rsid w:val="000E07E5"/>
    <w:rsid w:val="000E0C88"/>
    <w:rsid w:val="000E0C91"/>
    <w:rsid w:val="000E0F65"/>
    <w:rsid w:val="000E10F8"/>
    <w:rsid w:val="000E1779"/>
    <w:rsid w:val="000E1BEC"/>
    <w:rsid w:val="000E1D23"/>
    <w:rsid w:val="000E1F1D"/>
    <w:rsid w:val="000E21E5"/>
    <w:rsid w:val="000E21EC"/>
    <w:rsid w:val="000E2207"/>
    <w:rsid w:val="000E23C9"/>
    <w:rsid w:val="000E24E1"/>
    <w:rsid w:val="000E25A9"/>
    <w:rsid w:val="000E27B6"/>
    <w:rsid w:val="000E28C2"/>
    <w:rsid w:val="000E2CE7"/>
    <w:rsid w:val="000E2D99"/>
    <w:rsid w:val="000E32A0"/>
    <w:rsid w:val="000E33C8"/>
    <w:rsid w:val="000E35C7"/>
    <w:rsid w:val="000E3AF5"/>
    <w:rsid w:val="000E3B96"/>
    <w:rsid w:val="000E4B54"/>
    <w:rsid w:val="000E4DFC"/>
    <w:rsid w:val="000E53BD"/>
    <w:rsid w:val="000E55A2"/>
    <w:rsid w:val="000E5F4E"/>
    <w:rsid w:val="000E6024"/>
    <w:rsid w:val="000E6525"/>
    <w:rsid w:val="000E6684"/>
    <w:rsid w:val="000E6777"/>
    <w:rsid w:val="000E7410"/>
    <w:rsid w:val="000E7936"/>
    <w:rsid w:val="000F03BC"/>
    <w:rsid w:val="000F0866"/>
    <w:rsid w:val="000F097C"/>
    <w:rsid w:val="000F0A47"/>
    <w:rsid w:val="000F0AC8"/>
    <w:rsid w:val="000F147D"/>
    <w:rsid w:val="000F1483"/>
    <w:rsid w:val="000F14E6"/>
    <w:rsid w:val="000F16E9"/>
    <w:rsid w:val="000F174C"/>
    <w:rsid w:val="000F1A3A"/>
    <w:rsid w:val="000F1A5A"/>
    <w:rsid w:val="000F1FA4"/>
    <w:rsid w:val="000F2014"/>
    <w:rsid w:val="000F2194"/>
    <w:rsid w:val="000F24B2"/>
    <w:rsid w:val="000F2581"/>
    <w:rsid w:val="000F278A"/>
    <w:rsid w:val="000F2BBA"/>
    <w:rsid w:val="000F306B"/>
    <w:rsid w:val="000F31D9"/>
    <w:rsid w:val="000F3535"/>
    <w:rsid w:val="000F3684"/>
    <w:rsid w:val="000F376E"/>
    <w:rsid w:val="000F3FC7"/>
    <w:rsid w:val="000F3FCD"/>
    <w:rsid w:val="000F41B6"/>
    <w:rsid w:val="000F4A13"/>
    <w:rsid w:val="000F4CD5"/>
    <w:rsid w:val="000F5080"/>
    <w:rsid w:val="000F5284"/>
    <w:rsid w:val="000F561D"/>
    <w:rsid w:val="000F567F"/>
    <w:rsid w:val="000F5A78"/>
    <w:rsid w:val="000F5E34"/>
    <w:rsid w:val="000F5E5F"/>
    <w:rsid w:val="000F5E8C"/>
    <w:rsid w:val="000F6190"/>
    <w:rsid w:val="000F6801"/>
    <w:rsid w:val="000F68CD"/>
    <w:rsid w:val="000F6D60"/>
    <w:rsid w:val="000F6D6B"/>
    <w:rsid w:val="000F7350"/>
    <w:rsid w:val="000F75FB"/>
    <w:rsid w:val="000F7657"/>
    <w:rsid w:val="000F797E"/>
    <w:rsid w:val="000F7F8C"/>
    <w:rsid w:val="00100611"/>
    <w:rsid w:val="001006AD"/>
    <w:rsid w:val="0010072A"/>
    <w:rsid w:val="00100B5E"/>
    <w:rsid w:val="001012C4"/>
    <w:rsid w:val="00101451"/>
    <w:rsid w:val="00101544"/>
    <w:rsid w:val="00101CE9"/>
    <w:rsid w:val="00102571"/>
    <w:rsid w:val="00102B95"/>
    <w:rsid w:val="00102FFF"/>
    <w:rsid w:val="0010306F"/>
    <w:rsid w:val="001031FC"/>
    <w:rsid w:val="001032BD"/>
    <w:rsid w:val="00103338"/>
    <w:rsid w:val="0010370D"/>
    <w:rsid w:val="0010384A"/>
    <w:rsid w:val="00103D73"/>
    <w:rsid w:val="00103F0F"/>
    <w:rsid w:val="00104371"/>
    <w:rsid w:val="00104F66"/>
    <w:rsid w:val="001054A3"/>
    <w:rsid w:val="0010559C"/>
    <w:rsid w:val="00105830"/>
    <w:rsid w:val="00105C32"/>
    <w:rsid w:val="00105DB1"/>
    <w:rsid w:val="0010606F"/>
    <w:rsid w:val="0010608C"/>
    <w:rsid w:val="001062ED"/>
    <w:rsid w:val="0010632E"/>
    <w:rsid w:val="00106469"/>
    <w:rsid w:val="00106494"/>
    <w:rsid w:val="001065CB"/>
    <w:rsid w:val="00106648"/>
    <w:rsid w:val="00106A7E"/>
    <w:rsid w:val="00106A81"/>
    <w:rsid w:val="00106B89"/>
    <w:rsid w:val="00106CA2"/>
    <w:rsid w:val="00106E60"/>
    <w:rsid w:val="00106F4E"/>
    <w:rsid w:val="001077DE"/>
    <w:rsid w:val="00107D06"/>
    <w:rsid w:val="001108B2"/>
    <w:rsid w:val="00110A81"/>
    <w:rsid w:val="00110B1B"/>
    <w:rsid w:val="00110B5D"/>
    <w:rsid w:val="00110D7A"/>
    <w:rsid w:val="0011105B"/>
    <w:rsid w:val="00111483"/>
    <w:rsid w:val="00111886"/>
    <w:rsid w:val="00111980"/>
    <w:rsid w:val="001122B1"/>
    <w:rsid w:val="0011236D"/>
    <w:rsid w:val="0011267E"/>
    <w:rsid w:val="0011271A"/>
    <w:rsid w:val="00112951"/>
    <w:rsid w:val="00112BEE"/>
    <w:rsid w:val="00112DD9"/>
    <w:rsid w:val="00112E38"/>
    <w:rsid w:val="00112FE9"/>
    <w:rsid w:val="00113160"/>
    <w:rsid w:val="001131AA"/>
    <w:rsid w:val="001137CE"/>
    <w:rsid w:val="00113C4C"/>
    <w:rsid w:val="00113CDC"/>
    <w:rsid w:val="00113DD9"/>
    <w:rsid w:val="00113F1A"/>
    <w:rsid w:val="0011467A"/>
    <w:rsid w:val="0011484F"/>
    <w:rsid w:val="001148DA"/>
    <w:rsid w:val="00114C5F"/>
    <w:rsid w:val="00114EEC"/>
    <w:rsid w:val="00114F21"/>
    <w:rsid w:val="00114F4E"/>
    <w:rsid w:val="00115310"/>
    <w:rsid w:val="00115E3D"/>
    <w:rsid w:val="00115EAA"/>
    <w:rsid w:val="00117615"/>
    <w:rsid w:val="001177A2"/>
    <w:rsid w:val="00117819"/>
    <w:rsid w:val="001179D3"/>
    <w:rsid w:val="00117CAA"/>
    <w:rsid w:val="00117CFE"/>
    <w:rsid w:val="00117DD6"/>
    <w:rsid w:val="00117EEF"/>
    <w:rsid w:val="00117F77"/>
    <w:rsid w:val="001202B1"/>
    <w:rsid w:val="001203C0"/>
    <w:rsid w:val="001204D7"/>
    <w:rsid w:val="001210F1"/>
    <w:rsid w:val="0012117D"/>
    <w:rsid w:val="00121248"/>
    <w:rsid w:val="00121266"/>
    <w:rsid w:val="00121268"/>
    <w:rsid w:val="001217C3"/>
    <w:rsid w:val="0012181A"/>
    <w:rsid w:val="00121841"/>
    <w:rsid w:val="001219CD"/>
    <w:rsid w:val="00121E66"/>
    <w:rsid w:val="00122091"/>
    <w:rsid w:val="00122126"/>
    <w:rsid w:val="00122358"/>
    <w:rsid w:val="001226AD"/>
    <w:rsid w:val="00122A3C"/>
    <w:rsid w:val="00122AE8"/>
    <w:rsid w:val="00122C72"/>
    <w:rsid w:val="00123ACC"/>
    <w:rsid w:val="001242F5"/>
    <w:rsid w:val="00124482"/>
    <w:rsid w:val="00124797"/>
    <w:rsid w:val="00124C3D"/>
    <w:rsid w:val="00124D82"/>
    <w:rsid w:val="00124E60"/>
    <w:rsid w:val="0012501C"/>
    <w:rsid w:val="001251F1"/>
    <w:rsid w:val="00125374"/>
    <w:rsid w:val="001253D5"/>
    <w:rsid w:val="00125A6C"/>
    <w:rsid w:val="00125C50"/>
    <w:rsid w:val="00125E7C"/>
    <w:rsid w:val="00125F99"/>
    <w:rsid w:val="001262FB"/>
    <w:rsid w:val="001269E0"/>
    <w:rsid w:val="00126CBD"/>
    <w:rsid w:val="00127385"/>
    <w:rsid w:val="00127410"/>
    <w:rsid w:val="0012741A"/>
    <w:rsid w:val="00127B94"/>
    <w:rsid w:val="00127F2F"/>
    <w:rsid w:val="00130631"/>
    <w:rsid w:val="00131311"/>
    <w:rsid w:val="001314EF"/>
    <w:rsid w:val="00131541"/>
    <w:rsid w:val="001315CE"/>
    <w:rsid w:val="0013171D"/>
    <w:rsid w:val="00131736"/>
    <w:rsid w:val="00131A0F"/>
    <w:rsid w:val="0013248A"/>
    <w:rsid w:val="001325D7"/>
    <w:rsid w:val="00132744"/>
    <w:rsid w:val="00132EB3"/>
    <w:rsid w:val="00133770"/>
    <w:rsid w:val="00133A4B"/>
    <w:rsid w:val="00133FFF"/>
    <w:rsid w:val="001340D0"/>
    <w:rsid w:val="0013436B"/>
    <w:rsid w:val="0013448B"/>
    <w:rsid w:val="001346B4"/>
    <w:rsid w:val="00134898"/>
    <w:rsid w:val="0013541E"/>
    <w:rsid w:val="0013558A"/>
    <w:rsid w:val="00135A18"/>
    <w:rsid w:val="001362C0"/>
    <w:rsid w:val="00136666"/>
    <w:rsid w:val="00136A18"/>
    <w:rsid w:val="00136CE3"/>
    <w:rsid w:val="00136D91"/>
    <w:rsid w:val="00136EBF"/>
    <w:rsid w:val="001374EB"/>
    <w:rsid w:val="0013757A"/>
    <w:rsid w:val="001377AA"/>
    <w:rsid w:val="00137829"/>
    <w:rsid w:val="0013794D"/>
    <w:rsid w:val="0013799D"/>
    <w:rsid w:val="0014019B"/>
    <w:rsid w:val="00140262"/>
    <w:rsid w:val="00140336"/>
    <w:rsid w:val="001408BD"/>
    <w:rsid w:val="001409C8"/>
    <w:rsid w:val="00140AA7"/>
    <w:rsid w:val="00140AE9"/>
    <w:rsid w:val="00140B0D"/>
    <w:rsid w:val="0014161A"/>
    <w:rsid w:val="001418BB"/>
    <w:rsid w:val="00141F05"/>
    <w:rsid w:val="00141F9F"/>
    <w:rsid w:val="00142212"/>
    <w:rsid w:val="001422E5"/>
    <w:rsid w:val="0014251D"/>
    <w:rsid w:val="001427C2"/>
    <w:rsid w:val="00142AFE"/>
    <w:rsid w:val="00142C12"/>
    <w:rsid w:val="00142C15"/>
    <w:rsid w:val="00142C6C"/>
    <w:rsid w:val="00142E13"/>
    <w:rsid w:val="001431A7"/>
    <w:rsid w:val="0014351C"/>
    <w:rsid w:val="0014395E"/>
    <w:rsid w:val="001439C8"/>
    <w:rsid w:val="00143B42"/>
    <w:rsid w:val="00143BD1"/>
    <w:rsid w:val="00143CD8"/>
    <w:rsid w:val="00143EC7"/>
    <w:rsid w:val="00144226"/>
    <w:rsid w:val="0014424C"/>
    <w:rsid w:val="00144370"/>
    <w:rsid w:val="001443D1"/>
    <w:rsid w:val="00144766"/>
    <w:rsid w:val="001447E1"/>
    <w:rsid w:val="001451DE"/>
    <w:rsid w:val="00145410"/>
    <w:rsid w:val="00145711"/>
    <w:rsid w:val="0014576E"/>
    <w:rsid w:val="001457F6"/>
    <w:rsid w:val="001459D7"/>
    <w:rsid w:val="00145BB5"/>
    <w:rsid w:val="00145CA0"/>
    <w:rsid w:val="00146512"/>
    <w:rsid w:val="00146728"/>
    <w:rsid w:val="00146AC5"/>
    <w:rsid w:val="00146C50"/>
    <w:rsid w:val="00146CDE"/>
    <w:rsid w:val="0014701F"/>
    <w:rsid w:val="001474AE"/>
    <w:rsid w:val="001474D5"/>
    <w:rsid w:val="00147B75"/>
    <w:rsid w:val="00147B9C"/>
    <w:rsid w:val="00147EC2"/>
    <w:rsid w:val="00150172"/>
    <w:rsid w:val="001501A0"/>
    <w:rsid w:val="00150B69"/>
    <w:rsid w:val="00150BC2"/>
    <w:rsid w:val="00150C3C"/>
    <w:rsid w:val="001514ED"/>
    <w:rsid w:val="00151664"/>
    <w:rsid w:val="00151774"/>
    <w:rsid w:val="00151C40"/>
    <w:rsid w:val="001522A3"/>
    <w:rsid w:val="00152BB8"/>
    <w:rsid w:val="00152F06"/>
    <w:rsid w:val="0015375B"/>
    <w:rsid w:val="00153FDB"/>
    <w:rsid w:val="001541A8"/>
    <w:rsid w:val="001544A7"/>
    <w:rsid w:val="00154503"/>
    <w:rsid w:val="0015452B"/>
    <w:rsid w:val="00154DB3"/>
    <w:rsid w:val="00154F44"/>
    <w:rsid w:val="001550C7"/>
    <w:rsid w:val="00155347"/>
    <w:rsid w:val="00155755"/>
    <w:rsid w:val="00155B6F"/>
    <w:rsid w:val="0015661D"/>
    <w:rsid w:val="001568CE"/>
    <w:rsid w:val="00156D2E"/>
    <w:rsid w:val="001577C2"/>
    <w:rsid w:val="00157E61"/>
    <w:rsid w:val="00157E78"/>
    <w:rsid w:val="0016045A"/>
    <w:rsid w:val="001605A4"/>
    <w:rsid w:val="00160979"/>
    <w:rsid w:val="00160CCB"/>
    <w:rsid w:val="00160ED7"/>
    <w:rsid w:val="001619E0"/>
    <w:rsid w:val="00161E60"/>
    <w:rsid w:val="00162086"/>
    <w:rsid w:val="00162166"/>
    <w:rsid w:val="00162411"/>
    <w:rsid w:val="00162482"/>
    <w:rsid w:val="001629D5"/>
    <w:rsid w:val="00162B86"/>
    <w:rsid w:val="00162D5F"/>
    <w:rsid w:val="00162E29"/>
    <w:rsid w:val="0016334C"/>
    <w:rsid w:val="00163B06"/>
    <w:rsid w:val="00163DD9"/>
    <w:rsid w:val="00164055"/>
    <w:rsid w:val="00164B4C"/>
    <w:rsid w:val="00164D40"/>
    <w:rsid w:val="0016502A"/>
    <w:rsid w:val="0016522E"/>
    <w:rsid w:val="00165678"/>
    <w:rsid w:val="00165754"/>
    <w:rsid w:val="0016579F"/>
    <w:rsid w:val="001658FA"/>
    <w:rsid w:val="00165D74"/>
    <w:rsid w:val="001662A3"/>
    <w:rsid w:val="00166765"/>
    <w:rsid w:val="00166B17"/>
    <w:rsid w:val="00166FEF"/>
    <w:rsid w:val="0016719A"/>
    <w:rsid w:val="00167399"/>
    <w:rsid w:val="00167413"/>
    <w:rsid w:val="00167865"/>
    <w:rsid w:val="0017011F"/>
    <w:rsid w:val="00170713"/>
    <w:rsid w:val="00170D30"/>
    <w:rsid w:val="00170D4E"/>
    <w:rsid w:val="00170F85"/>
    <w:rsid w:val="001715D8"/>
    <w:rsid w:val="00171FAD"/>
    <w:rsid w:val="00171FD1"/>
    <w:rsid w:val="00172031"/>
    <w:rsid w:val="00172429"/>
    <w:rsid w:val="00172440"/>
    <w:rsid w:val="001725ED"/>
    <w:rsid w:val="00172674"/>
    <w:rsid w:val="00172CAC"/>
    <w:rsid w:val="00172DA4"/>
    <w:rsid w:val="00172F62"/>
    <w:rsid w:val="00173EC0"/>
    <w:rsid w:val="001743C3"/>
    <w:rsid w:val="0017570D"/>
    <w:rsid w:val="00175A1E"/>
    <w:rsid w:val="00175AAE"/>
    <w:rsid w:val="00175C26"/>
    <w:rsid w:val="00175DEF"/>
    <w:rsid w:val="00175E2D"/>
    <w:rsid w:val="0017610B"/>
    <w:rsid w:val="00176238"/>
    <w:rsid w:val="0017676B"/>
    <w:rsid w:val="00176A24"/>
    <w:rsid w:val="00176DBD"/>
    <w:rsid w:val="00176DF9"/>
    <w:rsid w:val="0017720A"/>
    <w:rsid w:val="001773A5"/>
    <w:rsid w:val="00177415"/>
    <w:rsid w:val="00177BAD"/>
    <w:rsid w:val="00180151"/>
    <w:rsid w:val="00180234"/>
    <w:rsid w:val="00180280"/>
    <w:rsid w:val="001803CC"/>
    <w:rsid w:val="00180701"/>
    <w:rsid w:val="00180940"/>
    <w:rsid w:val="00180EB2"/>
    <w:rsid w:val="001811ED"/>
    <w:rsid w:val="0018138B"/>
    <w:rsid w:val="001813B7"/>
    <w:rsid w:val="0018157F"/>
    <w:rsid w:val="00181D2A"/>
    <w:rsid w:val="00182759"/>
    <w:rsid w:val="0018296A"/>
    <w:rsid w:val="00182986"/>
    <w:rsid w:val="00183265"/>
    <w:rsid w:val="00183512"/>
    <w:rsid w:val="00183DC3"/>
    <w:rsid w:val="00183F0D"/>
    <w:rsid w:val="00184762"/>
    <w:rsid w:val="00184FE9"/>
    <w:rsid w:val="0018516A"/>
    <w:rsid w:val="001856A2"/>
    <w:rsid w:val="0018593D"/>
    <w:rsid w:val="00185D75"/>
    <w:rsid w:val="00185DEB"/>
    <w:rsid w:val="00185E03"/>
    <w:rsid w:val="00185F4B"/>
    <w:rsid w:val="00185F83"/>
    <w:rsid w:val="0018600C"/>
    <w:rsid w:val="0018616D"/>
    <w:rsid w:val="00186ECA"/>
    <w:rsid w:val="00186F58"/>
    <w:rsid w:val="001871F9"/>
    <w:rsid w:val="00187485"/>
    <w:rsid w:val="00187572"/>
    <w:rsid w:val="0018782A"/>
    <w:rsid w:val="00190073"/>
    <w:rsid w:val="001901BF"/>
    <w:rsid w:val="00190242"/>
    <w:rsid w:val="00190696"/>
    <w:rsid w:val="001911C7"/>
    <w:rsid w:val="001911F6"/>
    <w:rsid w:val="0019138F"/>
    <w:rsid w:val="00191397"/>
    <w:rsid w:val="00191608"/>
    <w:rsid w:val="00191688"/>
    <w:rsid w:val="0019194F"/>
    <w:rsid w:val="00191A1A"/>
    <w:rsid w:val="00191D9C"/>
    <w:rsid w:val="00192273"/>
    <w:rsid w:val="00192396"/>
    <w:rsid w:val="001924D8"/>
    <w:rsid w:val="001926BC"/>
    <w:rsid w:val="00192793"/>
    <w:rsid w:val="001929A8"/>
    <w:rsid w:val="00192FC1"/>
    <w:rsid w:val="001932CF"/>
    <w:rsid w:val="001932EE"/>
    <w:rsid w:val="001936C0"/>
    <w:rsid w:val="00193B80"/>
    <w:rsid w:val="00193BEE"/>
    <w:rsid w:val="001942B8"/>
    <w:rsid w:val="00194304"/>
    <w:rsid w:val="00194371"/>
    <w:rsid w:val="00194471"/>
    <w:rsid w:val="00194AF6"/>
    <w:rsid w:val="0019502C"/>
    <w:rsid w:val="0019520B"/>
    <w:rsid w:val="001952E8"/>
    <w:rsid w:val="00195417"/>
    <w:rsid w:val="00195AB4"/>
    <w:rsid w:val="00195EAE"/>
    <w:rsid w:val="00196016"/>
    <w:rsid w:val="00196165"/>
    <w:rsid w:val="00196393"/>
    <w:rsid w:val="00196667"/>
    <w:rsid w:val="001966C9"/>
    <w:rsid w:val="0019682B"/>
    <w:rsid w:val="0019687D"/>
    <w:rsid w:val="00196E4D"/>
    <w:rsid w:val="00197033"/>
    <w:rsid w:val="001970BD"/>
    <w:rsid w:val="001971DE"/>
    <w:rsid w:val="0019725F"/>
    <w:rsid w:val="00197717"/>
    <w:rsid w:val="001977C0"/>
    <w:rsid w:val="00197F7F"/>
    <w:rsid w:val="001A02D7"/>
    <w:rsid w:val="001A0617"/>
    <w:rsid w:val="001A0827"/>
    <w:rsid w:val="001A09E1"/>
    <w:rsid w:val="001A0EF8"/>
    <w:rsid w:val="001A0FF4"/>
    <w:rsid w:val="001A150E"/>
    <w:rsid w:val="001A18D2"/>
    <w:rsid w:val="001A221C"/>
    <w:rsid w:val="001A2398"/>
    <w:rsid w:val="001A25AC"/>
    <w:rsid w:val="001A3096"/>
    <w:rsid w:val="001A37A6"/>
    <w:rsid w:val="001A404D"/>
    <w:rsid w:val="001A4197"/>
    <w:rsid w:val="001A45A0"/>
    <w:rsid w:val="001A4958"/>
    <w:rsid w:val="001A4BB8"/>
    <w:rsid w:val="001A50A5"/>
    <w:rsid w:val="001A548E"/>
    <w:rsid w:val="001A5625"/>
    <w:rsid w:val="001A5CF5"/>
    <w:rsid w:val="001A5F5B"/>
    <w:rsid w:val="001A6034"/>
    <w:rsid w:val="001A73F7"/>
    <w:rsid w:val="001A7616"/>
    <w:rsid w:val="001A788D"/>
    <w:rsid w:val="001A7B61"/>
    <w:rsid w:val="001A7F0C"/>
    <w:rsid w:val="001B025E"/>
    <w:rsid w:val="001B06BC"/>
    <w:rsid w:val="001B0807"/>
    <w:rsid w:val="001B08D9"/>
    <w:rsid w:val="001B0F9E"/>
    <w:rsid w:val="001B101F"/>
    <w:rsid w:val="001B136D"/>
    <w:rsid w:val="001B14BD"/>
    <w:rsid w:val="001B1599"/>
    <w:rsid w:val="001B17C3"/>
    <w:rsid w:val="001B1F30"/>
    <w:rsid w:val="001B22E9"/>
    <w:rsid w:val="001B2BCC"/>
    <w:rsid w:val="001B36B4"/>
    <w:rsid w:val="001B38B7"/>
    <w:rsid w:val="001B39AE"/>
    <w:rsid w:val="001B3F7F"/>
    <w:rsid w:val="001B411F"/>
    <w:rsid w:val="001B4653"/>
    <w:rsid w:val="001B4A22"/>
    <w:rsid w:val="001B4A40"/>
    <w:rsid w:val="001B4ACB"/>
    <w:rsid w:val="001B544D"/>
    <w:rsid w:val="001B5E7A"/>
    <w:rsid w:val="001B6028"/>
    <w:rsid w:val="001B6AA3"/>
    <w:rsid w:val="001B6D94"/>
    <w:rsid w:val="001B6E18"/>
    <w:rsid w:val="001B7054"/>
    <w:rsid w:val="001B71F5"/>
    <w:rsid w:val="001B733C"/>
    <w:rsid w:val="001B7723"/>
    <w:rsid w:val="001B7767"/>
    <w:rsid w:val="001B7979"/>
    <w:rsid w:val="001B7E1B"/>
    <w:rsid w:val="001B7F27"/>
    <w:rsid w:val="001B7FBD"/>
    <w:rsid w:val="001C0056"/>
    <w:rsid w:val="001C03D1"/>
    <w:rsid w:val="001C0468"/>
    <w:rsid w:val="001C0957"/>
    <w:rsid w:val="001C0AC9"/>
    <w:rsid w:val="001C0E98"/>
    <w:rsid w:val="001C0ECA"/>
    <w:rsid w:val="001C0F92"/>
    <w:rsid w:val="001C0FAD"/>
    <w:rsid w:val="001C13F1"/>
    <w:rsid w:val="001C1735"/>
    <w:rsid w:val="001C1BC6"/>
    <w:rsid w:val="001C1C28"/>
    <w:rsid w:val="001C2125"/>
    <w:rsid w:val="001C2301"/>
    <w:rsid w:val="001C24BB"/>
    <w:rsid w:val="001C2A22"/>
    <w:rsid w:val="001C2A75"/>
    <w:rsid w:val="001C2D62"/>
    <w:rsid w:val="001C2DC2"/>
    <w:rsid w:val="001C2F17"/>
    <w:rsid w:val="001C30F2"/>
    <w:rsid w:val="001C32E5"/>
    <w:rsid w:val="001C3683"/>
    <w:rsid w:val="001C37E7"/>
    <w:rsid w:val="001C4245"/>
    <w:rsid w:val="001C4299"/>
    <w:rsid w:val="001C43F5"/>
    <w:rsid w:val="001C4709"/>
    <w:rsid w:val="001C5239"/>
    <w:rsid w:val="001C54FC"/>
    <w:rsid w:val="001C5501"/>
    <w:rsid w:val="001C58FF"/>
    <w:rsid w:val="001C591F"/>
    <w:rsid w:val="001C5979"/>
    <w:rsid w:val="001C6526"/>
    <w:rsid w:val="001C6A87"/>
    <w:rsid w:val="001C6AF1"/>
    <w:rsid w:val="001C6E3A"/>
    <w:rsid w:val="001C7813"/>
    <w:rsid w:val="001C7B30"/>
    <w:rsid w:val="001D0740"/>
    <w:rsid w:val="001D0B32"/>
    <w:rsid w:val="001D10A0"/>
    <w:rsid w:val="001D1792"/>
    <w:rsid w:val="001D1DC2"/>
    <w:rsid w:val="001D2509"/>
    <w:rsid w:val="001D2DA8"/>
    <w:rsid w:val="001D3116"/>
    <w:rsid w:val="001D347F"/>
    <w:rsid w:val="001D3B9E"/>
    <w:rsid w:val="001D3E83"/>
    <w:rsid w:val="001D3F6F"/>
    <w:rsid w:val="001D4578"/>
    <w:rsid w:val="001D4F99"/>
    <w:rsid w:val="001D4F9A"/>
    <w:rsid w:val="001D5114"/>
    <w:rsid w:val="001D5151"/>
    <w:rsid w:val="001D55F2"/>
    <w:rsid w:val="001D5865"/>
    <w:rsid w:val="001D5C0F"/>
    <w:rsid w:val="001D5E45"/>
    <w:rsid w:val="001D5F7D"/>
    <w:rsid w:val="001D632A"/>
    <w:rsid w:val="001D6553"/>
    <w:rsid w:val="001D65FF"/>
    <w:rsid w:val="001D69FE"/>
    <w:rsid w:val="001D6C77"/>
    <w:rsid w:val="001D729D"/>
    <w:rsid w:val="001D7CF6"/>
    <w:rsid w:val="001E0068"/>
    <w:rsid w:val="001E0734"/>
    <w:rsid w:val="001E095E"/>
    <w:rsid w:val="001E0ACF"/>
    <w:rsid w:val="001E1098"/>
    <w:rsid w:val="001E132A"/>
    <w:rsid w:val="001E1AC9"/>
    <w:rsid w:val="001E1E96"/>
    <w:rsid w:val="001E217A"/>
    <w:rsid w:val="001E21C8"/>
    <w:rsid w:val="001E24D4"/>
    <w:rsid w:val="001E25C4"/>
    <w:rsid w:val="001E272C"/>
    <w:rsid w:val="001E2E6F"/>
    <w:rsid w:val="001E2FC4"/>
    <w:rsid w:val="001E32F2"/>
    <w:rsid w:val="001E3511"/>
    <w:rsid w:val="001E3642"/>
    <w:rsid w:val="001E380A"/>
    <w:rsid w:val="001E38C6"/>
    <w:rsid w:val="001E3DBD"/>
    <w:rsid w:val="001E3FCB"/>
    <w:rsid w:val="001E4938"/>
    <w:rsid w:val="001E4CD8"/>
    <w:rsid w:val="001E4FB6"/>
    <w:rsid w:val="001E5091"/>
    <w:rsid w:val="001E53A9"/>
    <w:rsid w:val="001E55D5"/>
    <w:rsid w:val="001E5BB8"/>
    <w:rsid w:val="001E5ED3"/>
    <w:rsid w:val="001E625D"/>
    <w:rsid w:val="001E6299"/>
    <w:rsid w:val="001E64F3"/>
    <w:rsid w:val="001E655B"/>
    <w:rsid w:val="001E6920"/>
    <w:rsid w:val="001E693A"/>
    <w:rsid w:val="001E701E"/>
    <w:rsid w:val="001E7905"/>
    <w:rsid w:val="001E7AEB"/>
    <w:rsid w:val="001F0190"/>
    <w:rsid w:val="001F0281"/>
    <w:rsid w:val="001F0858"/>
    <w:rsid w:val="001F0883"/>
    <w:rsid w:val="001F08A4"/>
    <w:rsid w:val="001F091C"/>
    <w:rsid w:val="001F0A0A"/>
    <w:rsid w:val="001F0B09"/>
    <w:rsid w:val="001F0B61"/>
    <w:rsid w:val="001F0B74"/>
    <w:rsid w:val="001F0C8C"/>
    <w:rsid w:val="001F0DCF"/>
    <w:rsid w:val="001F141F"/>
    <w:rsid w:val="001F14F2"/>
    <w:rsid w:val="001F1BAB"/>
    <w:rsid w:val="001F203C"/>
    <w:rsid w:val="001F2108"/>
    <w:rsid w:val="001F2493"/>
    <w:rsid w:val="001F2BD3"/>
    <w:rsid w:val="001F2D2C"/>
    <w:rsid w:val="001F2DC5"/>
    <w:rsid w:val="001F2EA1"/>
    <w:rsid w:val="001F32D1"/>
    <w:rsid w:val="001F340F"/>
    <w:rsid w:val="001F353A"/>
    <w:rsid w:val="001F3603"/>
    <w:rsid w:val="001F37B5"/>
    <w:rsid w:val="001F386B"/>
    <w:rsid w:val="001F3CC2"/>
    <w:rsid w:val="001F3D89"/>
    <w:rsid w:val="001F3E07"/>
    <w:rsid w:val="001F41E4"/>
    <w:rsid w:val="001F4BAC"/>
    <w:rsid w:val="001F4DC7"/>
    <w:rsid w:val="001F4FA9"/>
    <w:rsid w:val="001F548A"/>
    <w:rsid w:val="001F579C"/>
    <w:rsid w:val="001F58E5"/>
    <w:rsid w:val="001F5913"/>
    <w:rsid w:val="001F5A77"/>
    <w:rsid w:val="001F5C40"/>
    <w:rsid w:val="001F5F13"/>
    <w:rsid w:val="001F668A"/>
    <w:rsid w:val="001F6D64"/>
    <w:rsid w:val="001F74C3"/>
    <w:rsid w:val="001F752F"/>
    <w:rsid w:val="001F765B"/>
    <w:rsid w:val="001F770A"/>
    <w:rsid w:val="001F790E"/>
    <w:rsid w:val="001F7C6D"/>
    <w:rsid w:val="002007E4"/>
    <w:rsid w:val="00200A9D"/>
    <w:rsid w:val="00200B2E"/>
    <w:rsid w:val="00200DB4"/>
    <w:rsid w:val="00201324"/>
    <w:rsid w:val="0020151D"/>
    <w:rsid w:val="0020194C"/>
    <w:rsid w:val="00201BDF"/>
    <w:rsid w:val="00201E34"/>
    <w:rsid w:val="0020205B"/>
    <w:rsid w:val="00202545"/>
    <w:rsid w:val="00202C45"/>
    <w:rsid w:val="00202E4A"/>
    <w:rsid w:val="00203011"/>
    <w:rsid w:val="002031FC"/>
    <w:rsid w:val="00203733"/>
    <w:rsid w:val="0020390A"/>
    <w:rsid w:val="00203DFF"/>
    <w:rsid w:val="0020460C"/>
    <w:rsid w:val="002049CF"/>
    <w:rsid w:val="00205553"/>
    <w:rsid w:val="0020587F"/>
    <w:rsid w:val="002059C8"/>
    <w:rsid w:val="00205DC3"/>
    <w:rsid w:val="00206073"/>
    <w:rsid w:val="00206928"/>
    <w:rsid w:val="00206C16"/>
    <w:rsid w:val="00206E82"/>
    <w:rsid w:val="0020726F"/>
    <w:rsid w:val="002073CA"/>
    <w:rsid w:val="002076FD"/>
    <w:rsid w:val="0020775A"/>
    <w:rsid w:val="0020777E"/>
    <w:rsid w:val="00207B81"/>
    <w:rsid w:val="00207ED2"/>
    <w:rsid w:val="002101B6"/>
    <w:rsid w:val="00210464"/>
    <w:rsid w:val="002104A5"/>
    <w:rsid w:val="002104FF"/>
    <w:rsid w:val="002109D9"/>
    <w:rsid w:val="00211046"/>
    <w:rsid w:val="002112B2"/>
    <w:rsid w:val="002115DA"/>
    <w:rsid w:val="00211AE6"/>
    <w:rsid w:val="002127F3"/>
    <w:rsid w:val="00212DA6"/>
    <w:rsid w:val="00212F99"/>
    <w:rsid w:val="00212FE8"/>
    <w:rsid w:val="002131C6"/>
    <w:rsid w:val="00213289"/>
    <w:rsid w:val="00213819"/>
    <w:rsid w:val="00213B45"/>
    <w:rsid w:val="002147CA"/>
    <w:rsid w:val="00214AE3"/>
    <w:rsid w:val="002154DF"/>
    <w:rsid w:val="0021569E"/>
    <w:rsid w:val="002158A2"/>
    <w:rsid w:val="00215CE4"/>
    <w:rsid w:val="00215E20"/>
    <w:rsid w:val="00215FD3"/>
    <w:rsid w:val="0021610D"/>
    <w:rsid w:val="002165C1"/>
    <w:rsid w:val="002168CB"/>
    <w:rsid w:val="00216A8E"/>
    <w:rsid w:val="00216AC0"/>
    <w:rsid w:val="00216EDC"/>
    <w:rsid w:val="00217538"/>
    <w:rsid w:val="00217563"/>
    <w:rsid w:val="00217B2D"/>
    <w:rsid w:val="00217DA5"/>
    <w:rsid w:val="00217DBD"/>
    <w:rsid w:val="00217EC2"/>
    <w:rsid w:val="00220268"/>
    <w:rsid w:val="00220ED6"/>
    <w:rsid w:val="0022160A"/>
    <w:rsid w:val="00221747"/>
    <w:rsid w:val="00221FB0"/>
    <w:rsid w:val="00221FE8"/>
    <w:rsid w:val="0022224E"/>
    <w:rsid w:val="0022236B"/>
    <w:rsid w:val="00222514"/>
    <w:rsid w:val="0022253A"/>
    <w:rsid w:val="00222ACC"/>
    <w:rsid w:val="00222D23"/>
    <w:rsid w:val="0022326C"/>
    <w:rsid w:val="00223B9B"/>
    <w:rsid w:val="00223E41"/>
    <w:rsid w:val="00223EC7"/>
    <w:rsid w:val="00224011"/>
    <w:rsid w:val="00224090"/>
    <w:rsid w:val="0022413D"/>
    <w:rsid w:val="00224234"/>
    <w:rsid w:val="002242F0"/>
    <w:rsid w:val="00224457"/>
    <w:rsid w:val="0022452B"/>
    <w:rsid w:val="00224F1D"/>
    <w:rsid w:val="0022522B"/>
    <w:rsid w:val="00225C59"/>
    <w:rsid w:val="0022623F"/>
    <w:rsid w:val="00226D3D"/>
    <w:rsid w:val="002273C5"/>
    <w:rsid w:val="00227517"/>
    <w:rsid w:val="002277AE"/>
    <w:rsid w:val="00227B32"/>
    <w:rsid w:val="0023007D"/>
    <w:rsid w:val="0023009D"/>
    <w:rsid w:val="002301C4"/>
    <w:rsid w:val="00230237"/>
    <w:rsid w:val="002302F5"/>
    <w:rsid w:val="00230377"/>
    <w:rsid w:val="0023084B"/>
    <w:rsid w:val="00231311"/>
    <w:rsid w:val="0023151E"/>
    <w:rsid w:val="00231EF5"/>
    <w:rsid w:val="00231FC9"/>
    <w:rsid w:val="00232115"/>
    <w:rsid w:val="0023219B"/>
    <w:rsid w:val="0023282F"/>
    <w:rsid w:val="00232CDA"/>
    <w:rsid w:val="00232E2E"/>
    <w:rsid w:val="00232E42"/>
    <w:rsid w:val="002332B3"/>
    <w:rsid w:val="00233827"/>
    <w:rsid w:val="00233880"/>
    <w:rsid w:val="00233DA3"/>
    <w:rsid w:val="00233EB7"/>
    <w:rsid w:val="00234272"/>
    <w:rsid w:val="00234809"/>
    <w:rsid w:val="00234856"/>
    <w:rsid w:val="00234B25"/>
    <w:rsid w:val="00234F94"/>
    <w:rsid w:val="00234FA0"/>
    <w:rsid w:val="00235450"/>
    <w:rsid w:val="002359C3"/>
    <w:rsid w:val="00235A57"/>
    <w:rsid w:val="00235ABC"/>
    <w:rsid w:val="00235CBD"/>
    <w:rsid w:val="002360AC"/>
    <w:rsid w:val="00236505"/>
    <w:rsid w:val="00236656"/>
    <w:rsid w:val="002366DD"/>
    <w:rsid w:val="00236731"/>
    <w:rsid w:val="00236E1C"/>
    <w:rsid w:val="00236F25"/>
    <w:rsid w:val="0023749F"/>
    <w:rsid w:val="002374F6"/>
    <w:rsid w:val="002375F5"/>
    <w:rsid w:val="0023766E"/>
    <w:rsid w:val="00237D72"/>
    <w:rsid w:val="00237EDD"/>
    <w:rsid w:val="00240237"/>
    <w:rsid w:val="00240C13"/>
    <w:rsid w:val="00240ED3"/>
    <w:rsid w:val="00240FF6"/>
    <w:rsid w:val="0024121A"/>
    <w:rsid w:val="002412A2"/>
    <w:rsid w:val="00241740"/>
    <w:rsid w:val="00241D43"/>
    <w:rsid w:val="00242CFC"/>
    <w:rsid w:val="00242E04"/>
    <w:rsid w:val="002434F2"/>
    <w:rsid w:val="00243622"/>
    <w:rsid w:val="002436B2"/>
    <w:rsid w:val="00243CB7"/>
    <w:rsid w:val="00243D2B"/>
    <w:rsid w:val="00245257"/>
    <w:rsid w:val="002454C8"/>
    <w:rsid w:val="00245790"/>
    <w:rsid w:val="00245E00"/>
    <w:rsid w:val="00245EA6"/>
    <w:rsid w:val="00245EBA"/>
    <w:rsid w:val="002469A8"/>
    <w:rsid w:val="00246D47"/>
    <w:rsid w:val="00247B52"/>
    <w:rsid w:val="00247E49"/>
    <w:rsid w:val="00250141"/>
    <w:rsid w:val="00250568"/>
    <w:rsid w:val="002507C7"/>
    <w:rsid w:val="00250B5D"/>
    <w:rsid w:val="0025109D"/>
    <w:rsid w:val="002511AF"/>
    <w:rsid w:val="002519F7"/>
    <w:rsid w:val="00251B43"/>
    <w:rsid w:val="00251BF4"/>
    <w:rsid w:val="00251C8A"/>
    <w:rsid w:val="00251D0E"/>
    <w:rsid w:val="002520FE"/>
    <w:rsid w:val="00252146"/>
    <w:rsid w:val="002525B9"/>
    <w:rsid w:val="0025267C"/>
    <w:rsid w:val="002526B8"/>
    <w:rsid w:val="00252961"/>
    <w:rsid w:val="00252B3D"/>
    <w:rsid w:val="00252BA5"/>
    <w:rsid w:val="00253077"/>
    <w:rsid w:val="002531CA"/>
    <w:rsid w:val="002531D4"/>
    <w:rsid w:val="002534F3"/>
    <w:rsid w:val="00253DA3"/>
    <w:rsid w:val="0025407D"/>
    <w:rsid w:val="00254AB4"/>
    <w:rsid w:val="00254DE3"/>
    <w:rsid w:val="00254E48"/>
    <w:rsid w:val="00254E4A"/>
    <w:rsid w:val="0025505F"/>
    <w:rsid w:val="002550FF"/>
    <w:rsid w:val="00255D7F"/>
    <w:rsid w:val="00255F43"/>
    <w:rsid w:val="00255F65"/>
    <w:rsid w:val="00256057"/>
    <w:rsid w:val="002560F7"/>
    <w:rsid w:val="002566A4"/>
    <w:rsid w:val="002568FE"/>
    <w:rsid w:val="0025775A"/>
    <w:rsid w:val="002578D4"/>
    <w:rsid w:val="00257AF8"/>
    <w:rsid w:val="00260781"/>
    <w:rsid w:val="00260992"/>
    <w:rsid w:val="00260A5C"/>
    <w:rsid w:val="00260A76"/>
    <w:rsid w:val="00260FC1"/>
    <w:rsid w:val="002614DA"/>
    <w:rsid w:val="00261921"/>
    <w:rsid w:val="00261C51"/>
    <w:rsid w:val="00261DCD"/>
    <w:rsid w:val="00261E74"/>
    <w:rsid w:val="00261ED0"/>
    <w:rsid w:val="00262372"/>
    <w:rsid w:val="00262577"/>
    <w:rsid w:val="00262CE5"/>
    <w:rsid w:val="00262E05"/>
    <w:rsid w:val="00262E69"/>
    <w:rsid w:val="002632CE"/>
    <w:rsid w:val="00263378"/>
    <w:rsid w:val="00263469"/>
    <w:rsid w:val="0026369F"/>
    <w:rsid w:val="002636AB"/>
    <w:rsid w:val="0026373B"/>
    <w:rsid w:val="00263BE7"/>
    <w:rsid w:val="00264516"/>
    <w:rsid w:val="0026465D"/>
    <w:rsid w:val="00264A81"/>
    <w:rsid w:val="00265045"/>
    <w:rsid w:val="00265096"/>
    <w:rsid w:val="0026589E"/>
    <w:rsid w:val="00265B05"/>
    <w:rsid w:val="00265D5B"/>
    <w:rsid w:val="00265FFF"/>
    <w:rsid w:val="0026670B"/>
    <w:rsid w:val="00266EB3"/>
    <w:rsid w:val="0026743D"/>
    <w:rsid w:val="00267476"/>
    <w:rsid w:val="00267CB6"/>
    <w:rsid w:val="00267EF8"/>
    <w:rsid w:val="00270220"/>
    <w:rsid w:val="0027044D"/>
    <w:rsid w:val="002704CA"/>
    <w:rsid w:val="00270695"/>
    <w:rsid w:val="00270B43"/>
    <w:rsid w:val="00270DD0"/>
    <w:rsid w:val="002716A6"/>
    <w:rsid w:val="00271BC9"/>
    <w:rsid w:val="00272184"/>
    <w:rsid w:val="00272283"/>
    <w:rsid w:val="00272313"/>
    <w:rsid w:val="0027244F"/>
    <w:rsid w:val="00272B9D"/>
    <w:rsid w:val="0027300A"/>
    <w:rsid w:val="00273651"/>
    <w:rsid w:val="0027369B"/>
    <w:rsid w:val="0027378A"/>
    <w:rsid w:val="00273FD5"/>
    <w:rsid w:val="00273FDB"/>
    <w:rsid w:val="0027492F"/>
    <w:rsid w:val="00274B0C"/>
    <w:rsid w:val="00274F3B"/>
    <w:rsid w:val="002753C1"/>
    <w:rsid w:val="002754DC"/>
    <w:rsid w:val="00275624"/>
    <w:rsid w:val="0027562D"/>
    <w:rsid w:val="0027598E"/>
    <w:rsid w:val="00275B33"/>
    <w:rsid w:val="00275B65"/>
    <w:rsid w:val="00275BCE"/>
    <w:rsid w:val="002760B0"/>
    <w:rsid w:val="00276108"/>
    <w:rsid w:val="0027632F"/>
    <w:rsid w:val="002766CD"/>
    <w:rsid w:val="0027678A"/>
    <w:rsid w:val="002768AF"/>
    <w:rsid w:val="002770AD"/>
    <w:rsid w:val="00277171"/>
    <w:rsid w:val="002779C6"/>
    <w:rsid w:val="00277BAB"/>
    <w:rsid w:val="0028043E"/>
    <w:rsid w:val="0028044C"/>
    <w:rsid w:val="0028048B"/>
    <w:rsid w:val="0028049B"/>
    <w:rsid w:val="002806D5"/>
    <w:rsid w:val="00280751"/>
    <w:rsid w:val="00280884"/>
    <w:rsid w:val="0028111A"/>
    <w:rsid w:val="00281311"/>
    <w:rsid w:val="002817EC"/>
    <w:rsid w:val="00281AB7"/>
    <w:rsid w:val="00281F5E"/>
    <w:rsid w:val="002828D4"/>
    <w:rsid w:val="00283592"/>
    <w:rsid w:val="0028363C"/>
    <w:rsid w:val="00283E29"/>
    <w:rsid w:val="00283EDC"/>
    <w:rsid w:val="00283FA3"/>
    <w:rsid w:val="002845AC"/>
    <w:rsid w:val="00284819"/>
    <w:rsid w:val="002856BA"/>
    <w:rsid w:val="00285E6C"/>
    <w:rsid w:val="00285F04"/>
    <w:rsid w:val="00286A7B"/>
    <w:rsid w:val="00286AB3"/>
    <w:rsid w:val="00287075"/>
    <w:rsid w:val="002870A3"/>
    <w:rsid w:val="00287146"/>
    <w:rsid w:val="002876BD"/>
    <w:rsid w:val="00287D08"/>
    <w:rsid w:val="002904F8"/>
    <w:rsid w:val="00290935"/>
    <w:rsid w:val="00290B54"/>
    <w:rsid w:val="002913D6"/>
    <w:rsid w:val="00291A4A"/>
    <w:rsid w:val="00291B3F"/>
    <w:rsid w:val="00291BB4"/>
    <w:rsid w:val="00291C75"/>
    <w:rsid w:val="00291D63"/>
    <w:rsid w:val="00291FC5"/>
    <w:rsid w:val="002925DE"/>
    <w:rsid w:val="00292C66"/>
    <w:rsid w:val="002930E6"/>
    <w:rsid w:val="0029318B"/>
    <w:rsid w:val="00293680"/>
    <w:rsid w:val="00293716"/>
    <w:rsid w:val="00293AE4"/>
    <w:rsid w:val="00293BEA"/>
    <w:rsid w:val="00293DB0"/>
    <w:rsid w:val="00293DED"/>
    <w:rsid w:val="002942A8"/>
    <w:rsid w:val="0029457A"/>
    <w:rsid w:val="00294BC0"/>
    <w:rsid w:val="00294C41"/>
    <w:rsid w:val="0029505A"/>
    <w:rsid w:val="002958B8"/>
    <w:rsid w:val="00295D77"/>
    <w:rsid w:val="00295F12"/>
    <w:rsid w:val="0029637C"/>
    <w:rsid w:val="002963ED"/>
    <w:rsid w:val="00296613"/>
    <w:rsid w:val="002968DB"/>
    <w:rsid w:val="002972FC"/>
    <w:rsid w:val="00297402"/>
    <w:rsid w:val="00297462"/>
    <w:rsid w:val="00297CA9"/>
    <w:rsid w:val="00297CCA"/>
    <w:rsid w:val="00297E59"/>
    <w:rsid w:val="00297EC6"/>
    <w:rsid w:val="002A0AED"/>
    <w:rsid w:val="002A13AD"/>
    <w:rsid w:val="002A24F8"/>
    <w:rsid w:val="002A2754"/>
    <w:rsid w:val="002A289B"/>
    <w:rsid w:val="002A307B"/>
    <w:rsid w:val="002A314B"/>
    <w:rsid w:val="002A36DE"/>
    <w:rsid w:val="002A38F1"/>
    <w:rsid w:val="002A3D6D"/>
    <w:rsid w:val="002A3DA4"/>
    <w:rsid w:val="002A3FC4"/>
    <w:rsid w:val="002A4056"/>
    <w:rsid w:val="002A4235"/>
    <w:rsid w:val="002A4333"/>
    <w:rsid w:val="002A4489"/>
    <w:rsid w:val="002A463A"/>
    <w:rsid w:val="002A46B2"/>
    <w:rsid w:val="002A46B5"/>
    <w:rsid w:val="002A490A"/>
    <w:rsid w:val="002A4ADF"/>
    <w:rsid w:val="002A4B40"/>
    <w:rsid w:val="002A4BB4"/>
    <w:rsid w:val="002A4CF9"/>
    <w:rsid w:val="002A4DF9"/>
    <w:rsid w:val="002A5D29"/>
    <w:rsid w:val="002A5D8B"/>
    <w:rsid w:val="002A6C04"/>
    <w:rsid w:val="002A6C11"/>
    <w:rsid w:val="002A6C41"/>
    <w:rsid w:val="002A6CDD"/>
    <w:rsid w:val="002A6D7C"/>
    <w:rsid w:val="002A6EF5"/>
    <w:rsid w:val="002A6FC7"/>
    <w:rsid w:val="002A71CD"/>
    <w:rsid w:val="002A7217"/>
    <w:rsid w:val="002A7700"/>
    <w:rsid w:val="002A783B"/>
    <w:rsid w:val="002A7C5C"/>
    <w:rsid w:val="002A7DF3"/>
    <w:rsid w:val="002A7EC1"/>
    <w:rsid w:val="002B00B5"/>
    <w:rsid w:val="002B0CFA"/>
    <w:rsid w:val="002B0D2B"/>
    <w:rsid w:val="002B1602"/>
    <w:rsid w:val="002B171F"/>
    <w:rsid w:val="002B17BB"/>
    <w:rsid w:val="002B1AA4"/>
    <w:rsid w:val="002B1C2D"/>
    <w:rsid w:val="002B1DB7"/>
    <w:rsid w:val="002B1DE7"/>
    <w:rsid w:val="002B1F25"/>
    <w:rsid w:val="002B20F0"/>
    <w:rsid w:val="002B23CD"/>
    <w:rsid w:val="002B2489"/>
    <w:rsid w:val="002B25C0"/>
    <w:rsid w:val="002B2F1F"/>
    <w:rsid w:val="002B2FCD"/>
    <w:rsid w:val="002B31C9"/>
    <w:rsid w:val="002B32A8"/>
    <w:rsid w:val="002B3565"/>
    <w:rsid w:val="002B407B"/>
    <w:rsid w:val="002B407C"/>
    <w:rsid w:val="002B4174"/>
    <w:rsid w:val="002B48CD"/>
    <w:rsid w:val="002B4CAF"/>
    <w:rsid w:val="002B52B8"/>
    <w:rsid w:val="002B553B"/>
    <w:rsid w:val="002B587D"/>
    <w:rsid w:val="002B5899"/>
    <w:rsid w:val="002B5B0B"/>
    <w:rsid w:val="002B6A07"/>
    <w:rsid w:val="002B6AE7"/>
    <w:rsid w:val="002B6C6B"/>
    <w:rsid w:val="002B6F77"/>
    <w:rsid w:val="002B7051"/>
    <w:rsid w:val="002B72F5"/>
    <w:rsid w:val="002B737D"/>
    <w:rsid w:val="002B76BC"/>
    <w:rsid w:val="002B780E"/>
    <w:rsid w:val="002B7880"/>
    <w:rsid w:val="002B78F7"/>
    <w:rsid w:val="002B7AF2"/>
    <w:rsid w:val="002B7B53"/>
    <w:rsid w:val="002B7E80"/>
    <w:rsid w:val="002C043E"/>
    <w:rsid w:val="002C04C2"/>
    <w:rsid w:val="002C09A2"/>
    <w:rsid w:val="002C0F8E"/>
    <w:rsid w:val="002C13EA"/>
    <w:rsid w:val="002C1547"/>
    <w:rsid w:val="002C1D92"/>
    <w:rsid w:val="002C22B3"/>
    <w:rsid w:val="002C25A0"/>
    <w:rsid w:val="002C2715"/>
    <w:rsid w:val="002C2828"/>
    <w:rsid w:val="002C282D"/>
    <w:rsid w:val="002C2A15"/>
    <w:rsid w:val="002C321C"/>
    <w:rsid w:val="002C32D8"/>
    <w:rsid w:val="002C3384"/>
    <w:rsid w:val="002C3560"/>
    <w:rsid w:val="002C3EFD"/>
    <w:rsid w:val="002C3F67"/>
    <w:rsid w:val="002C40BC"/>
    <w:rsid w:val="002C4179"/>
    <w:rsid w:val="002C4365"/>
    <w:rsid w:val="002C4573"/>
    <w:rsid w:val="002C47D3"/>
    <w:rsid w:val="002C4A07"/>
    <w:rsid w:val="002C4A2C"/>
    <w:rsid w:val="002C4D3E"/>
    <w:rsid w:val="002C5122"/>
    <w:rsid w:val="002C5235"/>
    <w:rsid w:val="002C536C"/>
    <w:rsid w:val="002C5395"/>
    <w:rsid w:val="002C555C"/>
    <w:rsid w:val="002C5B2A"/>
    <w:rsid w:val="002C5DB1"/>
    <w:rsid w:val="002C5F6C"/>
    <w:rsid w:val="002C6693"/>
    <w:rsid w:val="002C6710"/>
    <w:rsid w:val="002C6AAC"/>
    <w:rsid w:val="002C729B"/>
    <w:rsid w:val="002C73EA"/>
    <w:rsid w:val="002C7628"/>
    <w:rsid w:val="002C7FEF"/>
    <w:rsid w:val="002D0A21"/>
    <w:rsid w:val="002D0A8B"/>
    <w:rsid w:val="002D0E2C"/>
    <w:rsid w:val="002D1038"/>
    <w:rsid w:val="002D10F3"/>
    <w:rsid w:val="002D17D4"/>
    <w:rsid w:val="002D1D09"/>
    <w:rsid w:val="002D1E0C"/>
    <w:rsid w:val="002D1F56"/>
    <w:rsid w:val="002D212B"/>
    <w:rsid w:val="002D21B8"/>
    <w:rsid w:val="002D2322"/>
    <w:rsid w:val="002D23E1"/>
    <w:rsid w:val="002D3B57"/>
    <w:rsid w:val="002D3F88"/>
    <w:rsid w:val="002D4193"/>
    <w:rsid w:val="002D44F3"/>
    <w:rsid w:val="002D47E6"/>
    <w:rsid w:val="002D47ED"/>
    <w:rsid w:val="002D4B67"/>
    <w:rsid w:val="002D51E8"/>
    <w:rsid w:val="002D5210"/>
    <w:rsid w:val="002D5353"/>
    <w:rsid w:val="002D5398"/>
    <w:rsid w:val="002D54E6"/>
    <w:rsid w:val="002D5584"/>
    <w:rsid w:val="002D65F7"/>
    <w:rsid w:val="002D66F5"/>
    <w:rsid w:val="002D6A84"/>
    <w:rsid w:val="002D6B9C"/>
    <w:rsid w:val="002D6DAF"/>
    <w:rsid w:val="002D70B7"/>
    <w:rsid w:val="002D78D4"/>
    <w:rsid w:val="002E0666"/>
    <w:rsid w:val="002E06BA"/>
    <w:rsid w:val="002E0875"/>
    <w:rsid w:val="002E0C9C"/>
    <w:rsid w:val="002E17E2"/>
    <w:rsid w:val="002E18FF"/>
    <w:rsid w:val="002E1F47"/>
    <w:rsid w:val="002E2041"/>
    <w:rsid w:val="002E2335"/>
    <w:rsid w:val="002E23C3"/>
    <w:rsid w:val="002E288B"/>
    <w:rsid w:val="002E2FCE"/>
    <w:rsid w:val="002E3515"/>
    <w:rsid w:val="002E37F7"/>
    <w:rsid w:val="002E3891"/>
    <w:rsid w:val="002E3909"/>
    <w:rsid w:val="002E429F"/>
    <w:rsid w:val="002E456A"/>
    <w:rsid w:val="002E479B"/>
    <w:rsid w:val="002E4928"/>
    <w:rsid w:val="002E4943"/>
    <w:rsid w:val="002E49CB"/>
    <w:rsid w:val="002E4A2F"/>
    <w:rsid w:val="002E4A3A"/>
    <w:rsid w:val="002E4C21"/>
    <w:rsid w:val="002E52CC"/>
    <w:rsid w:val="002E56C6"/>
    <w:rsid w:val="002E584F"/>
    <w:rsid w:val="002E58C5"/>
    <w:rsid w:val="002E5B3F"/>
    <w:rsid w:val="002E5B9E"/>
    <w:rsid w:val="002E640D"/>
    <w:rsid w:val="002E67B2"/>
    <w:rsid w:val="002E69FE"/>
    <w:rsid w:val="002E6B7A"/>
    <w:rsid w:val="002E6C28"/>
    <w:rsid w:val="002E6CA3"/>
    <w:rsid w:val="002E6DBB"/>
    <w:rsid w:val="002E6DC0"/>
    <w:rsid w:val="002E7001"/>
    <w:rsid w:val="002E786E"/>
    <w:rsid w:val="002E7991"/>
    <w:rsid w:val="002E7A32"/>
    <w:rsid w:val="002E7EE9"/>
    <w:rsid w:val="002F07CD"/>
    <w:rsid w:val="002F0A6E"/>
    <w:rsid w:val="002F0B21"/>
    <w:rsid w:val="002F0BD0"/>
    <w:rsid w:val="002F0BF5"/>
    <w:rsid w:val="002F1C4F"/>
    <w:rsid w:val="002F1ECC"/>
    <w:rsid w:val="002F1F18"/>
    <w:rsid w:val="002F2139"/>
    <w:rsid w:val="002F25E9"/>
    <w:rsid w:val="002F29A0"/>
    <w:rsid w:val="002F2DCA"/>
    <w:rsid w:val="002F4165"/>
    <w:rsid w:val="002F44C2"/>
    <w:rsid w:val="002F4916"/>
    <w:rsid w:val="002F4B98"/>
    <w:rsid w:val="002F4FB6"/>
    <w:rsid w:val="002F5139"/>
    <w:rsid w:val="002F57C5"/>
    <w:rsid w:val="002F57C9"/>
    <w:rsid w:val="002F5CA3"/>
    <w:rsid w:val="002F5D3C"/>
    <w:rsid w:val="002F5DE3"/>
    <w:rsid w:val="002F6100"/>
    <w:rsid w:val="002F6632"/>
    <w:rsid w:val="002F6B47"/>
    <w:rsid w:val="002F6C77"/>
    <w:rsid w:val="002F7038"/>
    <w:rsid w:val="002F71D3"/>
    <w:rsid w:val="002F7431"/>
    <w:rsid w:val="002F7537"/>
    <w:rsid w:val="002F76E9"/>
    <w:rsid w:val="002F7842"/>
    <w:rsid w:val="002F7E42"/>
    <w:rsid w:val="002F7F6A"/>
    <w:rsid w:val="003003E2"/>
    <w:rsid w:val="00300447"/>
    <w:rsid w:val="0030046D"/>
    <w:rsid w:val="00300640"/>
    <w:rsid w:val="00300778"/>
    <w:rsid w:val="00300862"/>
    <w:rsid w:val="0030088D"/>
    <w:rsid w:val="003008E6"/>
    <w:rsid w:val="00300EC2"/>
    <w:rsid w:val="003011BF"/>
    <w:rsid w:val="0030152A"/>
    <w:rsid w:val="0030153A"/>
    <w:rsid w:val="003017BE"/>
    <w:rsid w:val="00301B40"/>
    <w:rsid w:val="00301C03"/>
    <w:rsid w:val="00301EAE"/>
    <w:rsid w:val="00301ED6"/>
    <w:rsid w:val="00302038"/>
    <w:rsid w:val="0030250D"/>
    <w:rsid w:val="00302572"/>
    <w:rsid w:val="003027A8"/>
    <w:rsid w:val="00302A79"/>
    <w:rsid w:val="00302C18"/>
    <w:rsid w:val="003030BA"/>
    <w:rsid w:val="0030325E"/>
    <w:rsid w:val="00303661"/>
    <w:rsid w:val="00303961"/>
    <w:rsid w:val="00303BD5"/>
    <w:rsid w:val="00303CCE"/>
    <w:rsid w:val="00303E3A"/>
    <w:rsid w:val="00303E4B"/>
    <w:rsid w:val="003043D2"/>
    <w:rsid w:val="003044A7"/>
    <w:rsid w:val="003045FF"/>
    <w:rsid w:val="003048BC"/>
    <w:rsid w:val="00304EF4"/>
    <w:rsid w:val="00305AF5"/>
    <w:rsid w:val="00305B00"/>
    <w:rsid w:val="00306030"/>
    <w:rsid w:val="00306780"/>
    <w:rsid w:val="00307153"/>
    <w:rsid w:val="00307282"/>
    <w:rsid w:val="00307581"/>
    <w:rsid w:val="00307800"/>
    <w:rsid w:val="00307DE3"/>
    <w:rsid w:val="00307EE7"/>
    <w:rsid w:val="00307EF8"/>
    <w:rsid w:val="00307FB6"/>
    <w:rsid w:val="00310F51"/>
    <w:rsid w:val="0031121F"/>
    <w:rsid w:val="00311304"/>
    <w:rsid w:val="0031147C"/>
    <w:rsid w:val="003114B3"/>
    <w:rsid w:val="00311AEC"/>
    <w:rsid w:val="00312073"/>
    <w:rsid w:val="00312320"/>
    <w:rsid w:val="0031235A"/>
    <w:rsid w:val="003123E9"/>
    <w:rsid w:val="00312602"/>
    <w:rsid w:val="00312916"/>
    <w:rsid w:val="00312D05"/>
    <w:rsid w:val="00313432"/>
    <w:rsid w:val="00313587"/>
    <w:rsid w:val="00313AA4"/>
    <w:rsid w:val="00313FF8"/>
    <w:rsid w:val="003140E6"/>
    <w:rsid w:val="00314485"/>
    <w:rsid w:val="003145C4"/>
    <w:rsid w:val="00314EFF"/>
    <w:rsid w:val="0031528F"/>
    <w:rsid w:val="0031535C"/>
    <w:rsid w:val="00315585"/>
    <w:rsid w:val="00315622"/>
    <w:rsid w:val="00315855"/>
    <w:rsid w:val="00315CFC"/>
    <w:rsid w:val="00315D13"/>
    <w:rsid w:val="00315F65"/>
    <w:rsid w:val="0031611A"/>
    <w:rsid w:val="00316274"/>
    <w:rsid w:val="00316EE5"/>
    <w:rsid w:val="00317119"/>
    <w:rsid w:val="00317156"/>
    <w:rsid w:val="00317551"/>
    <w:rsid w:val="003176D6"/>
    <w:rsid w:val="00317930"/>
    <w:rsid w:val="00317B60"/>
    <w:rsid w:val="00320BA3"/>
    <w:rsid w:val="00320C71"/>
    <w:rsid w:val="00320D1D"/>
    <w:rsid w:val="00320E0A"/>
    <w:rsid w:val="00321131"/>
    <w:rsid w:val="00321137"/>
    <w:rsid w:val="00321542"/>
    <w:rsid w:val="00321C76"/>
    <w:rsid w:val="00322440"/>
    <w:rsid w:val="003229CA"/>
    <w:rsid w:val="00323063"/>
    <w:rsid w:val="00323283"/>
    <w:rsid w:val="003234E6"/>
    <w:rsid w:val="0032380A"/>
    <w:rsid w:val="00323975"/>
    <w:rsid w:val="00323EDD"/>
    <w:rsid w:val="0032407D"/>
    <w:rsid w:val="0032424B"/>
    <w:rsid w:val="003243D5"/>
    <w:rsid w:val="0032480B"/>
    <w:rsid w:val="00324C65"/>
    <w:rsid w:val="00324E02"/>
    <w:rsid w:val="00325098"/>
    <w:rsid w:val="003251E1"/>
    <w:rsid w:val="0032524E"/>
    <w:rsid w:val="00325A0D"/>
    <w:rsid w:val="00325A65"/>
    <w:rsid w:val="00325B4F"/>
    <w:rsid w:val="00327052"/>
    <w:rsid w:val="0032724E"/>
    <w:rsid w:val="003272DD"/>
    <w:rsid w:val="00327485"/>
    <w:rsid w:val="003274B6"/>
    <w:rsid w:val="00327805"/>
    <w:rsid w:val="00327925"/>
    <w:rsid w:val="00327FD3"/>
    <w:rsid w:val="00330504"/>
    <w:rsid w:val="00330CA3"/>
    <w:rsid w:val="00330F50"/>
    <w:rsid w:val="0033135B"/>
    <w:rsid w:val="00331509"/>
    <w:rsid w:val="003316FD"/>
    <w:rsid w:val="003319A8"/>
    <w:rsid w:val="003319CC"/>
    <w:rsid w:val="00331A5E"/>
    <w:rsid w:val="00331BBB"/>
    <w:rsid w:val="00332131"/>
    <w:rsid w:val="0033220C"/>
    <w:rsid w:val="00332539"/>
    <w:rsid w:val="003327A3"/>
    <w:rsid w:val="00332B70"/>
    <w:rsid w:val="00332CA3"/>
    <w:rsid w:val="00332CF8"/>
    <w:rsid w:val="003331F6"/>
    <w:rsid w:val="003334C5"/>
    <w:rsid w:val="003334C7"/>
    <w:rsid w:val="003335F7"/>
    <w:rsid w:val="003336C5"/>
    <w:rsid w:val="00334389"/>
    <w:rsid w:val="00334614"/>
    <w:rsid w:val="00334747"/>
    <w:rsid w:val="00334955"/>
    <w:rsid w:val="00334A2A"/>
    <w:rsid w:val="00334BEA"/>
    <w:rsid w:val="00334ED7"/>
    <w:rsid w:val="00335A0C"/>
    <w:rsid w:val="00335BA5"/>
    <w:rsid w:val="00335E10"/>
    <w:rsid w:val="003361FB"/>
    <w:rsid w:val="003363DA"/>
    <w:rsid w:val="0033641F"/>
    <w:rsid w:val="003365F6"/>
    <w:rsid w:val="00336657"/>
    <w:rsid w:val="003367C6"/>
    <w:rsid w:val="003368F1"/>
    <w:rsid w:val="00336A3D"/>
    <w:rsid w:val="00336E26"/>
    <w:rsid w:val="00336F65"/>
    <w:rsid w:val="003370FB"/>
    <w:rsid w:val="003377DC"/>
    <w:rsid w:val="00337989"/>
    <w:rsid w:val="0034065A"/>
    <w:rsid w:val="00340C4D"/>
    <w:rsid w:val="00341DE0"/>
    <w:rsid w:val="003420C1"/>
    <w:rsid w:val="003420E0"/>
    <w:rsid w:val="00342173"/>
    <w:rsid w:val="003423CA"/>
    <w:rsid w:val="003428F3"/>
    <w:rsid w:val="00342C49"/>
    <w:rsid w:val="00342C4D"/>
    <w:rsid w:val="00342D06"/>
    <w:rsid w:val="00343135"/>
    <w:rsid w:val="00343B7B"/>
    <w:rsid w:val="00343F42"/>
    <w:rsid w:val="003440FE"/>
    <w:rsid w:val="00344672"/>
    <w:rsid w:val="003446A9"/>
    <w:rsid w:val="00344C80"/>
    <w:rsid w:val="00344D5B"/>
    <w:rsid w:val="00344FFD"/>
    <w:rsid w:val="00345461"/>
    <w:rsid w:val="0034574D"/>
    <w:rsid w:val="003459B8"/>
    <w:rsid w:val="00346372"/>
    <w:rsid w:val="003463A3"/>
    <w:rsid w:val="003465BD"/>
    <w:rsid w:val="003468F1"/>
    <w:rsid w:val="00346F16"/>
    <w:rsid w:val="00346F99"/>
    <w:rsid w:val="0034703F"/>
    <w:rsid w:val="0034750A"/>
    <w:rsid w:val="003476F5"/>
    <w:rsid w:val="00347BA8"/>
    <w:rsid w:val="00347F4B"/>
    <w:rsid w:val="00350A2D"/>
    <w:rsid w:val="00350C48"/>
    <w:rsid w:val="003511D3"/>
    <w:rsid w:val="003511EE"/>
    <w:rsid w:val="00351B24"/>
    <w:rsid w:val="00351B64"/>
    <w:rsid w:val="00351D0D"/>
    <w:rsid w:val="00351FE8"/>
    <w:rsid w:val="00352130"/>
    <w:rsid w:val="00352289"/>
    <w:rsid w:val="0035243F"/>
    <w:rsid w:val="00352C0A"/>
    <w:rsid w:val="00352C21"/>
    <w:rsid w:val="00352CCE"/>
    <w:rsid w:val="00353573"/>
    <w:rsid w:val="00353707"/>
    <w:rsid w:val="00353C92"/>
    <w:rsid w:val="00353D85"/>
    <w:rsid w:val="00354038"/>
    <w:rsid w:val="0035521C"/>
    <w:rsid w:val="003555CC"/>
    <w:rsid w:val="00355721"/>
    <w:rsid w:val="00355CF2"/>
    <w:rsid w:val="0035604F"/>
    <w:rsid w:val="003561B4"/>
    <w:rsid w:val="00356776"/>
    <w:rsid w:val="003568F6"/>
    <w:rsid w:val="00356F1C"/>
    <w:rsid w:val="003574ED"/>
    <w:rsid w:val="003576A7"/>
    <w:rsid w:val="003576FA"/>
    <w:rsid w:val="00357EB1"/>
    <w:rsid w:val="00360214"/>
    <w:rsid w:val="0036096A"/>
    <w:rsid w:val="00360B61"/>
    <w:rsid w:val="00361287"/>
    <w:rsid w:val="0036141C"/>
    <w:rsid w:val="003617F3"/>
    <w:rsid w:val="00361EB6"/>
    <w:rsid w:val="00361F2F"/>
    <w:rsid w:val="00361FBC"/>
    <w:rsid w:val="00362866"/>
    <w:rsid w:val="003628F9"/>
    <w:rsid w:val="00362D3F"/>
    <w:rsid w:val="00362E3A"/>
    <w:rsid w:val="003630B0"/>
    <w:rsid w:val="00363120"/>
    <w:rsid w:val="003633C4"/>
    <w:rsid w:val="00363763"/>
    <w:rsid w:val="00363A92"/>
    <w:rsid w:val="00363BBC"/>
    <w:rsid w:val="00364154"/>
    <w:rsid w:val="00365B0E"/>
    <w:rsid w:val="00366470"/>
    <w:rsid w:val="0036654F"/>
    <w:rsid w:val="003667C6"/>
    <w:rsid w:val="00366880"/>
    <w:rsid w:val="003669C1"/>
    <w:rsid w:val="003669E5"/>
    <w:rsid w:val="00367137"/>
    <w:rsid w:val="003671C0"/>
    <w:rsid w:val="00367673"/>
    <w:rsid w:val="00367B4C"/>
    <w:rsid w:val="00370235"/>
    <w:rsid w:val="00370617"/>
    <w:rsid w:val="00370901"/>
    <w:rsid w:val="003709D8"/>
    <w:rsid w:val="00370D02"/>
    <w:rsid w:val="003714F4"/>
    <w:rsid w:val="00371C1B"/>
    <w:rsid w:val="00371D63"/>
    <w:rsid w:val="00371FE4"/>
    <w:rsid w:val="003724EC"/>
    <w:rsid w:val="0037309C"/>
    <w:rsid w:val="00373317"/>
    <w:rsid w:val="0037377A"/>
    <w:rsid w:val="00373853"/>
    <w:rsid w:val="00373994"/>
    <w:rsid w:val="00373D12"/>
    <w:rsid w:val="00374104"/>
    <w:rsid w:val="00374140"/>
    <w:rsid w:val="00374298"/>
    <w:rsid w:val="0037511C"/>
    <w:rsid w:val="003751ED"/>
    <w:rsid w:val="003752C3"/>
    <w:rsid w:val="003752DA"/>
    <w:rsid w:val="003752E2"/>
    <w:rsid w:val="00375EF5"/>
    <w:rsid w:val="0037615F"/>
    <w:rsid w:val="0037631B"/>
    <w:rsid w:val="003765AD"/>
    <w:rsid w:val="0037697B"/>
    <w:rsid w:val="00376B17"/>
    <w:rsid w:val="00376EB2"/>
    <w:rsid w:val="00377171"/>
    <w:rsid w:val="003774FF"/>
    <w:rsid w:val="0037763B"/>
    <w:rsid w:val="003776A7"/>
    <w:rsid w:val="00377A51"/>
    <w:rsid w:val="00377E6C"/>
    <w:rsid w:val="003807EF"/>
    <w:rsid w:val="00380901"/>
    <w:rsid w:val="00380984"/>
    <w:rsid w:val="00380A99"/>
    <w:rsid w:val="00380BA7"/>
    <w:rsid w:val="00380C68"/>
    <w:rsid w:val="003810BB"/>
    <w:rsid w:val="0038125D"/>
    <w:rsid w:val="00381327"/>
    <w:rsid w:val="0038154E"/>
    <w:rsid w:val="00381D36"/>
    <w:rsid w:val="00382150"/>
    <w:rsid w:val="00382E58"/>
    <w:rsid w:val="00382FB9"/>
    <w:rsid w:val="0038300B"/>
    <w:rsid w:val="0038327D"/>
    <w:rsid w:val="00383292"/>
    <w:rsid w:val="003832A8"/>
    <w:rsid w:val="003833EC"/>
    <w:rsid w:val="003836AB"/>
    <w:rsid w:val="00383766"/>
    <w:rsid w:val="00383D60"/>
    <w:rsid w:val="0038434D"/>
    <w:rsid w:val="003845A7"/>
    <w:rsid w:val="003857BF"/>
    <w:rsid w:val="003857CF"/>
    <w:rsid w:val="00385DC0"/>
    <w:rsid w:val="003866A9"/>
    <w:rsid w:val="003868F9"/>
    <w:rsid w:val="00386AB5"/>
    <w:rsid w:val="00386DE5"/>
    <w:rsid w:val="003870F1"/>
    <w:rsid w:val="00387B23"/>
    <w:rsid w:val="00387D16"/>
    <w:rsid w:val="003901B7"/>
    <w:rsid w:val="003907CF"/>
    <w:rsid w:val="00390F45"/>
    <w:rsid w:val="00391137"/>
    <w:rsid w:val="00391247"/>
    <w:rsid w:val="00391316"/>
    <w:rsid w:val="00391DD9"/>
    <w:rsid w:val="00391E78"/>
    <w:rsid w:val="00391F27"/>
    <w:rsid w:val="003920B2"/>
    <w:rsid w:val="0039222B"/>
    <w:rsid w:val="003923AB"/>
    <w:rsid w:val="00392A30"/>
    <w:rsid w:val="00392E40"/>
    <w:rsid w:val="0039318E"/>
    <w:rsid w:val="00393564"/>
    <w:rsid w:val="003936CD"/>
    <w:rsid w:val="003938BA"/>
    <w:rsid w:val="00393D5E"/>
    <w:rsid w:val="00393EA9"/>
    <w:rsid w:val="00393F24"/>
    <w:rsid w:val="00394109"/>
    <w:rsid w:val="00394651"/>
    <w:rsid w:val="00394723"/>
    <w:rsid w:val="003947B8"/>
    <w:rsid w:val="00395135"/>
    <w:rsid w:val="00395181"/>
    <w:rsid w:val="003960AD"/>
    <w:rsid w:val="003963F7"/>
    <w:rsid w:val="003964CC"/>
    <w:rsid w:val="00396652"/>
    <w:rsid w:val="0039686E"/>
    <w:rsid w:val="003971A4"/>
    <w:rsid w:val="00397205"/>
    <w:rsid w:val="003973A1"/>
    <w:rsid w:val="00397636"/>
    <w:rsid w:val="00397703"/>
    <w:rsid w:val="00397E67"/>
    <w:rsid w:val="00397EC6"/>
    <w:rsid w:val="00397F27"/>
    <w:rsid w:val="003A01DA"/>
    <w:rsid w:val="003A0227"/>
    <w:rsid w:val="003A024F"/>
    <w:rsid w:val="003A02D7"/>
    <w:rsid w:val="003A036C"/>
    <w:rsid w:val="003A054A"/>
    <w:rsid w:val="003A07AC"/>
    <w:rsid w:val="003A0F29"/>
    <w:rsid w:val="003A13C5"/>
    <w:rsid w:val="003A17B0"/>
    <w:rsid w:val="003A1906"/>
    <w:rsid w:val="003A1F80"/>
    <w:rsid w:val="003A295A"/>
    <w:rsid w:val="003A2BFD"/>
    <w:rsid w:val="003A37BF"/>
    <w:rsid w:val="003A3AE7"/>
    <w:rsid w:val="003A3E89"/>
    <w:rsid w:val="003A3F14"/>
    <w:rsid w:val="003A444D"/>
    <w:rsid w:val="003A4505"/>
    <w:rsid w:val="003A48D3"/>
    <w:rsid w:val="003A496B"/>
    <w:rsid w:val="003A5185"/>
    <w:rsid w:val="003A5365"/>
    <w:rsid w:val="003A546D"/>
    <w:rsid w:val="003A561C"/>
    <w:rsid w:val="003A583B"/>
    <w:rsid w:val="003A634F"/>
    <w:rsid w:val="003A64FA"/>
    <w:rsid w:val="003A758D"/>
    <w:rsid w:val="003A764A"/>
    <w:rsid w:val="003A7910"/>
    <w:rsid w:val="003A7954"/>
    <w:rsid w:val="003A79F1"/>
    <w:rsid w:val="003A7D28"/>
    <w:rsid w:val="003A7D9F"/>
    <w:rsid w:val="003B0339"/>
    <w:rsid w:val="003B0406"/>
    <w:rsid w:val="003B0533"/>
    <w:rsid w:val="003B061E"/>
    <w:rsid w:val="003B06BF"/>
    <w:rsid w:val="003B0724"/>
    <w:rsid w:val="003B0C7D"/>
    <w:rsid w:val="003B0CE7"/>
    <w:rsid w:val="003B12B7"/>
    <w:rsid w:val="003B12EE"/>
    <w:rsid w:val="003B148C"/>
    <w:rsid w:val="003B1D04"/>
    <w:rsid w:val="003B21DB"/>
    <w:rsid w:val="003B2829"/>
    <w:rsid w:val="003B28B9"/>
    <w:rsid w:val="003B29EE"/>
    <w:rsid w:val="003B2E3A"/>
    <w:rsid w:val="003B302D"/>
    <w:rsid w:val="003B32F7"/>
    <w:rsid w:val="003B342C"/>
    <w:rsid w:val="003B39B6"/>
    <w:rsid w:val="003B3E59"/>
    <w:rsid w:val="003B4109"/>
    <w:rsid w:val="003B430A"/>
    <w:rsid w:val="003B4389"/>
    <w:rsid w:val="003B47C2"/>
    <w:rsid w:val="003B482F"/>
    <w:rsid w:val="003B4BE8"/>
    <w:rsid w:val="003B4DF4"/>
    <w:rsid w:val="003B4E07"/>
    <w:rsid w:val="003B5119"/>
    <w:rsid w:val="003B5ACD"/>
    <w:rsid w:val="003B5AD3"/>
    <w:rsid w:val="003B5B23"/>
    <w:rsid w:val="003B5EB7"/>
    <w:rsid w:val="003B5FA4"/>
    <w:rsid w:val="003B605B"/>
    <w:rsid w:val="003B6091"/>
    <w:rsid w:val="003B60CD"/>
    <w:rsid w:val="003B6539"/>
    <w:rsid w:val="003B6A27"/>
    <w:rsid w:val="003B735C"/>
    <w:rsid w:val="003B7430"/>
    <w:rsid w:val="003B7C71"/>
    <w:rsid w:val="003B7EC7"/>
    <w:rsid w:val="003C0482"/>
    <w:rsid w:val="003C04CA"/>
    <w:rsid w:val="003C05CC"/>
    <w:rsid w:val="003C064E"/>
    <w:rsid w:val="003C091E"/>
    <w:rsid w:val="003C09E7"/>
    <w:rsid w:val="003C0BD2"/>
    <w:rsid w:val="003C0BED"/>
    <w:rsid w:val="003C0D84"/>
    <w:rsid w:val="003C0E71"/>
    <w:rsid w:val="003C16C4"/>
    <w:rsid w:val="003C18AD"/>
    <w:rsid w:val="003C20D3"/>
    <w:rsid w:val="003C217F"/>
    <w:rsid w:val="003C2217"/>
    <w:rsid w:val="003C22EE"/>
    <w:rsid w:val="003C2AA7"/>
    <w:rsid w:val="003C2BA6"/>
    <w:rsid w:val="003C2C68"/>
    <w:rsid w:val="003C2E9B"/>
    <w:rsid w:val="003C32F1"/>
    <w:rsid w:val="003C3368"/>
    <w:rsid w:val="003C365D"/>
    <w:rsid w:val="003C3A14"/>
    <w:rsid w:val="003C3BC2"/>
    <w:rsid w:val="003C3C33"/>
    <w:rsid w:val="003C3F27"/>
    <w:rsid w:val="003C404F"/>
    <w:rsid w:val="003C474B"/>
    <w:rsid w:val="003C4FAA"/>
    <w:rsid w:val="003C5099"/>
    <w:rsid w:val="003C5581"/>
    <w:rsid w:val="003C580F"/>
    <w:rsid w:val="003C5AF6"/>
    <w:rsid w:val="003C5EB6"/>
    <w:rsid w:val="003C60F6"/>
    <w:rsid w:val="003C62D6"/>
    <w:rsid w:val="003C673F"/>
    <w:rsid w:val="003C6B7E"/>
    <w:rsid w:val="003C71FE"/>
    <w:rsid w:val="003C744C"/>
    <w:rsid w:val="003C75E1"/>
    <w:rsid w:val="003C7637"/>
    <w:rsid w:val="003C7785"/>
    <w:rsid w:val="003C7B87"/>
    <w:rsid w:val="003D0360"/>
    <w:rsid w:val="003D0CA7"/>
    <w:rsid w:val="003D1288"/>
    <w:rsid w:val="003D12AE"/>
    <w:rsid w:val="003D142B"/>
    <w:rsid w:val="003D15FC"/>
    <w:rsid w:val="003D186C"/>
    <w:rsid w:val="003D1881"/>
    <w:rsid w:val="003D197D"/>
    <w:rsid w:val="003D1D55"/>
    <w:rsid w:val="003D1E04"/>
    <w:rsid w:val="003D25C4"/>
    <w:rsid w:val="003D2889"/>
    <w:rsid w:val="003D2C4D"/>
    <w:rsid w:val="003D2FF4"/>
    <w:rsid w:val="003D3447"/>
    <w:rsid w:val="003D3468"/>
    <w:rsid w:val="003D3695"/>
    <w:rsid w:val="003D3B10"/>
    <w:rsid w:val="003D3D7B"/>
    <w:rsid w:val="003D3F0D"/>
    <w:rsid w:val="003D4055"/>
    <w:rsid w:val="003D4483"/>
    <w:rsid w:val="003D4A71"/>
    <w:rsid w:val="003D4C15"/>
    <w:rsid w:val="003D4DC8"/>
    <w:rsid w:val="003D545B"/>
    <w:rsid w:val="003D54F0"/>
    <w:rsid w:val="003D575B"/>
    <w:rsid w:val="003D5A45"/>
    <w:rsid w:val="003D5EA3"/>
    <w:rsid w:val="003D6113"/>
    <w:rsid w:val="003D6245"/>
    <w:rsid w:val="003D6A16"/>
    <w:rsid w:val="003D71A2"/>
    <w:rsid w:val="003D75A3"/>
    <w:rsid w:val="003D76D7"/>
    <w:rsid w:val="003D7BB0"/>
    <w:rsid w:val="003D7CF4"/>
    <w:rsid w:val="003D7ECF"/>
    <w:rsid w:val="003D7EE9"/>
    <w:rsid w:val="003E01A1"/>
    <w:rsid w:val="003E0B36"/>
    <w:rsid w:val="003E1177"/>
    <w:rsid w:val="003E17AC"/>
    <w:rsid w:val="003E1E9A"/>
    <w:rsid w:val="003E22D4"/>
    <w:rsid w:val="003E24BD"/>
    <w:rsid w:val="003E2C4B"/>
    <w:rsid w:val="003E313F"/>
    <w:rsid w:val="003E35F3"/>
    <w:rsid w:val="003E3643"/>
    <w:rsid w:val="003E39B4"/>
    <w:rsid w:val="003E39F6"/>
    <w:rsid w:val="003E3E59"/>
    <w:rsid w:val="003E4332"/>
    <w:rsid w:val="003E4CE8"/>
    <w:rsid w:val="003E4DB2"/>
    <w:rsid w:val="003E4FE6"/>
    <w:rsid w:val="003E514F"/>
    <w:rsid w:val="003E5442"/>
    <w:rsid w:val="003E56C2"/>
    <w:rsid w:val="003E5AAB"/>
    <w:rsid w:val="003E6066"/>
    <w:rsid w:val="003E60CA"/>
    <w:rsid w:val="003E6458"/>
    <w:rsid w:val="003E690B"/>
    <w:rsid w:val="003E6917"/>
    <w:rsid w:val="003E6A9A"/>
    <w:rsid w:val="003E6B5C"/>
    <w:rsid w:val="003E6CA0"/>
    <w:rsid w:val="003E724B"/>
    <w:rsid w:val="003E7618"/>
    <w:rsid w:val="003E7A5D"/>
    <w:rsid w:val="003E7D5A"/>
    <w:rsid w:val="003E7D6F"/>
    <w:rsid w:val="003F0214"/>
    <w:rsid w:val="003F05D4"/>
    <w:rsid w:val="003F0989"/>
    <w:rsid w:val="003F0C84"/>
    <w:rsid w:val="003F13AC"/>
    <w:rsid w:val="003F168A"/>
    <w:rsid w:val="003F183B"/>
    <w:rsid w:val="003F1886"/>
    <w:rsid w:val="003F1938"/>
    <w:rsid w:val="003F19DB"/>
    <w:rsid w:val="003F1C29"/>
    <w:rsid w:val="003F2057"/>
    <w:rsid w:val="003F2934"/>
    <w:rsid w:val="003F2EDD"/>
    <w:rsid w:val="003F35E1"/>
    <w:rsid w:val="003F36B9"/>
    <w:rsid w:val="003F385A"/>
    <w:rsid w:val="003F3912"/>
    <w:rsid w:val="003F3FEA"/>
    <w:rsid w:val="003F43F7"/>
    <w:rsid w:val="003F44F5"/>
    <w:rsid w:val="003F4DE2"/>
    <w:rsid w:val="003F4E79"/>
    <w:rsid w:val="003F524E"/>
    <w:rsid w:val="003F5644"/>
    <w:rsid w:val="003F5720"/>
    <w:rsid w:val="003F58EA"/>
    <w:rsid w:val="003F5AAB"/>
    <w:rsid w:val="003F5B16"/>
    <w:rsid w:val="003F5C95"/>
    <w:rsid w:val="003F635B"/>
    <w:rsid w:val="003F6842"/>
    <w:rsid w:val="003F6B4D"/>
    <w:rsid w:val="003F6BAF"/>
    <w:rsid w:val="003F6E4F"/>
    <w:rsid w:val="003F733C"/>
    <w:rsid w:val="003F7913"/>
    <w:rsid w:val="003F7B68"/>
    <w:rsid w:val="003F7E66"/>
    <w:rsid w:val="0040007E"/>
    <w:rsid w:val="004002A8"/>
    <w:rsid w:val="00400329"/>
    <w:rsid w:val="00400760"/>
    <w:rsid w:val="00400A90"/>
    <w:rsid w:val="0040102D"/>
    <w:rsid w:val="004010B3"/>
    <w:rsid w:val="00401465"/>
    <w:rsid w:val="00401B5D"/>
    <w:rsid w:val="00401E9C"/>
    <w:rsid w:val="004026A4"/>
    <w:rsid w:val="00402AAA"/>
    <w:rsid w:val="00402F3A"/>
    <w:rsid w:val="00402F90"/>
    <w:rsid w:val="00404629"/>
    <w:rsid w:val="00404F28"/>
    <w:rsid w:val="00405163"/>
    <w:rsid w:val="004051C9"/>
    <w:rsid w:val="0040572F"/>
    <w:rsid w:val="00405904"/>
    <w:rsid w:val="00405BA7"/>
    <w:rsid w:val="00405BAA"/>
    <w:rsid w:val="004061D0"/>
    <w:rsid w:val="004062FF"/>
    <w:rsid w:val="0040631B"/>
    <w:rsid w:val="00406554"/>
    <w:rsid w:val="004066D2"/>
    <w:rsid w:val="00406711"/>
    <w:rsid w:val="004067C4"/>
    <w:rsid w:val="004068A4"/>
    <w:rsid w:val="00406C2B"/>
    <w:rsid w:val="00406E30"/>
    <w:rsid w:val="004070C5"/>
    <w:rsid w:val="004070DD"/>
    <w:rsid w:val="004072DB"/>
    <w:rsid w:val="0040753A"/>
    <w:rsid w:val="0040757B"/>
    <w:rsid w:val="004077EE"/>
    <w:rsid w:val="00407823"/>
    <w:rsid w:val="00407C9B"/>
    <w:rsid w:val="00407F96"/>
    <w:rsid w:val="00410270"/>
    <w:rsid w:val="00410504"/>
    <w:rsid w:val="00410901"/>
    <w:rsid w:val="00410A0F"/>
    <w:rsid w:val="00410BB0"/>
    <w:rsid w:val="00410E71"/>
    <w:rsid w:val="004111FA"/>
    <w:rsid w:val="004113E2"/>
    <w:rsid w:val="00412245"/>
    <w:rsid w:val="004122D4"/>
    <w:rsid w:val="00412566"/>
    <w:rsid w:val="0041287F"/>
    <w:rsid w:val="00412AE9"/>
    <w:rsid w:val="00412D24"/>
    <w:rsid w:val="00412DE8"/>
    <w:rsid w:val="00413316"/>
    <w:rsid w:val="004133CE"/>
    <w:rsid w:val="004134DF"/>
    <w:rsid w:val="0041360B"/>
    <w:rsid w:val="004136A4"/>
    <w:rsid w:val="00413804"/>
    <w:rsid w:val="004138B6"/>
    <w:rsid w:val="00413B73"/>
    <w:rsid w:val="00413C7D"/>
    <w:rsid w:val="00413F31"/>
    <w:rsid w:val="00413FC3"/>
    <w:rsid w:val="00414127"/>
    <w:rsid w:val="0041469A"/>
    <w:rsid w:val="004148BA"/>
    <w:rsid w:val="0041497A"/>
    <w:rsid w:val="00414AB8"/>
    <w:rsid w:val="00414BF7"/>
    <w:rsid w:val="004153A7"/>
    <w:rsid w:val="00415A79"/>
    <w:rsid w:val="00415C01"/>
    <w:rsid w:val="00415E59"/>
    <w:rsid w:val="00415FBA"/>
    <w:rsid w:val="00416016"/>
    <w:rsid w:val="0041610F"/>
    <w:rsid w:val="004162D7"/>
    <w:rsid w:val="004166A0"/>
    <w:rsid w:val="0041692C"/>
    <w:rsid w:val="00416A93"/>
    <w:rsid w:val="00416BD8"/>
    <w:rsid w:val="00416C52"/>
    <w:rsid w:val="00417513"/>
    <w:rsid w:val="0041772B"/>
    <w:rsid w:val="0041797C"/>
    <w:rsid w:val="004179D0"/>
    <w:rsid w:val="00417A6D"/>
    <w:rsid w:val="00417B1B"/>
    <w:rsid w:val="004200B0"/>
    <w:rsid w:val="00420664"/>
    <w:rsid w:val="00420711"/>
    <w:rsid w:val="00420913"/>
    <w:rsid w:val="00420B15"/>
    <w:rsid w:val="00420C24"/>
    <w:rsid w:val="00420DCE"/>
    <w:rsid w:val="004212F0"/>
    <w:rsid w:val="0042191F"/>
    <w:rsid w:val="00421C98"/>
    <w:rsid w:val="00421F78"/>
    <w:rsid w:val="0042225A"/>
    <w:rsid w:val="00422267"/>
    <w:rsid w:val="0042227F"/>
    <w:rsid w:val="004222C8"/>
    <w:rsid w:val="004223B6"/>
    <w:rsid w:val="004226B9"/>
    <w:rsid w:val="0042297C"/>
    <w:rsid w:val="00422E51"/>
    <w:rsid w:val="0042317C"/>
    <w:rsid w:val="00423925"/>
    <w:rsid w:val="00423A05"/>
    <w:rsid w:val="00423F52"/>
    <w:rsid w:val="00423FEB"/>
    <w:rsid w:val="004247E0"/>
    <w:rsid w:val="0042499A"/>
    <w:rsid w:val="004249CF"/>
    <w:rsid w:val="00425806"/>
    <w:rsid w:val="00425BE0"/>
    <w:rsid w:val="00425CF9"/>
    <w:rsid w:val="00425DD7"/>
    <w:rsid w:val="00425FB8"/>
    <w:rsid w:val="00425FF4"/>
    <w:rsid w:val="0042629F"/>
    <w:rsid w:val="00426930"/>
    <w:rsid w:val="004269D5"/>
    <w:rsid w:val="00426AD5"/>
    <w:rsid w:val="0042706D"/>
    <w:rsid w:val="004270FD"/>
    <w:rsid w:val="004271D5"/>
    <w:rsid w:val="00427261"/>
    <w:rsid w:val="004272B9"/>
    <w:rsid w:val="00427301"/>
    <w:rsid w:val="004273F5"/>
    <w:rsid w:val="004275F1"/>
    <w:rsid w:val="004277BC"/>
    <w:rsid w:val="00430A92"/>
    <w:rsid w:val="00430AF9"/>
    <w:rsid w:val="00431066"/>
    <w:rsid w:val="004313EF"/>
    <w:rsid w:val="00431644"/>
    <w:rsid w:val="0043185B"/>
    <w:rsid w:val="0043189A"/>
    <w:rsid w:val="00431E61"/>
    <w:rsid w:val="00431F16"/>
    <w:rsid w:val="00431FD5"/>
    <w:rsid w:val="00432296"/>
    <w:rsid w:val="00432B14"/>
    <w:rsid w:val="004330F3"/>
    <w:rsid w:val="004330F9"/>
    <w:rsid w:val="004332A2"/>
    <w:rsid w:val="004335DE"/>
    <w:rsid w:val="0043383B"/>
    <w:rsid w:val="0043384A"/>
    <w:rsid w:val="00433978"/>
    <w:rsid w:val="004339B7"/>
    <w:rsid w:val="00433C3F"/>
    <w:rsid w:val="00433CB8"/>
    <w:rsid w:val="00433CC4"/>
    <w:rsid w:val="00433EF9"/>
    <w:rsid w:val="00433F44"/>
    <w:rsid w:val="00433F6B"/>
    <w:rsid w:val="004344CC"/>
    <w:rsid w:val="00434636"/>
    <w:rsid w:val="0043497B"/>
    <w:rsid w:val="00434B0F"/>
    <w:rsid w:val="00434B87"/>
    <w:rsid w:val="004352E0"/>
    <w:rsid w:val="0043533B"/>
    <w:rsid w:val="004353BF"/>
    <w:rsid w:val="00435577"/>
    <w:rsid w:val="004356E2"/>
    <w:rsid w:val="00435B99"/>
    <w:rsid w:val="00435BBB"/>
    <w:rsid w:val="00435D9E"/>
    <w:rsid w:val="00435FCE"/>
    <w:rsid w:val="00436000"/>
    <w:rsid w:val="004361B8"/>
    <w:rsid w:val="004361BB"/>
    <w:rsid w:val="00436BD5"/>
    <w:rsid w:val="004373A7"/>
    <w:rsid w:val="00437465"/>
    <w:rsid w:val="004374CC"/>
    <w:rsid w:val="00437960"/>
    <w:rsid w:val="00437972"/>
    <w:rsid w:val="00437A5E"/>
    <w:rsid w:val="00437B50"/>
    <w:rsid w:val="004400F1"/>
    <w:rsid w:val="0044019A"/>
    <w:rsid w:val="004403B8"/>
    <w:rsid w:val="00440734"/>
    <w:rsid w:val="00440870"/>
    <w:rsid w:val="00440D07"/>
    <w:rsid w:val="00440E22"/>
    <w:rsid w:val="00441569"/>
    <w:rsid w:val="004422DF"/>
    <w:rsid w:val="004425E9"/>
    <w:rsid w:val="00442603"/>
    <w:rsid w:val="00442D95"/>
    <w:rsid w:val="00442FB4"/>
    <w:rsid w:val="004430B1"/>
    <w:rsid w:val="00443170"/>
    <w:rsid w:val="00443310"/>
    <w:rsid w:val="004437A7"/>
    <w:rsid w:val="004452B8"/>
    <w:rsid w:val="00445CA0"/>
    <w:rsid w:val="00445FCE"/>
    <w:rsid w:val="00446176"/>
    <w:rsid w:val="004462C5"/>
    <w:rsid w:val="004464A2"/>
    <w:rsid w:val="00446FFB"/>
    <w:rsid w:val="00447027"/>
    <w:rsid w:val="0044720F"/>
    <w:rsid w:val="00447B4A"/>
    <w:rsid w:val="00447B50"/>
    <w:rsid w:val="00447BD5"/>
    <w:rsid w:val="0045004D"/>
    <w:rsid w:val="00450BFC"/>
    <w:rsid w:val="00450E1B"/>
    <w:rsid w:val="004512D8"/>
    <w:rsid w:val="00451413"/>
    <w:rsid w:val="00451487"/>
    <w:rsid w:val="0045153F"/>
    <w:rsid w:val="0045178A"/>
    <w:rsid w:val="00451BCA"/>
    <w:rsid w:val="00451D03"/>
    <w:rsid w:val="00451DFE"/>
    <w:rsid w:val="00452268"/>
    <w:rsid w:val="0045280D"/>
    <w:rsid w:val="00452BD3"/>
    <w:rsid w:val="00452C60"/>
    <w:rsid w:val="00452CF7"/>
    <w:rsid w:val="00452E0B"/>
    <w:rsid w:val="00453384"/>
    <w:rsid w:val="00453663"/>
    <w:rsid w:val="004538BB"/>
    <w:rsid w:val="00453F26"/>
    <w:rsid w:val="0045400B"/>
    <w:rsid w:val="0045406B"/>
    <w:rsid w:val="0045426D"/>
    <w:rsid w:val="00454468"/>
    <w:rsid w:val="00454491"/>
    <w:rsid w:val="004550C4"/>
    <w:rsid w:val="0045510B"/>
    <w:rsid w:val="00455290"/>
    <w:rsid w:val="004556CC"/>
    <w:rsid w:val="0045598B"/>
    <w:rsid w:val="00455AAE"/>
    <w:rsid w:val="00455BCE"/>
    <w:rsid w:val="00456EF8"/>
    <w:rsid w:val="0045701C"/>
    <w:rsid w:val="0045714E"/>
    <w:rsid w:val="0045724E"/>
    <w:rsid w:val="00457316"/>
    <w:rsid w:val="00457409"/>
    <w:rsid w:val="004575A6"/>
    <w:rsid w:val="004576B7"/>
    <w:rsid w:val="004578A8"/>
    <w:rsid w:val="00457E4C"/>
    <w:rsid w:val="00460432"/>
    <w:rsid w:val="00460C53"/>
    <w:rsid w:val="00461293"/>
    <w:rsid w:val="004613ED"/>
    <w:rsid w:val="004614C6"/>
    <w:rsid w:val="004615D2"/>
    <w:rsid w:val="004617F7"/>
    <w:rsid w:val="00461CE0"/>
    <w:rsid w:val="004623BF"/>
    <w:rsid w:val="00462416"/>
    <w:rsid w:val="0046253B"/>
    <w:rsid w:val="00462793"/>
    <w:rsid w:val="004627AB"/>
    <w:rsid w:val="0046283F"/>
    <w:rsid w:val="00462A7C"/>
    <w:rsid w:val="00462F2F"/>
    <w:rsid w:val="004631BC"/>
    <w:rsid w:val="00463645"/>
    <w:rsid w:val="00463BC7"/>
    <w:rsid w:val="00463E97"/>
    <w:rsid w:val="004642DD"/>
    <w:rsid w:val="004649D9"/>
    <w:rsid w:val="00464D36"/>
    <w:rsid w:val="00464EF2"/>
    <w:rsid w:val="004650BD"/>
    <w:rsid w:val="004652D7"/>
    <w:rsid w:val="00465713"/>
    <w:rsid w:val="004659BD"/>
    <w:rsid w:val="00465B76"/>
    <w:rsid w:val="00465F2A"/>
    <w:rsid w:val="0046684C"/>
    <w:rsid w:val="004668C7"/>
    <w:rsid w:val="00466A37"/>
    <w:rsid w:val="00466E27"/>
    <w:rsid w:val="00466F52"/>
    <w:rsid w:val="004674B9"/>
    <w:rsid w:val="00467962"/>
    <w:rsid w:val="004679E7"/>
    <w:rsid w:val="00467F31"/>
    <w:rsid w:val="00467FA5"/>
    <w:rsid w:val="004700D7"/>
    <w:rsid w:val="00470BB9"/>
    <w:rsid w:val="004713EB"/>
    <w:rsid w:val="00471473"/>
    <w:rsid w:val="0047188C"/>
    <w:rsid w:val="00471D90"/>
    <w:rsid w:val="00472154"/>
    <w:rsid w:val="004722CB"/>
    <w:rsid w:val="004724AE"/>
    <w:rsid w:val="004725F4"/>
    <w:rsid w:val="0047291F"/>
    <w:rsid w:val="00472CD3"/>
    <w:rsid w:val="00472D29"/>
    <w:rsid w:val="00473799"/>
    <w:rsid w:val="00473915"/>
    <w:rsid w:val="00473F5E"/>
    <w:rsid w:val="0047415C"/>
    <w:rsid w:val="004741FF"/>
    <w:rsid w:val="0047431D"/>
    <w:rsid w:val="00474492"/>
    <w:rsid w:val="00474924"/>
    <w:rsid w:val="004749BC"/>
    <w:rsid w:val="00474AB4"/>
    <w:rsid w:val="00474C65"/>
    <w:rsid w:val="00475575"/>
    <w:rsid w:val="00475DC7"/>
    <w:rsid w:val="00475E7F"/>
    <w:rsid w:val="00475E92"/>
    <w:rsid w:val="004768D3"/>
    <w:rsid w:val="00476D9E"/>
    <w:rsid w:val="004775B8"/>
    <w:rsid w:val="004778C7"/>
    <w:rsid w:val="00477A42"/>
    <w:rsid w:val="00477FBE"/>
    <w:rsid w:val="0048018C"/>
    <w:rsid w:val="0048066C"/>
    <w:rsid w:val="0048072C"/>
    <w:rsid w:val="0048075A"/>
    <w:rsid w:val="0048087A"/>
    <w:rsid w:val="00480DA7"/>
    <w:rsid w:val="00480FBE"/>
    <w:rsid w:val="00481178"/>
    <w:rsid w:val="0048154D"/>
    <w:rsid w:val="0048157D"/>
    <w:rsid w:val="0048179C"/>
    <w:rsid w:val="00481A57"/>
    <w:rsid w:val="00481E8F"/>
    <w:rsid w:val="00481F1E"/>
    <w:rsid w:val="004822BB"/>
    <w:rsid w:val="0048244C"/>
    <w:rsid w:val="004825B9"/>
    <w:rsid w:val="00482A70"/>
    <w:rsid w:val="004831D6"/>
    <w:rsid w:val="0048328C"/>
    <w:rsid w:val="00483326"/>
    <w:rsid w:val="004834A7"/>
    <w:rsid w:val="00483A51"/>
    <w:rsid w:val="00483B71"/>
    <w:rsid w:val="00483D92"/>
    <w:rsid w:val="00483FCE"/>
    <w:rsid w:val="0048408A"/>
    <w:rsid w:val="004841DC"/>
    <w:rsid w:val="004842EB"/>
    <w:rsid w:val="00484746"/>
    <w:rsid w:val="004849B4"/>
    <w:rsid w:val="00484BEA"/>
    <w:rsid w:val="004853BE"/>
    <w:rsid w:val="0048552D"/>
    <w:rsid w:val="00485533"/>
    <w:rsid w:val="0048558F"/>
    <w:rsid w:val="004856B7"/>
    <w:rsid w:val="00485D2C"/>
    <w:rsid w:val="00485DBF"/>
    <w:rsid w:val="0048677F"/>
    <w:rsid w:val="00486AF4"/>
    <w:rsid w:val="00486B9D"/>
    <w:rsid w:val="0048704C"/>
    <w:rsid w:val="004870C5"/>
    <w:rsid w:val="0048762C"/>
    <w:rsid w:val="00487851"/>
    <w:rsid w:val="004879B6"/>
    <w:rsid w:val="00487EC0"/>
    <w:rsid w:val="00487EC7"/>
    <w:rsid w:val="00490B59"/>
    <w:rsid w:val="00490F9B"/>
    <w:rsid w:val="004912C0"/>
    <w:rsid w:val="00491465"/>
    <w:rsid w:val="0049158A"/>
    <w:rsid w:val="0049165E"/>
    <w:rsid w:val="00491A11"/>
    <w:rsid w:val="004922A5"/>
    <w:rsid w:val="004925EC"/>
    <w:rsid w:val="00492C0D"/>
    <w:rsid w:val="00492CD9"/>
    <w:rsid w:val="00492D3B"/>
    <w:rsid w:val="00492DEC"/>
    <w:rsid w:val="004932F0"/>
    <w:rsid w:val="004938BB"/>
    <w:rsid w:val="00493A14"/>
    <w:rsid w:val="00494020"/>
    <w:rsid w:val="0049412F"/>
    <w:rsid w:val="00494637"/>
    <w:rsid w:val="0049473E"/>
    <w:rsid w:val="0049493E"/>
    <w:rsid w:val="00494987"/>
    <w:rsid w:val="00494FD6"/>
    <w:rsid w:val="0049527E"/>
    <w:rsid w:val="00495368"/>
    <w:rsid w:val="004953C6"/>
    <w:rsid w:val="004956B2"/>
    <w:rsid w:val="0049587E"/>
    <w:rsid w:val="00495986"/>
    <w:rsid w:val="00495C08"/>
    <w:rsid w:val="00496446"/>
    <w:rsid w:val="00496465"/>
    <w:rsid w:val="0049671B"/>
    <w:rsid w:val="00496982"/>
    <w:rsid w:val="00496C3E"/>
    <w:rsid w:val="00496CC0"/>
    <w:rsid w:val="00497A05"/>
    <w:rsid w:val="004A0717"/>
    <w:rsid w:val="004A07E7"/>
    <w:rsid w:val="004A0A89"/>
    <w:rsid w:val="004A0D32"/>
    <w:rsid w:val="004A0E8E"/>
    <w:rsid w:val="004A112D"/>
    <w:rsid w:val="004A142F"/>
    <w:rsid w:val="004A1B5F"/>
    <w:rsid w:val="004A200E"/>
    <w:rsid w:val="004A2164"/>
    <w:rsid w:val="004A2515"/>
    <w:rsid w:val="004A2A0D"/>
    <w:rsid w:val="004A2B54"/>
    <w:rsid w:val="004A2E41"/>
    <w:rsid w:val="004A2FA2"/>
    <w:rsid w:val="004A30FA"/>
    <w:rsid w:val="004A324F"/>
    <w:rsid w:val="004A34D1"/>
    <w:rsid w:val="004A3B08"/>
    <w:rsid w:val="004A43E6"/>
    <w:rsid w:val="004A4599"/>
    <w:rsid w:val="004A5164"/>
    <w:rsid w:val="004A5391"/>
    <w:rsid w:val="004A5619"/>
    <w:rsid w:val="004A5671"/>
    <w:rsid w:val="004A5897"/>
    <w:rsid w:val="004A592B"/>
    <w:rsid w:val="004A593E"/>
    <w:rsid w:val="004A5B99"/>
    <w:rsid w:val="004A60A0"/>
    <w:rsid w:val="004A650C"/>
    <w:rsid w:val="004A660C"/>
    <w:rsid w:val="004A662C"/>
    <w:rsid w:val="004A67BF"/>
    <w:rsid w:val="004A69C8"/>
    <w:rsid w:val="004A6C72"/>
    <w:rsid w:val="004A6C97"/>
    <w:rsid w:val="004A6DFD"/>
    <w:rsid w:val="004A75E4"/>
    <w:rsid w:val="004A7790"/>
    <w:rsid w:val="004A7C2D"/>
    <w:rsid w:val="004A7F29"/>
    <w:rsid w:val="004B0796"/>
    <w:rsid w:val="004B09F7"/>
    <w:rsid w:val="004B0E07"/>
    <w:rsid w:val="004B10EC"/>
    <w:rsid w:val="004B141F"/>
    <w:rsid w:val="004B1491"/>
    <w:rsid w:val="004B1567"/>
    <w:rsid w:val="004B16BA"/>
    <w:rsid w:val="004B16EC"/>
    <w:rsid w:val="004B1E8C"/>
    <w:rsid w:val="004B1F0A"/>
    <w:rsid w:val="004B25F1"/>
    <w:rsid w:val="004B2F17"/>
    <w:rsid w:val="004B360A"/>
    <w:rsid w:val="004B386B"/>
    <w:rsid w:val="004B38F4"/>
    <w:rsid w:val="004B3987"/>
    <w:rsid w:val="004B3A9B"/>
    <w:rsid w:val="004B3C6B"/>
    <w:rsid w:val="004B44C5"/>
    <w:rsid w:val="004B4873"/>
    <w:rsid w:val="004B498F"/>
    <w:rsid w:val="004B4B80"/>
    <w:rsid w:val="004B54A8"/>
    <w:rsid w:val="004B55DC"/>
    <w:rsid w:val="004B6BAC"/>
    <w:rsid w:val="004B76D5"/>
    <w:rsid w:val="004B782F"/>
    <w:rsid w:val="004B79DC"/>
    <w:rsid w:val="004B7FA5"/>
    <w:rsid w:val="004C0479"/>
    <w:rsid w:val="004C08E5"/>
    <w:rsid w:val="004C09EC"/>
    <w:rsid w:val="004C0A38"/>
    <w:rsid w:val="004C12BA"/>
    <w:rsid w:val="004C1AD1"/>
    <w:rsid w:val="004C1DBC"/>
    <w:rsid w:val="004C1F2E"/>
    <w:rsid w:val="004C20B0"/>
    <w:rsid w:val="004C2591"/>
    <w:rsid w:val="004C29C7"/>
    <w:rsid w:val="004C37A0"/>
    <w:rsid w:val="004C37B2"/>
    <w:rsid w:val="004C3850"/>
    <w:rsid w:val="004C3ABD"/>
    <w:rsid w:val="004C3ACD"/>
    <w:rsid w:val="004C3C46"/>
    <w:rsid w:val="004C402B"/>
    <w:rsid w:val="004C417C"/>
    <w:rsid w:val="004C4291"/>
    <w:rsid w:val="004C4780"/>
    <w:rsid w:val="004C49D5"/>
    <w:rsid w:val="004C5091"/>
    <w:rsid w:val="004C5315"/>
    <w:rsid w:val="004C577C"/>
    <w:rsid w:val="004C581E"/>
    <w:rsid w:val="004C5CEB"/>
    <w:rsid w:val="004C6D7A"/>
    <w:rsid w:val="004C6F09"/>
    <w:rsid w:val="004C7235"/>
    <w:rsid w:val="004C72BA"/>
    <w:rsid w:val="004C72EE"/>
    <w:rsid w:val="004C755C"/>
    <w:rsid w:val="004C77E1"/>
    <w:rsid w:val="004C7B93"/>
    <w:rsid w:val="004C7EBB"/>
    <w:rsid w:val="004C7F52"/>
    <w:rsid w:val="004D03AF"/>
    <w:rsid w:val="004D0768"/>
    <w:rsid w:val="004D078E"/>
    <w:rsid w:val="004D082D"/>
    <w:rsid w:val="004D0B9F"/>
    <w:rsid w:val="004D0BB5"/>
    <w:rsid w:val="004D0ED6"/>
    <w:rsid w:val="004D0FD9"/>
    <w:rsid w:val="004D2824"/>
    <w:rsid w:val="004D2B7A"/>
    <w:rsid w:val="004D2F0B"/>
    <w:rsid w:val="004D36AE"/>
    <w:rsid w:val="004D3B42"/>
    <w:rsid w:val="004D4140"/>
    <w:rsid w:val="004D514B"/>
    <w:rsid w:val="004D528E"/>
    <w:rsid w:val="004D55FF"/>
    <w:rsid w:val="004D5AAD"/>
    <w:rsid w:val="004D5BFF"/>
    <w:rsid w:val="004D6506"/>
    <w:rsid w:val="004D67AC"/>
    <w:rsid w:val="004D6FAF"/>
    <w:rsid w:val="004D70A6"/>
    <w:rsid w:val="004D7EDF"/>
    <w:rsid w:val="004D7F05"/>
    <w:rsid w:val="004D7FA5"/>
    <w:rsid w:val="004E0044"/>
    <w:rsid w:val="004E033D"/>
    <w:rsid w:val="004E0477"/>
    <w:rsid w:val="004E0D7B"/>
    <w:rsid w:val="004E0F6C"/>
    <w:rsid w:val="004E12DF"/>
    <w:rsid w:val="004E1600"/>
    <w:rsid w:val="004E1964"/>
    <w:rsid w:val="004E1BB8"/>
    <w:rsid w:val="004E1C8E"/>
    <w:rsid w:val="004E1D08"/>
    <w:rsid w:val="004E1F2E"/>
    <w:rsid w:val="004E2125"/>
    <w:rsid w:val="004E222A"/>
    <w:rsid w:val="004E2475"/>
    <w:rsid w:val="004E2AB6"/>
    <w:rsid w:val="004E30B6"/>
    <w:rsid w:val="004E313A"/>
    <w:rsid w:val="004E34BE"/>
    <w:rsid w:val="004E3C09"/>
    <w:rsid w:val="004E3CC5"/>
    <w:rsid w:val="004E3E9B"/>
    <w:rsid w:val="004E3F91"/>
    <w:rsid w:val="004E4B5E"/>
    <w:rsid w:val="004E4DB1"/>
    <w:rsid w:val="004E509F"/>
    <w:rsid w:val="004E52B6"/>
    <w:rsid w:val="004E53E9"/>
    <w:rsid w:val="004E6424"/>
    <w:rsid w:val="004E654C"/>
    <w:rsid w:val="004E657B"/>
    <w:rsid w:val="004E6F7C"/>
    <w:rsid w:val="004E79D9"/>
    <w:rsid w:val="004E7C88"/>
    <w:rsid w:val="004E7CCE"/>
    <w:rsid w:val="004E7F3B"/>
    <w:rsid w:val="004F091D"/>
    <w:rsid w:val="004F0A66"/>
    <w:rsid w:val="004F0C25"/>
    <w:rsid w:val="004F0D15"/>
    <w:rsid w:val="004F0DD8"/>
    <w:rsid w:val="004F1173"/>
    <w:rsid w:val="004F1B1E"/>
    <w:rsid w:val="004F220B"/>
    <w:rsid w:val="004F3A12"/>
    <w:rsid w:val="004F3CF6"/>
    <w:rsid w:val="004F3D42"/>
    <w:rsid w:val="004F3D91"/>
    <w:rsid w:val="004F43A1"/>
    <w:rsid w:val="004F45DF"/>
    <w:rsid w:val="004F4883"/>
    <w:rsid w:val="004F4F99"/>
    <w:rsid w:val="004F5160"/>
    <w:rsid w:val="004F5399"/>
    <w:rsid w:val="004F53B6"/>
    <w:rsid w:val="004F5974"/>
    <w:rsid w:val="004F5D45"/>
    <w:rsid w:val="004F6035"/>
    <w:rsid w:val="004F6690"/>
    <w:rsid w:val="004F6B70"/>
    <w:rsid w:val="004F6BF1"/>
    <w:rsid w:val="004F6F43"/>
    <w:rsid w:val="004F6F5E"/>
    <w:rsid w:val="004F7077"/>
    <w:rsid w:val="004F712E"/>
    <w:rsid w:val="004F739E"/>
    <w:rsid w:val="004F74CA"/>
    <w:rsid w:val="004F7787"/>
    <w:rsid w:val="004F79B1"/>
    <w:rsid w:val="004F7CC3"/>
    <w:rsid w:val="004F7D83"/>
    <w:rsid w:val="004F7EDF"/>
    <w:rsid w:val="00500110"/>
    <w:rsid w:val="00500799"/>
    <w:rsid w:val="00500DE8"/>
    <w:rsid w:val="00500E1E"/>
    <w:rsid w:val="00501064"/>
    <w:rsid w:val="005019B5"/>
    <w:rsid w:val="005019C0"/>
    <w:rsid w:val="0050225A"/>
    <w:rsid w:val="0050264F"/>
    <w:rsid w:val="00502F97"/>
    <w:rsid w:val="00503352"/>
    <w:rsid w:val="005033D8"/>
    <w:rsid w:val="00503662"/>
    <w:rsid w:val="00503F00"/>
    <w:rsid w:val="0050409C"/>
    <w:rsid w:val="0050489E"/>
    <w:rsid w:val="00504E25"/>
    <w:rsid w:val="0050510E"/>
    <w:rsid w:val="00505373"/>
    <w:rsid w:val="00505460"/>
    <w:rsid w:val="00505825"/>
    <w:rsid w:val="00505CE1"/>
    <w:rsid w:val="00506058"/>
    <w:rsid w:val="0050614D"/>
    <w:rsid w:val="005062DD"/>
    <w:rsid w:val="00506A1F"/>
    <w:rsid w:val="005077C6"/>
    <w:rsid w:val="00507CFB"/>
    <w:rsid w:val="00507EF1"/>
    <w:rsid w:val="00510245"/>
    <w:rsid w:val="005104C0"/>
    <w:rsid w:val="0051067C"/>
    <w:rsid w:val="00510833"/>
    <w:rsid w:val="005108EF"/>
    <w:rsid w:val="00510A01"/>
    <w:rsid w:val="00510ABD"/>
    <w:rsid w:val="00511120"/>
    <w:rsid w:val="00511156"/>
    <w:rsid w:val="0051138B"/>
    <w:rsid w:val="00511A66"/>
    <w:rsid w:val="00511AB2"/>
    <w:rsid w:val="00511CF6"/>
    <w:rsid w:val="00512229"/>
    <w:rsid w:val="005123D2"/>
    <w:rsid w:val="00512A21"/>
    <w:rsid w:val="00512AFC"/>
    <w:rsid w:val="00512E08"/>
    <w:rsid w:val="005131A2"/>
    <w:rsid w:val="005131F6"/>
    <w:rsid w:val="005135E4"/>
    <w:rsid w:val="00513EDA"/>
    <w:rsid w:val="00513F6B"/>
    <w:rsid w:val="00514129"/>
    <w:rsid w:val="0051422E"/>
    <w:rsid w:val="005142A8"/>
    <w:rsid w:val="00514425"/>
    <w:rsid w:val="00514DA0"/>
    <w:rsid w:val="00514F4E"/>
    <w:rsid w:val="00515B23"/>
    <w:rsid w:val="00515C39"/>
    <w:rsid w:val="00516006"/>
    <w:rsid w:val="00516381"/>
    <w:rsid w:val="00516487"/>
    <w:rsid w:val="00516C58"/>
    <w:rsid w:val="005173C0"/>
    <w:rsid w:val="00517471"/>
    <w:rsid w:val="005174CB"/>
    <w:rsid w:val="00520415"/>
    <w:rsid w:val="005204A4"/>
    <w:rsid w:val="005204AE"/>
    <w:rsid w:val="00520504"/>
    <w:rsid w:val="00520DD8"/>
    <w:rsid w:val="00521232"/>
    <w:rsid w:val="00521244"/>
    <w:rsid w:val="005212C4"/>
    <w:rsid w:val="005212DC"/>
    <w:rsid w:val="0052177B"/>
    <w:rsid w:val="0052196C"/>
    <w:rsid w:val="005219CA"/>
    <w:rsid w:val="00521BFD"/>
    <w:rsid w:val="00521DB5"/>
    <w:rsid w:val="0052239B"/>
    <w:rsid w:val="00522970"/>
    <w:rsid w:val="00522B13"/>
    <w:rsid w:val="00522C03"/>
    <w:rsid w:val="00522C85"/>
    <w:rsid w:val="005233A5"/>
    <w:rsid w:val="00523A48"/>
    <w:rsid w:val="00523C38"/>
    <w:rsid w:val="00523DBB"/>
    <w:rsid w:val="00523F9A"/>
    <w:rsid w:val="0052438E"/>
    <w:rsid w:val="005243A7"/>
    <w:rsid w:val="005249E2"/>
    <w:rsid w:val="00525458"/>
    <w:rsid w:val="005254AE"/>
    <w:rsid w:val="005257D2"/>
    <w:rsid w:val="00525DED"/>
    <w:rsid w:val="00526082"/>
    <w:rsid w:val="0052624A"/>
    <w:rsid w:val="00526266"/>
    <w:rsid w:val="00526493"/>
    <w:rsid w:val="00526A07"/>
    <w:rsid w:val="00526A2E"/>
    <w:rsid w:val="00526EBE"/>
    <w:rsid w:val="0052766A"/>
    <w:rsid w:val="00527730"/>
    <w:rsid w:val="005277AA"/>
    <w:rsid w:val="005277AF"/>
    <w:rsid w:val="00527B26"/>
    <w:rsid w:val="005302CE"/>
    <w:rsid w:val="00530A6A"/>
    <w:rsid w:val="00530BC0"/>
    <w:rsid w:val="0053160A"/>
    <w:rsid w:val="00531614"/>
    <w:rsid w:val="0053186B"/>
    <w:rsid w:val="005319CA"/>
    <w:rsid w:val="00531A3D"/>
    <w:rsid w:val="00531DE9"/>
    <w:rsid w:val="005320C1"/>
    <w:rsid w:val="00532602"/>
    <w:rsid w:val="00533199"/>
    <w:rsid w:val="0053343B"/>
    <w:rsid w:val="005334AF"/>
    <w:rsid w:val="00533636"/>
    <w:rsid w:val="005336D9"/>
    <w:rsid w:val="00533DD7"/>
    <w:rsid w:val="00534175"/>
    <w:rsid w:val="0053426F"/>
    <w:rsid w:val="00534527"/>
    <w:rsid w:val="0053497F"/>
    <w:rsid w:val="00534DA3"/>
    <w:rsid w:val="005353C2"/>
    <w:rsid w:val="00535E1F"/>
    <w:rsid w:val="00535F8C"/>
    <w:rsid w:val="0053665B"/>
    <w:rsid w:val="00536848"/>
    <w:rsid w:val="005369C7"/>
    <w:rsid w:val="00536B82"/>
    <w:rsid w:val="00536DA1"/>
    <w:rsid w:val="00537024"/>
    <w:rsid w:val="00537261"/>
    <w:rsid w:val="0053770A"/>
    <w:rsid w:val="005379C2"/>
    <w:rsid w:val="00537D43"/>
    <w:rsid w:val="00537E54"/>
    <w:rsid w:val="00537E60"/>
    <w:rsid w:val="0054010B"/>
    <w:rsid w:val="005402B2"/>
    <w:rsid w:val="00540758"/>
    <w:rsid w:val="00540776"/>
    <w:rsid w:val="005407D4"/>
    <w:rsid w:val="00540ED4"/>
    <w:rsid w:val="00541101"/>
    <w:rsid w:val="005414E2"/>
    <w:rsid w:val="0054160D"/>
    <w:rsid w:val="005416A2"/>
    <w:rsid w:val="005418F6"/>
    <w:rsid w:val="00541EB7"/>
    <w:rsid w:val="005421E9"/>
    <w:rsid w:val="005422BF"/>
    <w:rsid w:val="005423F2"/>
    <w:rsid w:val="00542676"/>
    <w:rsid w:val="00542945"/>
    <w:rsid w:val="00542A55"/>
    <w:rsid w:val="00542AD5"/>
    <w:rsid w:val="00542EDE"/>
    <w:rsid w:val="0054353E"/>
    <w:rsid w:val="005436C2"/>
    <w:rsid w:val="00544088"/>
    <w:rsid w:val="0054433B"/>
    <w:rsid w:val="005444B0"/>
    <w:rsid w:val="005447CB"/>
    <w:rsid w:val="005452DF"/>
    <w:rsid w:val="0054585E"/>
    <w:rsid w:val="00546073"/>
    <w:rsid w:val="0054635B"/>
    <w:rsid w:val="005466DB"/>
    <w:rsid w:val="00546B78"/>
    <w:rsid w:val="0054736B"/>
    <w:rsid w:val="005478BB"/>
    <w:rsid w:val="00547A5B"/>
    <w:rsid w:val="00547A74"/>
    <w:rsid w:val="00550BE8"/>
    <w:rsid w:val="00550C69"/>
    <w:rsid w:val="0055104D"/>
    <w:rsid w:val="00551607"/>
    <w:rsid w:val="00552423"/>
    <w:rsid w:val="00552758"/>
    <w:rsid w:val="005534BB"/>
    <w:rsid w:val="00553651"/>
    <w:rsid w:val="0055365C"/>
    <w:rsid w:val="00553668"/>
    <w:rsid w:val="00553ADF"/>
    <w:rsid w:val="00554086"/>
    <w:rsid w:val="005541D4"/>
    <w:rsid w:val="0055471E"/>
    <w:rsid w:val="00554861"/>
    <w:rsid w:val="00554A10"/>
    <w:rsid w:val="00554E9B"/>
    <w:rsid w:val="005550AC"/>
    <w:rsid w:val="00555299"/>
    <w:rsid w:val="005565AB"/>
    <w:rsid w:val="00556B81"/>
    <w:rsid w:val="00556E29"/>
    <w:rsid w:val="00556E6C"/>
    <w:rsid w:val="00556EE7"/>
    <w:rsid w:val="005577EE"/>
    <w:rsid w:val="00557840"/>
    <w:rsid w:val="005579C3"/>
    <w:rsid w:val="0056040D"/>
    <w:rsid w:val="00560441"/>
    <w:rsid w:val="0056060F"/>
    <w:rsid w:val="00560E14"/>
    <w:rsid w:val="00560EB5"/>
    <w:rsid w:val="005613E8"/>
    <w:rsid w:val="00561567"/>
    <w:rsid w:val="0056158C"/>
    <w:rsid w:val="00561816"/>
    <w:rsid w:val="005619B2"/>
    <w:rsid w:val="00561C27"/>
    <w:rsid w:val="0056255F"/>
    <w:rsid w:val="0056269B"/>
    <w:rsid w:val="0056298E"/>
    <w:rsid w:val="005629B4"/>
    <w:rsid w:val="00562C8B"/>
    <w:rsid w:val="005635D1"/>
    <w:rsid w:val="00563627"/>
    <w:rsid w:val="0056396A"/>
    <w:rsid w:val="00563CCE"/>
    <w:rsid w:val="00564199"/>
    <w:rsid w:val="005641CA"/>
    <w:rsid w:val="00564478"/>
    <w:rsid w:val="00564A85"/>
    <w:rsid w:val="00564C4B"/>
    <w:rsid w:val="00564CE1"/>
    <w:rsid w:val="00565013"/>
    <w:rsid w:val="00565127"/>
    <w:rsid w:val="00565168"/>
    <w:rsid w:val="005665BB"/>
    <w:rsid w:val="00566671"/>
    <w:rsid w:val="00566DAC"/>
    <w:rsid w:val="00566FEA"/>
    <w:rsid w:val="0056749D"/>
    <w:rsid w:val="00567537"/>
    <w:rsid w:val="005676F5"/>
    <w:rsid w:val="005679A3"/>
    <w:rsid w:val="00567C79"/>
    <w:rsid w:val="00570012"/>
    <w:rsid w:val="00570044"/>
    <w:rsid w:val="00570C9A"/>
    <w:rsid w:val="00570E79"/>
    <w:rsid w:val="005715BD"/>
    <w:rsid w:val="00571B2E"/>
    <w:rsid w:val="00572C10"/>
    <w:rsid w:val="00572C6E"/>
    <w:rsid w:val="00572F68"/>
    <w:rsid w:val="00573019"/>
    <w:rsid w:val="005735BB"/>
    <w:rsid w:val="00573836"/>
    <w:rsid w:val="00573ABC"/>
    <w:rsid w:val="00573C68"/>
    <w:rsid w:val="00573E6C"/>
    <w:rsid w:val="00573EC6"/>
    <w:rsid w:val="005746CB"/>
    <w:rsid w:val="00574A48"/>
    <w:rsid w:val="00574A5F"/>
    <w:rsid w:val="00574C1C"/>
    <w:rsid w:val="00574E66"/>
    <w:rsid w:val="0057550A"/>
    <w:rsid w:val="00575769"/>
    <w:rsid w:val="005759A1"/>
    <w:rsid w:val="00575CFA"/>
    <w:rsid w:val="00575F3B"/>
    <w:rsid w:val="00575FB3"/>
    <w:rsid w:val="005760F7"/>
    <w:rsid w:val="00576192"/>
    <w:rsid w:val="005761FD"/>
    <w:rsid w:val="00576A48"/>
    <w:rsid w:val="00576A9C"/>
    <w:rsid w:val="00576EC9"/>
    <w:rsid w:val="0057744C"/>
    <w:rsid w:val="00577475"/>
    <w:rsid w:val="00577878"/>
    <w:rsid w:val="00577F44"/>
    <w:rsid w:val="00577F58"/>
    <w:rsid w:val="0058016F"/>
    <w:rsid w:val="00580227"/>
    <w:rsid w:val="00580397"/>
    <w:rsid w:val="00580A8D"/>
    <w:rsid w:val="00580AF4"/>
    <w:rsid w:val="00580DDC"/>
    <w:rsid w:val="00580EA8"/>
    <w:rsid w:val="00580ED7"/>
    <w:rsid w:val="0058109A"/>
    <w:rsid w:val="00581415"/>
    <w:rsid w:val="005814D9"/>
    <w:rsid w:val="005815BD"/>
    <w:rsid w:val="00581885"/>
    <w:rsid w:val="00581FFE"/>
    <w:rsid w:val="0058204D"/>
    <w:rsid w:val="0058252A"/>
    <w:rsid w:val="00582EE0"/>
    <w:rsid w:val="00582FAD"/>
    <w:rsid w:val="00583129"/>
    <w:rsid w:val="005833BD"/>
    <w:rsid w:val="005835F6"/>
    <w:rsid w:val="00583799"/>
    <w:rsid w:val="00583D40"/>
    <w:rsid w:val="00583E2B"/>
    <w:rsid w:val="00583E96"/>
    <w:rsid w:val="005840D6"/>
    <w:rsid w:val="005840FC"/>
    <w:rsid w:val="0058492D"/>
    <w:rsid w:val="00584B8F"/>
    <w:rsid w:val="00584E15"/>
    <w:rsid w:val="00584E40"/>
    <w:rsid w:val="00584EC1"/>
    <w:rsid w:val="005854E8"/>
    <w:rsid w:val="00585A8D"/>
    <w:rsid w:val="00585B6E"/>
    <w:rsid w:val="00586275"/>
    <w:rsid w:val="00586380"/>
    <w:rsid w:val="0058668B"/>
    <w:rsid w:val="005867AE"/>
    <w:rsid w:val="005869DF"/>
    <w:rsid w:val="00586B4D"/>
    <w:rsid w:val="00586E3F"/>
    <w:rsid w:val="005874F5"/>
    <w:rsid w:val="0058796E"/>
    <w:rsid w:val="005879D1"/>
    <w:rsid w:val="00587A14"/>
    <w:rsid w:val="00587A9A"/>
    <w:rsid w:val="00587F6A"/>
    <w:rsid w:val="00587FAB"/>
    <w:rsid w:val="00590371"/>
    <w:rsid w:val="00590467"/>
    <w:rsid w:val="0059071B"/>
    <w:rsid w:val="005908FE"/>
    <w:rsid w:val="00590903"/>
    <w:rsid w:val="00590B1F"/>
    <w:rsid w:val="00590B89"/>
    <w:rsid w:val="0059119D"/>
    <w:rsid w:val="00591309"/>
    <w:rsid w:val="00591420"/>
    <w:rsid w:val="005915F9"/>
    <w:rsid w:val="00591CE2"/>
    <w:rsid w:val="005922AA"/>
    <w:rsid w:val="005924F2"/>
    <w:rsid w:val="005927F9"/>
    <w:rsid w:val="005929B2"/>
    <w:rsid w:val="00592D66"/>
    <w:rsid w:val="00592E64"/>
    <w:rsid w:val="00593021"/>
    <w:rsid w:val="005930BC"/>
    <w:rsid w:val="0059325F"/>
    <w:rsid w:val="005936EF"/>
    <w:rsid w:val="005937CF"/>
    <w:rsid w:val="005938B8"/>
    <w:rsid w:val="005938F9"/>
    <w:rsid w:val="0059399B"/>
    <w:rsid w:val="00594054"/>
    <w:rsid w:val="005944BC"/>
    <w:rsid w:val="00594595"/>
    <w:rsid w:val="00594600"/>
    <w:rsid w:val="00594764"/>
    <w:rsid w:val="0059485F"/>
    <w:rsid w:val="005949B0"/>
    <w:rsid w:val="00594F86"/>
    <w:rsid w:val="00595627"/>
    <w:rsid w:val="0059590E"/>
    <w:rsid w:val="00595915"/>
    <w:rsid w:val="00595C54"/>
    <w:rsid w:val="0059613A"/>
    <w:rsid w:val="0059627F"/>
    <w:rsid w:val="005969B8"/>
    <w:rsid w:val="0059718A"/>
    <w:rsid w:val="00597359"/>
    <w:rsid w:val="00597382"/>
    <w:rsid w:val="00597900"/>
    <w:rsid w:val="00597C8C"/>
    <w:rsid w:val="00597D3A"/>
    <w:rsid w:val="005A02B2"/>
    <w:rsid w:val="005A0352"/>
    <w:rsid w:val="005A0490"/>
    <w:rsid w:val="005A07BB"/>
    <w:rsid w:val="005A08C7"/>
    <w:rsid w:val="005A1C96"/>
    <w:rsid w:val="005A1CF7"/>
    <w:rsid w:val="005A1E7D"/>
    <w:rsid w:val="005A2022"/>
    <w:rsid w:val="005A21E9"/>
    <w:rsid w:val="005A21FA"/>
    <w:rsid w:val="005A2307"/>
    <w:rsid w:val="005A24B9"/>
    <w:rsid w:val="005A274F"/>
    <w:rsid w:val="005A2951"/>
    <w:rsid w:val="005A2CB7"/>
    <w:rsid w:val="005A3174"/>
    <w:rsid w:val="005A3A87"/>
    <w:rsid w:val="005A3D94"/>
    <w:rsid w:val="005A40CA"/>
    <w:rsid w:val="005A47C7"/>
    <w:rsid w:val="005A483A"/>
    <w:rsid w:val="005A4942"/>
    <w:rsid w:val="005A4B00"/>
    <w:rsid w:val="005A4E7B"/>
    <w:rsid w:val="005A4E82"/>
    <w:rsid w:val="005A5248"/>
    <w:rsid w:val="005A7264"/>
    <w:rsid w:val="005A746E"/>
    <w:rsid w:val="005A7489"/>
    <w:rsid w:val="005A74DB"/>
    <w:rsid w:val="005A78C7"/>
    <w:rsid w:val="005B01DB"/>
    <w:rsid w:val="005B0481"/>
    <w:rsid w:val="005B07F3"/>
    <w:rsid w:val="005B07F8"/>
    <w:rsid w:val="005B0C22"/>
    <w:rsid w:val="005B0C6A"/>
    <w:rsid w:val="005B0CD9"/>
    <w:rsid w:val="005B1205"/>
    <w:rsid w:val="005B1263"/>
    <w:rsid w:val="005B18AD"/>
    <w:rsid w:val="005B190E"/>
    <w:rsid w:val="005B1C39"/>
    <w:rsid w:val="005B1DA4"/>
    <w:rsid w:val="005B1FDD"/>
    <w:rsid w:val="005B2177"/>
    <w:rsid w:val="005B2232"/>
    <w:rsid w:val="005B241A"/>
    <w:rsid w:val="005B2B11"/>
    <w:rsid w:val="005B2D32"/>
    <w:rsid w:val="005B2E02"/>
    <w:rsid w:val="005B2E89"/>
    <w:rsid w:val="005B36EA"/>
    <w:rsid w:val="005B375D"/>
    <w:rsid w:val="005B3C1F"/>
    <w:rsid w:val="005B3C36"/>
    <w:rsid w:val="005B3CA8"/>
    <w:rsid w:val="005B3D17"/>
    <w:rsid w:val="005B3DA2"/>
    <w:rsid w:val="005B3F70"/>
    <w:rsid w:val="005B4201"/>
    <w:rsid w:val="005B45D0"/>
    <w:rsid w:val="005B4994"/>
    <w:rsid w:val="005B4997"/>
    <w:rsid w:val="005B4B4D"/>
    <w:rsid w:val="005B4CFC"/>
    <w:rsid w:val="005B5324"/>
    <w:rsid w:val="005B5729"/>
    <w:rsid w:val="005B57B5"/>
    <w:rsid w:val="005B5ECF"/>
    <w:rsid w:val="005B60AC"/>
    <w:rsid w:val="005B6242"/>
    <w:rsid w:val="005B6487"/>
    <w:rsid w:val="005B6A29"/>
    <w:rsid w:val="005B6BDB"/>
    <w:rsid w:val="005B6CE4"/>
    <w:rsid w:val="005B6DDF"/>
    <w:rsid w:val="005B6F7A"/>
    <w:rsid w:val="005B700E"/>
    <w:rsid w:val="005B7044"/>
    <w:rsid w:val="005B71C7"/>
    <w:rsid w:val="005B7339"/>
    <w:rsid w:val="005B77AA"/>
    <w:rsid w:val="005B79F9"/>
    <w:rsid w:val="005B7EE4"/>
    <w:rsid w:val="005B7FF4"/>
    <w:rsid w:val="005C01E0"/>
    <w:rsid w:val="005C03E1"/>
    <w:rsid w:val="005C0642"/>
    <w:rsid w:val="005C0FC8"/>
    <w:rsid w:val="005C1374"/>
    <w:rsid w:val="005C17D8"/>
    <w:rsid w:val="005C2291"/>
    <w:rsid w:val="005C23E4"/>
    <w:rsid w:val="005C2763"/>
    <w:rsid w:val="005C28E9"/>
    <w:rsid w:val="005C2AAF"/>
    <w:rsid w:val="005C2C1D"/>
    <w:rsid w:val="005C32A6"/>
    <w:rsid w:val="005C3957"/>
    <w:rsid w:val="005C3D75"/>
    <w:rsid w:val="005C4461"/>
    <w:rsid w:val="005C49C9"/>
    <w:rsid w:val="005C4A05"/>
    <w:rsid w:val="005C4DA1"/>
    <w:rsid w:val="005C5186"/>
    <w:rsid w:val="005C5402"/>
    <w:rsid w:val="005C5A4D"/>
    <w:rsid w:val="005C5BFF"/>
    <w:rsid w:val="005C5DEF"/>
    <w:rsid w:val="005C5ECE"/>
    <w:rsid w:val="005C5ED9"/>
    <w:rsid w:val="005C606C"/>
    <w:rsid w:val="005C6B73"/>
    <w:rsid w:val="005C6BE2"/>
    <w:rsid w:val="005C7281"/>
    <w:rsid w:val="005C7317"/>
    <w:rsid w:val="005C74B3"/>
    <w:rsid w:val="005C7A7A"/>
    <w:rsid w:val="005C7CAC"/>
    <w:rsid w:val="005C7EE4"/>
    <w:rsid w:val="005D04CA"/>
    <w:rsid w:val="005D071D"/>
    <w:rsid w:val="005D0730"/>
    <w:rsid w:val="005D0CCF"/>
    <w:rsid w:val="005D1075"/>
    <w:rsid w:val="005D1248"/>
    <w:rsid w:val="005D12C4"/>
    <w:rsid w:val="005D1494"/>
    <w:rsid w:val="005D178E"/>
    <w:rsid w:val="005D2102"/>
    <w:rsid w:val="005D22F0"/>
    <w:rsid w:val="005D26A6"/>
    <w:rsid w:val="005D2885"/>
    <w:rsid w:val="005D3483"/>
    <w:rsid w:val="005D3544"/>
    <w:rsid w:val="005D35F9"/>
    <w:rsid w:val="005D38BF"/>
    <w:rsid w:val="005D395A"/>
    <w:rsid w:val="005D4432"/>
    <w:rsid w:val="005D48A2"/>
    <w:rsid w:val="005D497A"/>
    <w:rsid w:val="005D4AA8"/>
    <w:rsid w:val="005D62B3"/>
    <w:rsid w:val="005D6CC9"/>
    <w:rsid w:val="005D764B"/>
    <w:rsid w:val="005D773B"/>
    <w:rsid w:val="005E0160"/>
    <w:rsid w:val="005E0A98"/>
    <w:rsid w:val="005E0C9B"/>
    <w:rsid w:val="005E0DEF"/>
    <w:rsid w:val="005E109D"/>
    <w:rsid w:val="005E10F8"/>
    <w:rsid w:val="005E14CF"/>
    <w:rsid w:val="005E1E87"/>
    <w:rsid w:val="005E2204"/>
    <w:rsid w:val="005E25C1"/>
    <w:rsid w:val="005E2661"/>
    <w:rsid w:val="005E2A3A"/>
    <w:rsid w:val="005E2EEF"/>
    <w:rsid w:val="005E3167"/>
    <w:rsid w:val="005E3684"/>
    <w:rsid w:val="005E36CC"/>
    <w:rsid w:val="005E3CB4"/>
    <w:rsid w:val="005E3E05"/>
    <w:rsid w:val="005E3EF1"/>
    <w:rsid w:val="005E43AE"/>
    <w:rsid w:val="005E462C"/>
    <w:rsid w:val="005E46EB"/>
    <w:rsid w:val="005E4816"/>
    <w:rsid w:val="005E5077"/>
    <w:rsid w:val="005E5351"/>
    <w:rsid w:val="005E542C"/>
    <w:rsid w:val="005E5582"/>
    <w:rsid w:val="005E57C0"/>
    <w:rsid w:val="005E651B"/>
    <w:rsid w:val="005E6A00"/>
    <w:rsid w:val="005E6DD2"/>
    <w:rsid w:val="005E6EEF"/>
    <w:rsid w:val="005E7864"/>
    <w:rsid w:val="005E7D9F"/>
    <w:rsid w:val="005E7E2C"/>
    <w:rsid w:val="005E7ECE"/>
    <w:rsid w:val="005E7FAB"/>
    <w:rsid w:val="005F0BB2"/>
    <w:rsid w:val="005F0C5A"/>
    <w:rsid w:val="005F0CE7"/>
    <w:rsid w:val="005F0D01"/>
    <w:rsid w:val="005F106A"/>
    <w:rsid w:val="005F1215"/>
    <w:rsid w:val="005F15D9"/>
    <w:rsid w:val="005F17B7"/>
    <w:rsid w:val="005F1B40"/>
    <w:rsid w:val="005F1BB8"/>
    <w:rsid w:val="005F1F06"/>
    <w:rsid w:val="005F2304"/>
    <w:rsid w:val="005F2738"/>
    <w:rsid w:val="005F29F1"/>
    <w:rsid w:val="005F2A99"/>
    <w:rsid w:val="005F2ACB"/>
    <w:rsid w:val="005F2CD9"/>
    <w:rsid w:val="005F2DD4"/>
    <w:rsid w:val="005F2F4D"/>
    <w:rsid w:val="005F2F9F"/>
    <w:rsid w:val="005F40BB"/>
    <w:rsid w:val="005F41EE"/>
    <w:rsid w:val="005F48D9"/>
    <w:rsid w:val="005F4CC2"/>
    <w:rsid w:val="005F551C"/>
    <w:rsid w:val="005F5CE7"/>
    <w:rsid w:val="005F5F36"/>
    <w:rsid w:val="005F5F9C"/>
    <w:rsid w:val="005F618D"/>
    <w:rsid w:val="005F65A1"/>
    <w:rsid w:val="005F67D1"/>
    <w:rsid w:val="005F68BF"/>
    <w:rsid w:val="005F6A0D"/>
    <w:rsid w:val="005F6F53"/>
    <w:rsid w:val="005F73D0"/>
    <w:rsid w:val="005F7770"/>
    <w:rsid w:val="005F7AD7"/>
    <w:rsid w:val="0060043D"/>
    <w:rsid w:val="0060058E"/>
    <w:rsid w:val="006008D1"/>
    <w:rsid w:val="006009A8"/>
    <w:rsid w:val="00600A7A"/>
    <w:rsid w:val="0060128F"/>
    <w:rsid w:val="00601ECC"/>
    <w:rsid w:val="0060220E"/>
    <w:rsid w:val="006023D9"/>
    <w:rsid w:val="0060271E"/>
    <w:rsid w:val="00602739"/>
    <w:rsid w:val="006027C9"/>
    <w:rsid w:val="00602916"/>
    <w:rsid w:val="00602979"/>
    <w:rsid w:val="00603085"/>
    <w:rsid w:val="00603304"/>
    <w:rsid w:val="00603674"/>
    <w:rsid w:val="00603830"/>
    <w:rsid w:val="0060398F"/>
    <w:rsid w:val="00603AB1"/>
    <w:rsid w:val="00604201"/>
    <w:rsid w:val="00604691"/>
    <w:rsid w:val="006047F4"/>
    <w:rsid w:val="00604976"/>
    <w:rsid w:val="00604A64"/>
    <w:rsid w:val="00604E5B"/>
    <w:rsid w:val="00605980"/>
    <w:rsid w:val="00605B53"/>
    <w:rsid w:val="00605C5D"/>
    <w:rsid w:val="00605F4A"/>
    <w:rsid w:val="00605F62"/>
    <w:rsid w:val="00606402"/>
    <w:rsid w:val="00606412"/>
    <w:rsid w:val="00606440"/>
    <w:rsid w:val="00606505"/>
    <w:rsid w:val="0060655A"/>
    <w:rsid w:val="00606818"/>
    <w:rsid w:val="00606CC0"/>
    <w:rsid w:val="006071AD"/>
    <w:rsid w:val="006071E1"/>
    <w:rsid w:val="006072AD"/>
    <w:rsid w:val="0060782C"/>
    <w:rsid w:val="0060793A"/>
    <w:rsid w:val="00607C03"/>
    <w:rsid w:val="00607FD5"/>
    <w:rsid w:val="006100D0"/>
    <w:rsid w:val="0061030F"/>
    <w:rsid w:val="00610620"/>
    <w:rsid w:val="0061110A"/>
    <w:rsid w:val="006112CD"/>
    <w:rsid w:val="00611AEA"/>
    <w:rsid w:val="00611B10"/>
    <w:rsid w:val="00611D72"/>
    <w:rsid w:val="00611ED0"/>
    <w:rsid w:val="0061201A"/>
    <w:rsid w:val="006120DB"/>
    <w:rsid w:val="00612C28"/>
    <w:rsid w:val="00612C67"/>
    <w:rsid w:val="00612DE6"/>
    <w:rsid w:val="00612E18"/>
    <w:rsid w:val="006131EA"/>
    <w:rsid w:val="0061368A"/>
    <w:rsid w:val="00613A36"/>
    <w:rsid w:val="00613D08"/>
    <w:rsid w:val="00613F86"/>
    <w:rsid w:val="00614254"/>
    <w:rsid w:val="0061433C"/>
    <w:rsid w:val="0061445B"/>
    <w:rsid w:val="006145D8"/>
    <w:rsid w:val="00614C53"/>
    <w:rsid w:val="00614C9A"/>
    <w:rsid w:val="00615263"/>
    <w:rsid w:val="00615AD4"/>
    <w:rsid w:val="0061619C"/>
    <w:rsid w:val="0061622C"/>
    <w:rsid w:val="00616487"/>
    <w:rsid w:val="00616BFE"/>
    <w:rsid w:val="00617567"/>
    <w:rsid w:val="00617591"/>
    <w:rsid w:val="0061783E"/>
    <w:rsid w:val="0062095C"/>
    <w:rsid w:val="006209EE"/>
    <w:rsid w:val="00620A75"/>
    <w:rsid w:val="00621089"/>
    <w:rsid w:val="006211E4"/>
    <w:rsid w:val="00621407"/>
    <w:rsid w:val="0062169B"/>
    <w:rsid w:val="00621D27"/>
    <w:rsid w:val="00621D78"/>
    <w:rsid w:val="00622116"/>
    <w:rsid w:val="00622847"/>
    <w:rsid w:val="00622AD4"/>
    <w:rsid w:val="00622B92"/>
    <w:rsid w:val="00622E33"/>
    <w:rsid w:val="00622FC5"/>
    <w:rsid w:val="00623C20"/>
    <w:rsid w:val="00623CED"/>
    <w:rsid w:val="00623D01"/>
    <w:rsid w:val="006243FF"/>
    <w:rsid w:val="00624598"/>
    <w:rsid w:val="00624A77"/>
    <w:rsid w:val="00624BC8"/>
    <w:rsid w:val="00624FB0"/>
    <w:rsid w:val="00625092"/>
    <w:rsid w:val="006251EF"/>
    <w:rsid w:val="00625A11"/>
    <w:rsid w:val="006262CF"/>
    <w:rsid w:val="00626415"/>
    <w:rsid w:val="006266D4"/>
    <w:rsid w:val="006266E1"/>
    <w:rsid w:val="00626FFF"/>
    <w:rsid w:val="00627067"/>
    <w:rsid w:val="0063027C"/>
    <w:rsid w:val="006302E0"/>
    <w:rsid w:val="00630767"/>
    <w:rsid w:val="006307CD"/>
    <w:rsid w:val="006307F7"/>
    <w:rsid w:val="00630E39"/>
    <w:rsid w:val="0063103F"/>
    <w:rsid w:val="0063133D"/>
    <w:rsid w:val="006317E1"/>
    <w:rsid w:val="00631925"/>
    <w:rsid w:val="00631D9A"/>
    <w:rsid w:val="006320C9"/>
    <w:rsid w:val="006326EA"/>
    <w:rsid w:val="00632AB6"/>
    <w:rsid w:val="00632FA4"/>
    <w:rsid w:val="006330C8"/>
    <w:rsid w:val="006331BD"/>
    <w:rsid w:val="00633361"/>
    <w:rsid w:val="00633B08"/>
    <w:rsid w:val="00633CC4"/>
    <w:rsid w:val="00633D4A"/>
    <w:rsid w:val="006342CB"/>
    <w:rsid w:val="00634481"/>
    <w:rsid w:val="006345B4"/>
    <w:rsid w:val="00634813"/>
    <w:rsid w:val="00634E22"/>
    <w:rsid w:val="006350F5"/>
    <w:rsid w:val="00635893"/>
    <w:rsid w:val="00635A80"/>
    <w:rsid w:val="00635A9E"/>
    <w:rsid w:val="00635C17"/>
    <w:rsid w:val="00635E6B"/>
    <w:rsid w:val="00635F41"/>
    <w:rsid w:val="00635FEF"/>
    <w:rsid w:val="00636354"/>
    <w:rsid w:val="00636447"/>
    <w:rsid w:val="00636A17"/>
    <w:rsid w:val="006372FC"/>
    <w:rsid w:val="006373F3"/>
    <w:rsid w:val="0063740C"/>
    <w:rsid w:val="006378C4"/>
    <w:rsid w:val="00637BA0"/>
    <w:rsid w:val="00637E07"/>
    <w:rsid w:val="0064013A"/>
    <w:rsid w:val="00640679"/>
    <w:rsid w:val="00640E50"/>
    <w:rsid w:val="006414D8"/>
    <w:rsid w:val="00641975"/>
    <w:rsid w:val="00641A2B"/>
    <w:rsid w:val="00641C06"/>
    <w:rsid w:val="00641C9F"/>
    <w:rsid w:val="00641F91"/>
    <w:rsid w:val="006421A8"/>
    <w:rsid w:val="00642290"/>
    <w:rsid w:val="0064237F"/>
    <w:rsid w:val="006423EC"/>
    <w:rsid w:val="0064268F"/>
    <w:rsid w:val="00642B49"/>
    <w:rsid w:val="00642E73"/>
    <w:rsid w:val="006430E4"/>
    <w:rsid w:val="00643315"/>
    <w:rsid w:val="006434FB"/>
    <w:rsid w:val="00643F88"/>
    <w:rsid w:val="0064401F"/>
    <w:rsid w:val="00644027"/>
    <w:rsid w:val="00644280"/>
    <w:rsid w:val="0064428A"/>
    <w:rsid w:val="006442AD"/>
    <w:rsid w:val="00644375"/>
    <w:rsid w:val="00644444"/>
    <w:rsid w:val="0064481A"/>
    <w:rsid w:val="00644C3A"/>
    <w:rsid w:val="00644D13"/>
    <w:rsid w:val="00645A8E"/>
    <w:rsid w:val="00645A9F"/>
    <w:rsid w:val="00645D07"/>
    <w:rsid w:val="00645E86"/>
    <w:rsid w:val="006462CB"/>
    <w:rsid w:val="0064633D"/>
    <w:rsid w:val="006470BD"/>
    <w:rsid w:val="006476CA"/>
    <w:rsid w:val="00647777"/>
    <w:rsid w:val="006478C2"/>
    <w:rsid w:val="00647AD8"/>
    <w:rsid w:val="00647F59"/>
    <w:rsid w:val="00650640"/>
    <w:rsid w:val="00650D59"/>
    <w:rsid w:val="00650DF0"/>
    <w:rsid w:val="00650F92"/>
    <w:rsid w:val="00651214"/>
    <w:rsid w:val="00651335"/>
    <w:rsid w:val="00651367"/>
    <w:rsid w:val="00651BA3"/>
    <w:rsid w:val="00651DAE"/>
    <w:rsid w:val="00651DC3"/>
    <w:rsid w:val="00652183"/>
    <w:rsid w:val="0065246D"/>
    <w:rsid w:val="00652794"/>
    <w:rsid w:val="00652840"/>
    <w:rsid w:val="006528BD"/>
    <w:rsid w:val="00652AA4"/>
    <w:rsid w:val="00652C32"/>
    <w:rsid w:val="00652DE9"/>
    <w:rsid w:val="00652EC9"/>
    <w:rsid w:val="00652FB8"/>
    <w:rsid w:val="00653313"/>
    <w:rsid w:val="00653516"/>
    <w:rsid w:val="0065399C"/>
    <w:rsid w:val="00653DCF"/>
    <w:rsid w:val="00653E0A"/>
    <w:rsid w:val="00653F71"/>
    <w:rsid w:val="006545A2"/>
    <w:rsid w:val="0065474D"/>
    <w:rsid w:val="00654C94"/>
    <w:rsid w:val="00654C98"/>
    <w:rsid w:val="00654F06"/>
    <w:rsid w:val="00655501"/>
    <w:rsid w:val="006556BA"/>
    <w:rsid w:val="00655825"/>
    <w:rsid w:val="006558C8"/>
    <w:rsid w:val="00655BFD"/>
    <w:rsid w:val="00655E3E"/>
    <w:rsid w:val="00655F4D"/>
    <w:rsid w:val="00656718"/>
    <w:rsid w:val="00656BAC"/>
    <w:rsid w:val="006572AB"/>
    <w:rsid w:val="00657A05"/>
    <w:rsid w:val="00657BE1"/>
    <w:rsid w:val="00657C6A"/>
    <w:rsid w:val="00657F10"/>
    <w:rsid w:val="006603A8"/>
    <w:rsid w:val="00660830"/>
    <w:rsid w:val="00660AE9"/>
    <w:rsid w:val="00661178"/>
    <w:rsid w:val="006614FF"/>
    <w:rsid w:val="0066180C"/>
    <w:rsid w:val="00661C62"/>
    <w:rsid w:val="00661D3E"/>
    <w:rsid w:val="0066220E"/>
    <w:rsid w:val="00662307"/>
    <w:rsid w:val="0066283C"/>
    <w:rsid w:val="006629B6"/>
    <w:rsid w:val="00662E71"/>
    <w:rsid w:val="006637E3"/>
    <w:rsid w:val="00663C1E"/>
    <w:rsid w:val="00664914"/>
    <w:rsid w:val="00664BF0"/>
    <w:rsid w:val="00664C0B"/>
    <w:rsid w:val="006658CA"/>
    <w:rsid w:val="00665A3C"/>
    <w:rsid w:val="00665D0D"/>
    <w:rsid w:val="00665E16"/>
    <w:rsid w:val="00665E57"/>
    <w:rsid w:val="00665EB7"/>
    <w:rsid w:val="0066605C"/>
    <w:rsid w:val="006662EB"/>
    <w:rsid w:val="00666A11"/>
    <w:rsid w:val="00666DFB"/>
    <w:rsid w:val="00666F14"/>
    <w:rsid w:val="00667145"/>
    <w:rsid w:val="00667225"/>
    <w:rsid w:val="0066740E"/>
    <w:rsid w:val="00667640"/>
    <w:rsid w:val="006679B3"/>
    <w:rsid w:val="00667BFB"/>
    <w:rsid w:val="0067011C"/>
    <w:rsid w:val="00670131"/>
    <w:rsid w:val="0067078E"/>
    <w:rsid w:val="0067082F"/>
    <w:rsid w:val="00670C77"/>
    <w:rsid w:val="00670DC9"/>
    <w:rsid w:val="00670F64"/>
    <w:rsid w:val="00671260"/>
    <w:rsid w:val="00671492"/>
    <w:rsid w:val="006716C9"/>
    <w:rsid w:val="006717E1"/>
    <w:rsid w:val="00671FCB"/>
    <w:rsid w:val="00671FFF"/>
    <w:rsid w:val="00672399"/>
    <w:rsid w:val="0067295F"/>
    <w:rsid w:val="00672B5B"/>
    <w:rsid w:val="00672CB3"/>
    <w:rsid w:val="00672E54"/>
    <w:rsid w:val="006738EE"/>
    <w:rsid w:val="00673B0F"/>
    <w:rsid w:val="00673B43"/>
    <w:rsid w:val="00673F70"/>
    <w:rsid w:val="0067442B"/>
    <w:rsid w:val="006746F3"/>
    <w:rsid w:val="00674720"/>
    <w:rsid w:val="00674C30"/>
    <w:rsid w:val="00675203"/>
    <w:rsid w:val="00675754"/>
    <w:rsid w:val="00675A66"/>
    <w:rsid w:val="00675E8D"/>
    <w:rsid w:val="006760A1"/>
    <w:rsid w:val="00676382"/>
    <w:rsid w:val="00676734"/>
    <w:rsid w:val="00676B02"/>
    <w:rsid w:val="006770D4"/>
    <w:rsid w:val="006771D7"/>
    <w:rsid w:val="006773B8"/>
    <w:rsid w:val="006773E8"/>
    <w:rsid w:val="00677C4B"/>
    <w:rsid w:val="00677D3D"/>
    <w:rsid w:val="00677DE9"/>
    <w:rsid w:val="0068001A"/>
    <w:rsid w:val="006801C8"/>
    <w:rsid w:val="006801F0"/>
    <w:rsid w:val="00680328"/>
    <w:rsid w:val="00680CBA"/>
    <w:rsid w:val="006813EB"/>
    <w:rsid w:val="006817C4"/>
    <w:rsid w:val="006819A9"/>
    <w:rsid w:val="00681E17"/>
    <w:rsid w:val="00682288"/>
    <w:rsid w:val="00682292"/>
    <w:rsid w:val="00682478"/>
    <w:rsid w:val="00682A59"/>
    <w:rsid w:val="00682BD8"/>
    <w:rsid w:val="00682CC1"/>
    <w:rsid w:val="0068306F"/>
    <w:rsid w:val="0068308E"/>
    <w:rsid w:val="0068345F"/>
    <w:rsid w:val="006836A1"/>
    <w:rsid w:val="006836F7"/>
    <w:rsid w:val="00683CE2"/>
    <w:rsid w:val="0068428C"/>
    <w:rsid w:val="0068458E"/>
    <w:rsid w:val="00684592"/>
    <w:rsid w:val="006846FF"/>
    <w:rsid w:val="006848E7"/>
    <w:rsid w:val="006849F7"/>
    <w:rsid w:val="006850CF"/>
    <w:rsid w:val="006850FB"/>
    <w:rsid w:val="0068527F"/>
    <w:rsid w:val="006852CE"/>
    <w:rsid w:val="00685B39"/>
    <w:rsid w:val="00686306"/>
    <w:rsid w:val="00686997"/>
    <w:rsid w:val="00686BA8"/>
    <w:rsid w:val="00686BAD"/>
    <w:rsid w:val="00686C6D"/>
    <w:rsid w:val="00686E3A"/>
    <w:rsid w:val="00687233"/>
    <w:rsid w:val="006873BE"/>
    <w:rsid w:val="00687D2A"/>
    <w:rsid w:val="00687EED"/>
    <w:rsid w:val="006903C0"/>
    <w:rsid w:val="0069052A"/>
    <w:rsid w:val="0069076A"/>
    <w:rsid w:val="006909B7"/>
    <w:rsid w:val="00690B36"/>
    <w:rsid w:val="00690BA0"/>
    <w:rsid w:val="00691664"/>
    <w:rsid w:val="00691770"/>
    <w:rsid w:val="0069186E"/>
    <w:rsid w:val="00691A3A"/>
    <w:rsid w:val="00691BD2"/>
    <w:rsid w:val="0069210E"/>
    <w:rsid w:val="0069222A"/>
    <w:rsid w:val="00692877"/>
    <w:rsid w:val="00693068"/>
    <w:rsid w:val="006930DF"/>
    <w:rsid w:val="00693285"/>
    <w:rsid w:val="0069349E"/>
    <w:rsid w:val="006934CF"/>
    <w:rsid w:val="00693697"/>
    <w:rsid w:val="006937C1"/>
    <w:rsid w:val="00693963"/>
    <w:rsid w:val="00693ACB"/>
    <w:rsid w:val="00693C50"/>
    <w:rsid w:val="006945EA"/>
    <w:rsid w:val="006947BD"/>
    <w:rsid w:val="006947C5"/>
    <w:rsid w:val="00694A77"/>
    <w:rsid w:val="00694C6E"/>
    <w:rsid w:val="00694D4F"/>
    <w:rsid w:val="00694DC8"/>
    <w:rsid w:val="00694EFB"/>
    <w:rsid w:val="006955CD"/>
    <w:rsid w:val="006959F2"/>
    <w:rsid w:val="00695BD7"/>
    <w:rsid w:val="00696448"/>
    <w:rsid w:val="00696530"/>
    <w:rsid w:val="006965F2"/>
    <w:rsid w:val="006967A1"/>
    <w:rsid w:val="006979E4"/>
    <w:rsid w:val="00697AB9"/>
    <w:rsid w:val="00697C7F"/>
    <w:rsid w:val="00697EA6"/>
    <w:rsid w:val="006A0425"/>
    <w:rsid w:val="006A099C"/>
    <w:rsid w:val="006A0BB2"/>
    <w:rsid w:val="006A0C81"/>
    <w:rsid w:val="006A0EFA"/>
    <w:rsid w:val="006A0FAB"/>
    <w:rsid w:val="006A14B6"/>
    <w:rsid w:val="006A15C5"/>
    <w:rsid w:val="006A164C"/>
    <w:rsid w:val="006A187C"/>
    <w:rsid w:val="006A197A"/>
    <w:rsid w:val="006A1A20"/>
    <w:rsid w:val="006A1DF2"/>
    <w:rsid w:val="006A2100"/>
    <w:rsid w:val="006A246E"/>
    <w:rsid w:val="006A2477"/>
    <w:rsid w:val="006A2763"/>
    <w:rsid w:val="006A2766"/>
    <w:rsid w:val="006A293B"/>
    <w:rsid w:val="006A2DEE"/>
    <w:rsid w:val="006A3398"/>
    <w:rsid w:val="006A3A96"/>
    <w:rsid w:val="006A4025"/>
    <w:rsid w:val="006A40D7"/>
    <w:rsid w:val="006A4371"/>
    <w:rsid w:val="006A4467"/>
    <w:rsid w:val="006A4700"/>
    <w:rsid w:val="006A4C45"/>
    <w:rsid w:val="006A4C50"/>
    <w:rsid w:val="006A4D08"/>
    <w:rsid w:val="006A4D41"/>
    <w:rsid w:val="006A546E"/>
    <w:rsid w:val="006A5787"/>
    <w:rsid w:val="006A5DD2"/>
    <w:rsid w:val="006A62A4"/>
    <w:rsid w:val="006A66B0"/>
    <w:rsid w:val="006A6A19"/>
    <w:rsid w:val="006A762D"/>
    <w:rsid w:val="006A796B"/>
    <w:rsid w:val="006A799C"/>
    <w:rsid w:val="006A7BC9"/>
    <w:rsid w:val="006A7E40"/>
    <w:rsid w:val="006B0097"/>
    <w:rsid w:val="006B00A9"/>
    <w:rsid w:val="006B04EB"/>
    <w:rsid w:val="006B057D"/>
    <w:rsid w:val="006B05D3"/>
    <w:rsid w:val="006B0A00"/>
    <w:rsid w:val="006B0F4B"/>
    <w:rsid w:val="006B1138"/>
    <w:rsid w:val="006B130E"/>
    <w:rsid w:val="006B13BB"/>
    <w:rsid w:val="006B14EB"/>
    <w:rsid w:val="006B16AB"/>
    <w:rsid w:val="006B18EC"/>
    <w:rsid w:val="006B1B43"/>
    <w:rsid w:val="006B1C34"/>
    <w:rsid w:val="006B23C6"/>
    <w:rsid w:val="006B2692"/>
    <w:rsid w:val="006B2C90"/>
    <w:rsid w:val="006B3157"/>
    <w:rsid w:val="006B358E"/>
    <w:rsid w:val="006B36E4"/>
    <w:rsid w:val="006B40D8"/>
    <w:rsid w:val="006B41FB"/>
    <w:rsid w:val="006B4316"/>
    <w:rsid w:val="006B4566"/>
    <w:rsid w:val="006B460D"/>
    <w:rsid w:val="006B460E"/>
    <w:rsid w:val="006B46AE"/>
    <w:rsid w:val="006B47DA"/>
    <w:rsid w:val="006B4EC0"/>
    <w:rsid w:val="006B5237"/>
    <w:rsid w:val="006B54E0"/>
    <w:rsid w:val="006B550D"/>
    <w:rsid w:val="006B5CB2"/>
    <w:rsid w:val="006B62DD"/>
    <w:rsid w:val="006B65FF"/>
    <w:rsid w:val="006B6BFB"/>
    <w:rsid w:val="006B6D7C"/>
    <w:rsid w:val="006B70FB"/>
    <w:rsid w:val="006B77B4"/>
    <w:rsid w:val="006B782C"/>
    <w:rsid w:val="006C04FB"/>
    <w:rsid w:val="006C0510"/>
    <w:rsid w:val="006C05F2"/>
    <w:rsid w:val="006C07DE"/>
    <w:rsid w:val="006C0C3D"/>
    <w:rsid w:val="006C1076"/>
    <w:rsid w:val="006C1465"/>
    <w:rsid w:val="006C162F"/>
    <w:rsid w:val="006C16EE"/>
    <w:rsid w:val="006C1F2E"/>
    <w:rsid w:val="006C1F81"/>
    <w:rsid w:val="006C2583"/>
    <w:rsid w:val="006C26A7"/>
    <w:rsid w:val="006C2832"/>
    <w:rsid w:val="006C2CEA"/>
    <w:rsid w:val="006C30E6"/>
    <w:rsid w:val="006C3273"/>
    <w:rsid w:val="006C3664"/>
    <w:rsid w:val="006C3681"/>
    <w:rsid w:val="006C3B7C"/>
    <w:rsid w:val="006C3D2F"/>
    <w:rsid w:val="006C3EC8"/>
    <w:rsid w:val="006C457A"/>
    <w:rsid w:val="006C45E9"/>
    <w:rsid w:val="006C45F9"/>
    <w:rsid w:val="006C50DA"/>
    <w:rsid w:val="006C570A"/>
    <w:rsid w:val="006C577B"/>
    <w:rsid w:val="006C5DF1"/>
    <w:rsid w:val="006C5F89"/>
    <w:rsid w:val="006C60F3"/>
    <w:rsid w:val="006C656A"/>
    <w:rsid w:val="006C660C"/>
    <w:rsid w:val="006C66D5"/>
    <w:rsid w:val="006C6CE7"/>
    <w:rsid w:val="006C71AB"/>
    <w:rsid w:val="006D0374"/>
    <w:rsid w:val="006D0A6F"/>
    <w:rsid w:val="006D0E5A"/>
    <w:rsid w:val="006D0EC4"/>
    <w:rsid w:val="006D0FFD"/>
    <w:rsid w:val="006D1025"/>
    <w:rsid w:val="006D119C"/>
    <w:rsid w:val="006D1319"/>
    <w:rsid w:val="006D2216"/>
    <w:rsid w:val="006D27E6"/>
    <w:rsid w:val="006D2BA8"/>
    <w:rsid w:val="006D2BF9"/>
    <w:rsid w:val="006D2E78"/>
    <w:rsid w:val="006D2EB2"/>
    <w:rsid w:val="006D3267"/>
    <w:rsid w:val="006D359E"/>
    <w:rsid w:val="006D3855"/>
    <w:rsid w:val="006D3A76"/>
    <w:rsid w:val="006D3E6B"/>
    <w:rsid w:val="006D4181"/>
    <w:rsid w:val="006D4789"/>
    <w:rsid w:val="006D4804"/>
    <w:rsid w:val="006D4973"/>
    <w:rsid w:val="006D58B9"/>
    <w:rsid w:val="006D6905"/>
    <w:rsid w:val="006D6B61"/>
    <w:rsid w:val="006D6C20"/>
    <w:rsid w:val="006D6D63"/>
    <w:rsid w:val="006D71A0"/>
    <w:rsid w:val="006D756A"/>
    <w:rsid w:val="006D7A1E"/>
    <w:rsid w:val="006D7C46"/>
    <w:rsid w:val="006E0006"/>
    <w:rsid w:val="006E01B1"/>
    <w:rsid w:val="006E071E"/>
    <w:rsid w:val="006E083A"/>
    <w:rsid w:val="006E0857"/>
    <w:rsid w:val="006E0970"/>
    <w:rsid w:val="006E0B85"/>
    <w:rsid w:val="006E0F43"/>
    <w:rsid w:val="006E1006"/>
    <w:rsid w:val="006E10BA"/>
    <w:rsid w:val="006E1305"/>
    <w:rsid w:val="006E18FA"/>
    <w:rsid w:val="006E1B65"/>
    <w:rsid w:val="006E1DBB"/>
    <w:rsid w:val="006E21F0"/>
    <w:rsid w:val="006E227F"/>
    <w:rsid w:val="006E2294"/>
    <w:rsid w:val="006E262F"/>
    <w:rsid w:val="006E29C7"/>
    <w:rsid w:val="006E2A46"/>
    <w:rsid w:val="006E31C8"/>
    <w:rsid w:val="006E320C"/>
    <w:rsid w:val="006E3363"/>
    <w:rsid w:val="006E33BF"/>
    <w:rsid w:val="006E3758"/>
    <w:rsid w:val="006E3ACC"/>
    <w:rsid w:val="006E3DCD"/>
    <w:rsid w:val="006E3F7A"/>
    <w:rsid w:val="006E4181"/>
    <w:rsid w:val="006E443A"/>
    <w:rsid w:val="006E4886"/>
    <w:rsid w:val="006E4C7E"/>
    <w:rsid w:val="006E4D73"/>
    <w:rsid w:val="006E4EA8"/>
    <w:rsid w:val="006E5002"/>
    <w:rsid w:val="006E51E1"/>
    <w:rsid w:val="006E5453"/>
    <w:rsid w:val="006E5475"/>
    <w:rsid w:val="006E5FC9"/>
    <w:rsid w:val="006E69EE"/>
    <w:rsid w:val="006E6C8C"/>
    <w:rsid w:val="006E7019"/>
    <w:rsid w:val="006E711E"/>
    <w:rsid w:val="006E71FE"/>
    <w:rsid w:val="006E77E2"/>
    <w:rsid w:val="006E7867"/>
    <w:rsid w:val="006E7A98"/>
    <w:rsid w:val="006E7B0E"/>
    <w:rsid w:val="006E7D6C"/>
    <w:rsid w:val="006F026C"/>
    <w:rsid w:val="006F0574"/>
    <w:rsid w:val="006F08EF"/>
    <w:rsid w:val="006F0AA8"/>
    <w:rsid w:val="006F0D9F"/>
    <w:rsid w:val="006F1246"/>
    <w:rsid w:val="006F1955"/>
    <w:rsid w:val="006F1C41"/>
    <w:rsid w:val="006F1C50"/>
    <w:rsid w:val="006F1E76"/>
    <w:rsid w:val="006F231D"/>
    <w:rsid w:val="006F2659"/>
    <w:rsid w:val="006F277E"/>
    <w:rsid w:val="006F2F98"/>
    <w:rsid w:val="006F31E6"/>
    <w:rsid w:val="006F345F"/>
    <w:rsid w:val="006F34A5"/>
    <w:rsid w:val="006F34BB"/>
    <w:rsid w:val="006F3881"/>
    <w:rsid w:val="006F38E1"/>
    <w:rsid w:val="006F3B0E"/>
    <w:rsid w:val="006F3CF5"/>
    <w:rsid w:val="006F404A"/>
    <w:rsid w:val="006F414F"/>
    <w:rsid w:val="006F46FA"/>
    <w:rsid w:val="006F4752"/>
    <w:rsid w:val="006F47D6"/>
    <w:rsid w:val="006F48A9"/>
    <w:rsid w:val="006F4AFF"/>
    <w:rsid w:val="006F4F9E"/>
    <w:rsid w:val="006F50AE"/>
    <w:rsid w:val="006F536D"/>
    <w:rsid w:val="006F56E3"/>
    <w:rsid w:val="006F58AF"/>
    <w:rsid w:val="006F5EBE"/>
    <w:rsid w:val="006F60FB"/>
    <w:rsid w:val="006F64D1"/>
    <w:rsid w:val="006F650B"/>
    <w:rsid w:val="006F650C"/>
    <w:rsid w:val="006F6977"/>
    <w:rsid w:val="006F747F"/>
    <w:rsid w:val="006F7822"/>
    <w:rsid w:val="006F7851"/>
    <w:rsid w:val="0070005F"/>
    <w:rsid w:val="00700528"/>
    <w:rsid w:val="00700696"/>
    <w:rsid w:val="00700BDB"/>
    <w:rsid w:val="00700C18"/>
    <w:rsid w:val="00700D18"/>
    <w:rsid w:val="0070106A"/>
    <w:rsid w:val="007011AB"/>
    <w:rsid w:val="00701AEA"/>
    <w:rsid w:val="00701BC0"/>
    <w:rsid w:val="00701D85"/>
    <w:rsid w:val="00701F5E"/>
    <w:rsid w:val="007021D9"/>
    <w:rsid w:val="007023F5"/>
    <w:rsid w:val="007028FD"/>
    <w:rsid w:val="00702B73"/>
    <w:rsid w:val="00702D28"/>
    <w:rsid w:val="0070331E"/>
    <w:rsid w:val="00703343"/>
    <w:rsid w:val="00703AF1"/>
    <w:rsid w:val="00704255"/>
    <w:rsid w:val="007044EB"/>
    <w:rsid w:val="00704C93"/>
    <w:rsid w:val="00704D0F"/>
    <w:rsid w:val="00705453"/>
    <w:rsid w:val="00705752"/>
    <w:rsid w:val="00706347"/>
    <w:rsid w:val="00706747"/>
    <w:rsid w:val="00706B35"/>
    <w:rsid w:val="00706F9F"/>
    <w:rsid w:val="00707090"/>
    <w:rsid w:val="007070EE"/>
    <w:rsid w:val="007071AE"/>
    <w:rsid w:val="00707264"/>
    <w:rsid w:val="0070727E"/>
    <w:rsid w:val="00707B50"/>
    <w:rsid w:val="00710A9C"/>
    <w:rsid w:val="00710FA6"/>
    <w:rsid w:val="0071108E"/>
    <w:rsid w:val="007112FA"/>
    <w:rsid w:val="007114A6"/>
    <w:rsid w:val="0071172A"/>
    <w:rsid w:val="0071198A"/>
    <w:rsid w:val="00711F73"/>
    <w:rsid w:val="007120C9"/>
    <w:rsid w:val="00712120"/>
    <w:rsid w:val="0071252A"/>
    <w:rsid w:val="0071253A"/>
    <w:rsid w:val="00712925"/>
    <w:rsid w:val="0071329F"/>
    <w:rsid w:val="00713612"/>
    <w:rsid w:val="00714BEE"/>
    <w:rsid w:val="00714D03"/>
    <w:rsid w:val="00714FD3"/>
    <w:rsid w:val="00715795"/>
    <w:rsid w:val="007158F7"/>
    <w:rsid w:val="00715952"/>
    <w:rsid w:val="007159AE"/>
    <w:rsid w:val="00715A5D"/>
    <w:rsid w:val="00715D18"/>
    <w:rsid w:val="00715EE8"/>
    <w:rsid w:val="00715F2E"/>
    <w:rsid w:val="007163DD"/>
    <w:rsid w:val="00716795"/>
    <w:rsid w:val="00716932"/>
    <w:rsid w:val="007169A1"/>
    <w:rsid w:val="00716CA0"/>
    <w:rsid w:val="00716F56"/>
    <w:rsid w:val="00717682"/>
    <w:rsid w:val="007178A4"/>
    <w:rsid w:val="007178CC"/>
    <w:rsid w:val="00717B97"/>
    <w:rsid w:val="00717D01"/>
    <w:rsid w:val="00717D33"/>
    <w:rsid w:val="00720154"/>
    <w:rsid w:val="007204BF"/>
    <w:rsid w:val="00720CF3"/>
    <w:rsid w:val="00720D32"/>
    <w:rsid w:val="00720D3D"/>
    <w:rsid w:val="00720DE9"/>
    <w:rsid w:val="007211A2"/>
    <w:rsid w:val="007218C7"/>
    <w:rsid w:val="00721A9C"/>
    <w:rsid w:val="00721C6C"/>
    <w:rsid w:val="007221FA"/>
    <w:rsid w:val="0072239F"/>
    <w:rsid w:val="0072260B"/>
    <w:rsid w:val="00722853"/>
    <w:rsid w:val="00722A0A"/>
    <w:rsid w:val="00722D71"/>
    <w:rsid w:val="007230EC"/>
    <w:rsid w:val="0072321A"/>
    <w:rsid w:val="007232A1"/>
    <w:rsid w:val="00723379"/>
    <w:rsid w:val="007239D7"/>
    <w:rsid w:val="007244C5"/>
    <w:rsid w:val="00724536"/>
    <w:rsid w:val="00724E8A"/>
    <w:rsid w:val="007253F3"/>
    <w:rsid w:val="00725BC7"/>
    <w:rsid w:val="00725F48"/>
    <w:rsid w:val="00726A4B"/>
    <w:rsid w:val="00726B50"/>
    <w:rsid w:val="00727294"/>
    <w:rsid w:val="00727346"/>
    <w:rsid w:val="00727769"/>
    <w:rsid w:val="00727BF4"/>
    <w:rsid w:val="00727CB4"/>
    <w:rsid w:val="00727D59"/>
    <w:rsid w:val="00727DE3"/>
    <w:rsid w:val="00730D42"/>
    <w:rsid w:val="00731181"/>
    <w:rsid w:val="007312FD"/>
    <w:rsid w:val="00731453"/>
    <w:rsid w:val="007316A4"/>
    <w:rsid w:val="007318DF"/>
    <w:rsid w:val="00732009"/>
    <w:rsid w:val="00732114"/>
    <w:rsid w:val="007322F9"/>
    <w:rsid w:val="0073245D"/>
    <w:rsid w:val="00732527"/>
    <w:rsid w:val="00732B3E"/>
    <w:rsid w:val="00732B4D"/>
    <w:rsid w:val="0073302E"/>
    <w:rsid w:val="007334AC"/>
    <w:rsid w:val="00733881"/>
    <w:rsid w:val="00733AA2"/>
    <w:rsid w:val="00733CAD"/>
    <w:rsid w:val="00733DB9"/>
    <w:rsid w:val="00733DE8"/>
    <w:rsid w:val="00733FAF"/>
    <w:rsid w:val="00734233"/>
    <w:rsid w:val="00734617"/>
    <w:rsid w:val="007346AC"/>
    <w:rsid w:val="00734B53"/>
    <w:rsid w:val="00735149"/>
    <w:rsid w:val="007354D4"/>
    <w:rsid w:val="00735711"/>
    <w:rsid w:val="00735B6D"/>
    <w:rsid w:val="00735C7A"/>
    <w:rsid w:val="00735E4E"/>
    <w:rsid w:val="00736637"/>
    <w:rsid w:val="00736676"/>
    <w:rsid w:val="0073697C"/>
    <w:rsid w:val="00737041"/>
    <w:rsid w:val="00737046"/>
    <w:rsid w:val="007370B4"/>
    <w:rsid w:val="0073735D"/>
    <w:rsid w:val="0073737D"/>
    <w:rsid w:val="00737D06"/>
    <w:rsid w:val="007402EF"/>
    <w:rsid w:val="0074054B"/>
    <w:rsid w:val="007406ED"/>
    <w:rsid w:val="00740765"/>
    <w:rsid w:val="00740D3C"/>
    <w:rsid w:val="0074145A"/>
    <w:rsid w:val="00741475"/>
    <w:rsid w:val="007418C9"/>
    <w:rsid w:val="00741B02"/>
    <w:rsid w:val="00741CBC"/>
    <w:rsid w:val="00741FE3"/>
    <w:rsid w:val="007420BB"/>
    <w:rsid w:val="0074211D"/>
    <w:rsid w:val="00742705"/>
    <w:rsid w:val="00742784"/>
    <w:rsid w:val="0074286B"/>
    <w:rsid w:val="00742974"/>
    <w:rsid w:val="00742E83"/>
    <w:rsid w:val="007439AE"/>
    <w:rsid w:val="007439CF"/>
    <w:rsid w:val="00743C5A"/>
    <w:rsid w:val="00743E88"/>
    <w:rsid w:val="007444C1"/>
    <w:rsid w:val="0074479B"/>
    <w:rsid w:val="00744D3C"/>
    <w:rsid w:val="00744DF2"/>
    <w:rsid w:val="00744FCF"/>
    <w:rsid w:val="0074545B"/>
    <w:rsid w:val="00745643"/>
    <w:rsid w:val="007458C6"/>
    <w:rsid w:val="007459A9"/>
    <w:rsid w:val="00745AA3"/>
    <w:rsid w:val="00745C53"/>
    <w:rsid w:val="00745DFB"/>
    <w:rsid w:val="00745EDC"/>
    <w:rsid w:val="00746166"/>
    <w:rsid w:val="00746362"/>
    <w:rsid w:val="00746592"/>
    <w:rsid w:val="007477CB"/>
    <w:rsid w:val="007478F1"/>
    <w:rsid w:val="00747D9C"/>
    <w:rsid w:val="00747FE2"/>
    <w:rsid w:val="0075075D"/>
    <w:rsid w:val="00750760"/>
    <w:rsid w:val="00750818"/>
    <w:rsid w:val="00750D2B"/>
    <w:rsid w:val="00750DDB"/>
    <w:rsid w:val="00750FCA"/>
    <w:rsid w:val="00751A4B"/>
    <w:rsid w:val="00752085"/>
    <w:rsid w:val="007525FC"/>
    <w:rsid w:val="00752713"/>
    <w:rsid w:val="00752726"/>
    <w:rsid w:val="0075295B"/>
    <w:rsid w:val="00752E10"/>
    <w:rsid w:val="00753414"/>
    <w:rsid w:val="007535DA"/>
    <w:rsid w:val="0075373B"/>
    <w:rsid w:val="00753FA3"/>
    <w:rsid w:val="00754BEB"/>
    <w:rsid w:val="00754D6D"/>
    <w:rsid w:val="00754F62"/>
    <w:rsid w:val="007554D1"/>
    <w:rsid w:val="00755955"/>
    <w:rsid w:val="00755B35"/>
    <w:rsid w:val="00755CC8"/>
    <w:rsid w:val="00755E92"/>
    <w:rsid w:val="00755F55"/>
    <w:rsid w:val="00756394"/>
    <w:rsid w:val="00756497"/>
    <w:rsid w:val="00756552"/>
    <w:rsid w:val="00756ABB"/>
    <w:rsid w:val="007577F6"/>
    <w:rsid w:val="007579AE"/>
    <w:rsid w:val="007579E2"/>
    <w:rsid w:val="00757C86"/>
    <w:rsid w:val="00760543"/>
    <w:rsid w:val="00760556"/>
    <w:rsid w:val="007608FB"/>
    <w:rsid w:val="00760D85"/>
    <w:rsid w:val="007611B8"/>
    <w:rsid w:val="00761233"/>
    <w:rsid w:val="0076126B"/>
    <w:rsid w:val="007616A6"/>
    <w:rsid w:val="007618D3"/>
    <w:rsid w:val="00761940"/>
    <w:rsid w:val="00761A1F"/>
    <w:rsid w:val="00761AFD"/>
    <w:rsid w:val="00761C24"/>
    <w:rsid w:val="00761D1B"/>
    <w:rsid w:val="00762267"/>
    <w:rsid w:val="007622F7"/>
    <w:rsid w:val="00762789"/>
    <w:rsid w:val="00762D06"/>
    <w:rsid w:val="00762D0E"/>
    <w:rsid w:val="00762DE1"/>
    <w:rsid w:val="00762E01"/>
    <w:rsid w:val="00763A14"/>
    <w:rsid w:val="0076407E"/>
    <w:rsid w:val="00764110"/>
    <w:rsid w:val="007641F0"/>
    <w:rsid w:val="0076421E"/>
    <w:rsid w:val="00764249"/>
    <w:rsid w:val="007642D8"/>
    <w:rsid w:val="00764456"/>
    <w:rsid w:val="0076476C"/>
    <w:rsid w:val="00764A57"/>
    <w:rsid w:val="00764CC7"/>
    <w:rsid w:val="00764DA4"/>
    <w:rsid w:val="00764E15"/>
    <w:rsid w:val="00764E8C"/>
    <w:rsid w:val="00765D66"/>
    <w:rsid w:val="00765F41"/>
    <w:rsid w:val="007660F7"/>
    <w:rsid w:val="007660F9"/>
    <w:rsid w:val="007667D9"/>
    <w:rsid w:val="00766898"/>
    <w:rsid w:val="007670FA"/>
    <w:rsid w:val="0076773C"/>
    <w:rsid w:val="00767852"/>
    <w:rsid w:val="00767D34"/>
    <w:rsid w:val="007702A3"/>
    <w:rsid w:val="0077067E"/>
    <w:rsid w:val="00770FA7"/>
    <w:rsid w:val="007712BF"/>
    <w:rsid w:val="00771432"/>
    <w:rsid w:val="0077170E"/>
    <w:rsid w:val="0077186C"/>
    <w:rsid w:val="00771E26"/>
    <w:rsid w:val="00771F80"/>
    <w:rsid w:val="0077215A"/>
    <w:rsid w:val="0077220B"/>
    <w:rsid w:val="00772561"/>
    <w:rsid w:val="007728D2"/>
    <w:rsid w:val="00772910"/>
    <w:rsid w:val="00772A08"/>
    <w:rsid w:val="00772BA3"/>
    <w:rsid w:val="00772C6B"/>
    <w:rsid w:val="0077307B"/>
    <w:rsid w:val="0077392D"/>
    <w:rsid w:val="00773BFA"/>
    <w:rsid w:val="00773C98"/>
    <w:rsid w:val="00773D82"/>
    <w:rsid w:val="00773E3E"/>
    <w:rsid w:val="00774399"/>
    <w:rsid w:val="0077482F"/>
    <w:rsid w:val="00774A99"/>
    <w:rsid w:val="00774ADC"/>
    <w:rsid w:val="00774E06"/>
    <w:rsid w:val="007753D6"/>
    <w:rsid w:val="007756CB"/>
    <w:rsid w:val="0077571D"/>
    <w:rsid w:val="007759C3"/>
    <w:rsid w:val="00775BC2"/>
    <w:rsid w:val="00775F49"/>
    <w:rsid w:val="007763B8"/>
    <w:rsid w:val="0077641A"/>
    <w:rsid w:val="00776917"/>
    <w:rsid w:val="00776A64"/>
    <w:rsid w:val="00776ADF"/>
    <w:rsid w:val="00776C58"/>
    <w:rsid w:val="00777036"/>
    <w:rsid w:val="00777103"/>
    <w:rsid w:val="0077710D"/>
    <w:rsid w:val="00777753"/>
    <w:rsid w:val="007778FA"/>
    <w:rsid w:val="00777DA8"/>
    <w:rsid w:val="00777DD7"/>
    <w:rsid w:val="00777FE0"/>
    <w:rsid w:val="007801AA"/>
    <w:rsid w:val="007806CC"/>
    <w:rsid w:val="007809BA"/>
    <w:rsid w:val="00780A77"/>
    <w:rsid w:val="00780D12"/>
    <w:rsid w:val="007812DE"/>
    <w:rsid w:val="0078149C"/>
    <w:rsid w:val="00781667"/>
    <w:rsid w:val="00781795"/>
    <w:rsid w:val="00781A63"/>
    <w:rsid w:val="00781CC3"/>
    <w:rsid w:val="00781D40"/>
    <w:rsid w:val="007820C9"/>
    <w:rsid w:val="0078243F"/>
    <w:rsid w:val="00782A33"/>
    <w:rsid w:val="0078329D"/>
    <w:rsid w:val="007832C4"/>
    <w:rsid w:val="00783372"/>
    <w:rsid w:val="00783690"/>
    <w:rsid w:val="00783801"/>
    <w:rsid w:val="007838B7"/>
    <w:rsid w:val="00783C09"/>
    <w:rsid w:val="00783F49"/>
    <w:rsid w:val="007843F4"/>
    <w:rsid w:val="00784B91"/>
    <w:rsid w:val="00784F77"/>
    <w:rsid w:val="00784F7C"/>
    <w:rsid w:val="0078508F"/>
    <w:rsid w:val="007851E1"/>
    <w:rsid w:val="00785884"/>
    <w:rsid w:val="00785A12"/>
    <w:rsid w:val="00785A1D"/>
    <w:rsid w:val="00785AA2"/>
    <w:rsid w:val="00785AEE"/>
    <w:rsid w:val="00785B6A"/>
    <w:rsid w:val="00785FCA"/>
    <w:rsid w:val="007860F7"/>
    <w:rsid w:val="007861EC"/>
    <w:rsid w:val="00786379"/>
    <w:rsid w:val="007864F2"/>
    <w:rsid w:val="007864FC"/>
    <w:rsid w:val="007867C7"/>
    <w:rsid w:val="00786862"/>
    <w:rsid w:val="00786B21"/>
    <w:rsid w:val="007875DF"/>
    <w:rsid w:val="00787867"/>
    <w:rsid w:val="00787AC4"/>
    <w:rsid w:val="00787B62"/>
    <w:rsid w:val="00787C50"/>
    <w:rsid w:val="0079025C"/>
    <w:rsid w:val="00790322"/>
    <w:rsid w:val="007904E5"/>
    <w:rsid w:val="007904F7"/>
    <w:rsid w:val="00790660"/>
    <w:rsid w:val="0079082A"/>
    <w:rsid w:val="00790A1C"/>
    <w:rsid w:val="00790B01"/>
    <w:rsid w:val="00790C4F"/>
    <w:rsid w:val="00791401"/>
    <w:rsid w:val="00791667"/>
    <w:rsid w:val="00791A6A"/>
    <w:rsid w:val="00791B2F"/>
    <w:rsid w:val="00791E42"/>
    <w:rsid w:val="00791F95"/>
    <w:rsid w:val="00792161"/>
    <w:rsid w:val="0079245C"/>
    <w:rsid w:val="00792757"/>
    <w:rsid w:val="0079279B"/>
    <w:rsid w:val="0079283F"/>
    <w:rsid w:val="00792A52"/>
    <w:rsid w:val="00792BEF"/>
    <w:rsid w:val="00792E00"/>
    <w:rsid w:val="00793018"/>
    <w:rsid w:val="00793602"/>
    <w:rsid w:val="007939F0"/>
    <w:rsid w:val="00793F32"/>
    <w:rsid w:val="007943AF"/>
    <w:rsid w:val="007947CB"/>
    <w:rsid w:val="0079521E"/>
    <w:rsid w:val="0079581E"/>
    <w:rsid w:val="0079603C"/>
    <w:rsid w:val="00796148"/>
    <w:rsid w:val="0079687A"/>
    <w:rsid w:val="00796C84"/>
    <w:rsid w:val="00796EA4"/>
    <w:rsid w:val="007971E9"/>
    <w:rsid w:val="00797272"/>
    <w:rsid w:val="00797BC5"/>
    <w:rsid w:val="00797D2E"/>
    <w:rsid w:val="007A01A6"/>
    <w:rsid w:val="007A05D3"/>
    <w:rsid w:val="007A05FD"/>
    <w:rsid w:val="007A0822"/>
    <w:rsid w:val="007A09E6"/>
    <w:rsid w:val="007A1097"/>
    <w:rsid w:val="007A146A"/>
    <w:rsid w:val="007A1F96"/>
    <w:rsid w:val="007A22B8"/>
    <w:rsid w:val="007A283F"/>
    <w:rsid w:val="007A2C47"/>
    <w:rsid w:val="007A2D15"/>
    <w:rsid w:val="007A2E2C"/>
    <w:rsid w:val="007A31BE"/>
    <w:rsid w:val="007A31F9"/>
    <w:rsid w:val="007A37A4"/>
    <w:rsid w:val="007A37F4"/>
    <w:rsid w:val="007A38B3"/>
    <w:rsid w:val="007A3903"/>
    <w:rsid w:val="007A3AEA"/>
    <w:rsid w:val="007A3B3F"/>
    <w:rsid w:val="007A3D01"/>
    <w:rsid w:val="007A402E"/>
    <w:rsid w:val="007A4219"/>
    <w:rsid w:val="007A43D9"/>
    <w:rsid w:val="007A4733"/>
    <w:rsid w:val="007A47C6"/>
    <w:rsid w:val="007A4B65"/>
    <w:rsid w:val="007A4BA3"/>
    <w:rsid w:val="007A4C6F"/>
    <w:rsid w:val="007A4E1C"/>
    <w:rsid w:val="007A4ED4"/>
    <w:rsid w:val="007A4FD3"/>
    <w:rsid w:val="007A63BF"/>
    <w:rsid w:val="007A71E7"/>
    <w:rsid w:val="007A766B"/>
    <w:rsid w:val="007A7A5E"/>
    <w:rsid w:val="007A7DED"/>
    <w:rsid w:val="007B0087"/>
    <w:rsid w:val="007B00D1"/>
    <w:rsid w:val="007B03B2"/>
    <w:rsid w:val="007B061E"/>
    <w:rsid w:val="007B0B6E"/>
    <w:rsid w:val="007B0E20"/>
    <w:rsid w:val="007B1164"/>
    <w:rsid w:val="007B11A9"/>
    <w:rsid w:val="007B1346"/>
    <w:rsid w:val="007B140D"/>
    <w:rsid w:val="007B16F8"/>
    <w:rsid w:val="007B197C"/>
    <w:rsid w:val="007B198D"/>
    <w:rsid w:val="007B1E89"/>
    <w:rsid w:val="007B1F52"/>
    <w:rsid w:val="007B1F7C"/>
    <w:rsid w:val="007B27B4"/>
    <w:rsid w:val="007B2802"/>
    <w:rsid w:val="007B2CC8"/>
    <w:rsid w:val="007B3132"/>
    <w:rsid w:val="007B3314"/>
    <w:rsid w:val="007B3613"/>
    <w:rsid w:val="007B373E"/>
    <w:rsid w:val="007B384D"/>
    <w:rsid w:val="007B3BA0"/>
    <w:rsid w:val="007B3D4A"/>
    <w:rsid w:val="007B4113"/>
    <w:rsid w:val="007B431B"/>
    <w:rsid w:val="007B43FC"/>
    <w:rsid w:val="007B4412"/>
    <w:rsid w:val="007B47D4"/>
    <w:rsid w:val="007B480E"/>
    <w:rsid w:val="007B4823"/>
    <w:rsid w:val="007B4EC0"/>
    <w:rsid w:val="007B4F37"/>
    <w:rsid w:val="007B5135"/>
    <w:rsid w:val="007B51F1"/>
    <w:rsid w:val="007B5257"/>
    <w:rsid w:val="007B5837"/>
    <w:rsid w:val="007B608C"/>
    <w:rsid w:val="007B6535"/>
    <w:rsid w:val="007B6D2E"/>
    <w:rsid w:val="007B6D78"/>
    <w:rsid w:val="007B6D7A"/>
    <w:rsid w:val="007B6D8F"/>
    <w:rsid w:val="007B7559"/>
    <w:rsid w:val="007B76C3"/>
    <w:rsid w:val="007B76F2"/>
    <w:rsid w:val="007B7BAE"/>
    <w:rsid w:val="007B7EA7"/>
    <w:rsid w:val="007C11ED"/>
    <w:rsid w:val="007C1472"/>
    <w:rsid w:val="007C1914"/>
    <w:rsid w:val="007C2067"/>
    <w:rsid w:val="007C2181"/>
    <w:rsid w:val="007C263F"/>
    <w:rsid w:val="007C2698"/>
    <w:rsid w:val="007C27BC"/>
    <w:rsid w:val="007C2A32"/>
    <w:rsid w:val="007C2A69"/>
    <w:rsid w:val="007C2B43"/>
    <w:rsid w:val="007C2CCA"/>
    <w:rsid w:val="007C308F"/>
    <w:rsid w:val="007C3122"/>
    <w:rsid w:val="007C33A4"/>
    <w:rsid w:val="007C33F3"/>
    <w:rsid w:val="007C348B"/>
    <w:rsid w:val="007C364B"/>
    <w:rsid w:val="007C36CA"/>
    <w:rsid w:val="007C3867"/>
    <w:rsid w:val="007C3C8B"/>
    <w:rsid w:val="007C41F6"/>
    <w:rsid w:val="007C4371"/>
    <w:rsid w:val="007C472A"/>
    <w:rsid w:val="007C477E"/>
    <w:rsid w:val="007C48BE"/>
    <w:rsid w:val="007C4BCE"/>
    <w:rsid w:val="007C4EA8"/>
    <w:rsid w:val="007C514A"/>
    <w:rsid w:val="007C518E"/>
    <w:rsid w:val="007C5400"/>
    <w:rsid w:val="007C5554"/>
    <w:rsid w:val="007C5CE3"/>
    <w:rsid w:val="007C5EB7"/>
    <w:rsid w:val="007C6495"/>
    <w:rsid w:val="007C6706"/>
    <w:rsid w:val="007C6AA2"/>
    <w:rsid w:val="007C6EAA"/>
    <w:rsid w:val="007C6EB3"/>
    <w:rsid w:val="007C6ECA"/>
    <w:rsid w:val="007C7BDE"/>
    <w:rsid w:val="007C7E1E"/>
    <w:rsid w:val="007D00DF"/>
    <w:rsid w:val="007D0603"/>
    <w:rsid w:val="007D0615"/>
    <w:rsid w:val="007D082B"/>
    <w:rsid w:val="007D0C23"/>
    <w:rsid w:val="007D10F6"/>
    <w:rsid w:val="007D117B"/>
    <w:rsid w:val="007D1677"/>
    <w:rsid w:val="007D1854"/>
    <w:rsid w:val="007D1C4B"/>
    <w:rsid w:val="007D1D3B"/>
    <w:rsid w:val="007D2187"/>
    <w:rsid w:val="007D229D"/>
    <w:rsid w:val="007D25BC"/>
    <w:rsid w:val="007D2884"/>
    <w:rsid w:val="007D29CE"/>
    <w:rsid w:val="007D2C9B"/>
    <w:rsid w:val="007D2F88"/>
    <w:rsid w:val="007D2F8D"/>
    <w:rsid w:val="007D3179"/>
    <w:rsid w:val="007D45FF"/>
    <w:rsid w:val="007D481E"/>
    <w:rsid w:val="007D4AB6"/>
    <w:rsid w:val="007D4B22"/>
    <w:rsid w:val="007D4E91"/>
    <w:rsid w:val="007D4EE8"/>
    <w:rsid w:val="007D50FD"/>
    <w:rsid w:val="007D5363"/>
    <w:rsid w:val="007D5449"/>
    <w:rsid w:val="007D5534"/>
    <w:rsid w:val="007D56E9"/>
    <w:rsid w:val="007D571E"/>
    <w:rsid w:val="007D5758"/>
    <w:rsid w:val="007D5923"/>
    <w:rsid w:val="007D5C33"/>
    <w:rsid w:val="007D5EBC"/>
    <w:rsid w:val="007D5F35"/>
    <w:rsid w:val="007D614F"/>
    <w:rsid w:val="007D6403"/>
    <w:rsid w:val="007D6B3C"/>
    <w:rsid w:val="007D7190"/>
    <w:rsid w:val="007D74F0"/>
    <w:rsid w:val="007D7D73"/>
    <w:rsid w:val="007E0104"/>
    <w:rsid w:val="007E0327"/>
    <w:rsid w:val="007E065E"/>
    <w:rsid w:val="007E08CF"/>
    <w:rsid w:val="007E0B6F"/>
    <w:rsid w:val="007E0C6B"/>
    <w:rsid w:val="007E14B4"/>
    <w:rsid w:val="007E1820"/>
    <w:rsid w:val="007E1919"/>
    <w:rsid w:val="007E19D3"/>
    <w:rsid w:val="007E22DB"/>
    <w:rsid w:val="007E2333"/>
    <w:rsid w:val="007E24AF"/>
    <w:rsid w:val="007E2959"/>
    <w:rsid w:val="007E2CB4"/>
    <w:rsid w:val="007E2F0E"/>
    <w:rsid w:val="007E3169"/>
    <w:rsid w:val="007E35F2"/>
    <w:rsid w:val="007E36CB"/>
    <w:rsid w:val="007E3F5A"/>
    <w:rsid w:val="007E4475"/>
    <w:rsid w:val="007E48FF"/>
    <w:rsid w:val="007E4ECB"/>
    <w:rsid w:val="007E5278"/>
    <w:rsid w:val="007E536E"/>
    <w:rsid w:val="007E5AD1"/>
    <w:rsid w:val="007E5AD9"/>
    <w:rsid w:val="007E5C43"/>
    <w:rsid w:val="007E5F8D"/>
    <w:rsid w:val="007E629F"/>
    <w:rsid w:val="007E642D"/>
    <w:rsid w:val="007E6646"/>
    <w:rsid w:val="007E679C"/>
    <w:rsid w:val="007E6818"/>
    <w:rsid w:val="007E6819"/>
    <w:rsid w:val="007E6F58"/>
    <w:rsid w:val="007E6F77"/>
    <w:rsid w:val="007E7B22"/>
    <w:rsid w:val="007E7C2E"/>
    <w:rsid w:val="007E7DCA"/>
    <w:rsid w:val="007E7F34"/>
    <w:rsid w:val="007E7F54"/>
    <w:rsid w:val="007F0083"/>
    <w:rsid w:val="007F037A"/>
    <w:rsid w:val="007F08EC"/>
    <w:rsid w:val="007F09D2"/>
    <w:rsid w:val="007F12AD"/>
    <w:rsid w:val="007F15C3"/>
    <w:rsid w:val="007F16B2"/>
    <w:rsid w:val="007F1795"/>
    <w:rsid w:val="007F18C8"/>
    <w:rsid w:val="007F18FA"/>
    <w:rsid w:val="007F1A6B"/>
    <w:rsid w:val="007F1D7C"/>
    <w:rsid w:val="007F2437"/>
    <w:rsid w:val="007F2545"/>
    <w:rsid w:val="007F2BA6"/>
    <w:rsid w:val="007F3088"/>
    <w:rsid w:val="007F32C9"/>
    <w:rsid w:val="007F35A0"/>
    <w:rsid w:val="007F3E23"/>
    <w:rsid w:val="007F4249"/>
    <w:rsid w:val="007F4643"/>
    <w:rsid w:val="007F52F1"/>
    <w:rsid w:val="007F5B83"/>
    <w:rsid w:val="007F5B9D"/>
    <w:rsid w:val="007F5E2A"/>
    <w:rsid w:val="007F66D7"/>
    <w:rsid w:val="007F6F7A"/>
    <w:rsid w:val="007F7420"/>
    <w:rsid w:val="007F75C9"/>
    <w:rsid w:val="007F786D"/>
    <w:rsid w:val="008000C5"/>
    <w:rsid w:val="0080079F"/>
    <w:rsid w:val="00800B5A"/>
    <w:rsid w:val="00800E10"/>
    <w:rsid w:val="00801416"/>
    <w:rsid w:val="00801811"/>
    <w:rsid w:val="00801F39"/>
    <w:rsid w:val="008025A7"/>
    <w:rsid w:val="00802698"/>
    <w:rsid w:val="00802711"/>
    <w:rsid w:val="00803081"/>
    <w:rsid w:val="008037C4"/>
    <w:rsid w:val="0080394D"/>
    <w:rsid w:val="008040FC"/>
    <w:rsid w:val="00804202"/>
    <w:rsid w:val="0080475D"/>
    <w:rsid w:val="00805689"/>
    <w:rsid w:val="00805D15"/>
    <w:rsid w:val="00805E38"/>
    <w:rsid w:val="00806C88"/>
    <w:rsid w:val="00807076"/>
    <w:rsid w:val="00807662"/>
    <w:rsid w:val="00807AA5"/>
    <w:rsid w:val="00807EA8"/>
    <w:rsid w:val="008102DA"/>
    <w:rsid w:val="00810394"/>
    <w:rsid w:val="00810583"/>
    <w:rsid w:val="00810594"/>
    <w:rsid w:val="008107C7"/>
    <w:rsid w:val="00810924"/>
    <w:rsid w:val="00810A4C"/>
    <w:rsid w:val="00810C97"/>
    <w:rsid w:val="00810DB7"/>
    <w:rsid w:val="0081130A"/>
    <w:rsid w:val="008114B8"/>
    <w:rsid w:val="008117DE"/>
    <w:rsid w:val="00811A61"/>
    <w:rsid w:val="00811A79"/>
    <w:rsid w:val="00811BE4"/>
    <w:rsid w:val="008123E5"/>
    <w:rsid w:val="008124E0"/>
    <w:rsid w:val="008124F4"/>
    <w:rsid w:val="008125FD"/>
    <w:rsid w:val="008126B4"/>
    <w:rsid w:val="008128F5"/>
    <w:rsid w:val="00812942"/>
    <w:rsid w:val="00812A2A"/>
    <w:rsid w:val="00813026"/>
    <w:rsid w:val="008130E7"/>
    <w:rsid w:val="008134CB"/>
    <w:rsid w:val="008135FA"/>
    <w:rsid w:val="0081365B"/>
    <w:rsid w:val="00813897"/>
    <w:rsid w:val="0081397A"/>
    <w:rsid w:val="00814144"/>
    <w:rsid w:val="008141F0"/>
    <w:rsid w:val="008144C5"/>
    <w:rsid w:val="00814533"/>
    <w:rsid w:val="00814D68"/>
    <w:rsid w:val="00814DF3"/>
    <w:rsid w:val="0081532F"/>
    <w:rsid w:val="00815479"/>
    <w:rsid w:val="00815A5C"/>
    <w:rsid w:val="00815BDC"/>
    <w:rsid w:val="008163D5"/>
    <w:rsid w:val="00816592"/>
    <w:rsid w:val="00816E7C"/>
    <w:rsid w:val="008176E0"/>
    <w:rsid w:val="00817873"/>
    <w:rsid w:val="008200B8"/>
    <w:rsid w:val="00820451"/>
    <w:rsid w:val="008204FD"/>
    <w:rsid w:val="008206C4"/>
    <w:rsid w:val="008207F6"/>
    <w:rsid w:val="00820C03"/>
    <w:rsid w:val="00820CF6"/>
    <w:rsid w:val="00820F1C"/>
    <w:rsid w:val="00820F68"/>
    <w:rsid w:val="00821024"/>
    <w:rsid w:val="00821262"/>
    <w:rsid w:val="00821C85"/>
    <w:rsid w:val="00821EEC"/>
    <w:rsid w:val="00822631"/>
    <w:rsid w:val="008226F0"/>
    <w:rsid w:val="008227BC"/>
    <w:rsid w:val="00822AEC"/>
    <w:rsid w:val="00822C7B"/>
    <w:rsid w:val="008230D6"/>
    <w:rsid w:val="00823238"/>
    <w:rsid w:val="008234CC"/>
    <w:rsid w:val="00823550"/>
    <w:rsid w:val="008236C5"/>
    <w:rsid w:val="00823887"/>
    <w:rsid w:val="00823ADF"/>
    <w:rsid w:val="00823B14"/>
    <w:rsid w:val="00824171"/>
    <w:rsid w:val="00824EDE"/>
    <w:rsid w:val="0082545D"/>
    <w:rsid w:val="00825489"/>
    <w:rsid w:val="0082589D"/>
    <w:rsid w:val="00825AE4"/>
    <w:rsid w:val="00825D71"/>
    <w:rsid w:val="00825DF1"/>
    <w:rsid w:val="00826116"/>
    <w:rsid w:val="00826209"/>
    <w:rsid w:val="008262FD"/>
    <w:rsid w:val="0082647E"/>
    <w:rsid w:val="0082677C"/>
    <w:rsid w:val="008273E7"/>
    <w:rsid w:val="00827625"/>
    <w:rsid w:val="008276BD"/>
    <w:rsid w:val="008276EA"/>
    <w:rsid w:val="0082776D"/>
    <w:rsid w:val="00827C6E"/>
    <w:rsid w:val="00827CEB"/>
    <w:rsid w:val="008300F0"/>
    <w:rsid w:val="0083017C"/>
    <w:rsid w:val="00830404"/>
    <w:rsid w:val="008307A6"/>
    <w:rsid w:val="00830B7E"/>
    <w:rsid w:val="0083118D"/>
    <w:rsid w:val="008313B0"/>
    <w:rsid w:val="00831538"/>
    <w:rsid w:val="008318F9"/>
    <w:rsid w:val="00831A6B"/>
    <w:rsid w:val="00831EDB"/>
    <w:rsid w:val="00831F08"/>
    <w:rsid w:val="0083212F"/>
    <w:rsid w:val="008321EF"/>
    <w:rsid w:val="008321FA"/>
    <w:rsid w:val="00832211"/>
    <w:rsid w:val="00832252"/>
    <w:rsid w:val="008329DB"/>
    <w:rsid w:val="00832F21"/>
    <w:rsid w:val="008332B4"/>
    <w:rsid w:val="008334B7"/>
    <w:rsid w:val="00833B8A"/>
    <w:rsid w:val="00833DD1"/>
    <w:rsid w:val="00833E5D"/>
    <w:rsid w:val="00834526"/>
    <w:rsid w:val="008352BE"/>
    <w:rsid w:val="0083594F"/>
    <w:rsid w:val="00835C01"/>
    <w:rsid w:val="0083613B"/>
    <w:rsid w:val="0083644E"/>
    <w:rsid w:val="00836702"/>
    <w:rsid w:val="00836848"/>
    <w:rsid w:val="0083693C"/>
    <w:rsid w:val="00836A4F"/>
    <w:rsid w:val="00836DDA"/>
    <w:rsid w:val="00836EF0"/>
    <w:rsid w:val="00837439"/>
    <w:rsid w:val="0083775B"/>
    <w:rsid w:val="00837813"/>
    <w:rsid w:val="00837AB3"/>
    <w:rsid w:val="0084076F"/>
    <w:rsid w:val="00840DFB"/>
    <w:rsid w:val="00840E2E"/>
    <w:rsid w:val="00840E9E"/>
    <w:rsid w:val="00840EEC"/>
    <w:rsid w:val="008410F5"/>
    <w:rsid w:val="008411FB"/>
    <w:rsid w:val="00841202"/>
    <w:rsid w:val="00841303"/>
    <w:rsid w:val="00841586"/>
    <w:rsid w:val="008419A5"/>
    <w:rsid w:val="00841F95"/>
    <w:rsid w:val="00842269"/>
    <w:rsid w:val="00842D21"/>
    <w:rsid w:val="00843072"/>
    <w:rsid w:val="00843142"/>
    <w:rsid w:val="00843287"/>
    <w:rsid w:val="008432D3"/>
    <w:rsid w:val="0084333A"/>
    <w:rsid w:val="00844560"/>
    <w:rsid w:val="008445F6"/>
    <w:rsid w:val="00844792"/>
    <w:rsid w:val="008448E9"/>
    <w:rsid w:val="00844957"/>
    <w:rsid w:val="00844B7E"/>
    <w:rsid w:val="00844B85"/>
    <w:rsid w:val="0084533D"/>
    <w:rsid w:val="0084589F"/>
    <w:rsid w:val="00845ACB"/>
    <w:rsid w:val="00845B48"/>
    <w:rsid w:val="00845D15"/>
    <w:rsid w:val="00845D24"/>
    <w:rsid w:val="0084645D"/>
    <w:rsid w:val="0084654E"/>
    <w:rsid w:val="00846925"/>
    <w:rsid w:val="00846C88"/>
    <w:rsid w:val="00846CDC"/>
    <w:rsid w:val="00846F26"/>
    <w:rsid w:val="00847A28"/>
    <w:rsid w:val="00850090"/>
    <w:rsid w:val="008500A9"/>
    <w:rsid w:val="00850A6C"/>
    <w:rsid w:val="00850A7D"/>
    <w:rsid w:val="00850CB7"/>
    <w:rsid w:val="00850DE6"/>
    <w:rsid w:val="00851597"/>
    <w:rsid w:val="008515D4"/>
    <w:rsid w:val="00851721"/>
    <w:rsid w:val="0085205A"/>
    <w:rsid w:val="0085232C"/>
    <w:rsid w:val="00852345"/>
    <w:rsid w:val="00852C4A"/>
    <w:rsid w:val="00853003"/>
    <w:rsid w:val="00853271"/>
    <w:rsid w:val="0085362D"/>
    <w:rsid w:val="008536DA"/>
    <w:rsid w:val="008538DB"/>
    <w:rsid w:val="008538ED"/>
    <w:rsid w:val="0085397F"/>
    <w:rsid w:val="00853987"/>
    <w:rsid w:val="00854775"/>
    <w:rsid w:val="00854A92"/>
    <w:rsid w:val="00854AFC"/>
    <w:rsid w:val="00854E25"/>
    <w:rsid w:val="00854E47"/>
    <w:rsid w:val="008550CE"/>
    <w:rsid w:val="008551D1"/>
    <w:rsid w:val="00855B3A"/>
    <w:rsid w:val="00855D27"/>
    <w:rsid w:val="00856840"/>
    <w:rsid w:val="00856B69"/>
    <w:rsid w:val="00856FD5"/>
    <w:rsid w:val="0085709E"/>
    <w:rsid w:val="008577AF"/>
    <w:rsid w:val="008579A6"/>
    <w:rsid w:val="00857A36"/>
    <w:rsid w:val="00857B1E"/>
    <w:rsid w:val="00857C12"/>
    <w:rsid w:val="00857F3D"/>
    <w:rsid w:val="0086000C"/>
    <w:rsid w:val="008601F2"/>
    <w:rsid w:val="008602BB"/>
    <w:rsid w:val="0086080B"/>
    <w:rsid w:val="00860E4E"/>
    <w:rsid w:val="00860EA0"/>
    <w:rsid w:val="00860FAB"/>
    <w:rsid w:val="00861101"/>
    <w:rsid w:val="0086110F"/>
    <w:rsid w:val="00861AF5"/>
    <w:rsid w:val="008637EB"/>
    <w:rsid w:val="00863896"/>
    <w:rsid w:val="008638D3"/>
    <w:rsid w:val="00863B8B"/>
    <w:rsid w:val="008641E8"/>
    <w:rsid w:val="0086429F"/>
    <w:rsid w:val="00864302"/>
    <w:rsid w:val="00864309"/>
    <w:rsid w:val="00864826"/>
    <w:rsid w:val="0086483B"/>
    <w:rsid w:val="00864DAF"/>
    <w:rsid w:val="00864E4E"/>
    <w:rsid w:val="00865097"/>
    <w:rsid w:val="00865535"/>
    <w:rsid w:val="00865EE9"/>
    <w:rsid w:val="0086636C"/>
    <w:rsid w:val="00866443"/>
    <w:rsid w:val="00866511"/>
    <w:rsid w:val="008666A0"/>
    <w:rsid w:val="00866A50"/>
    <w:rsid w:val="00866B22"/>
    <w:rsid w:val="008671AA"/>
    <w:rsid w:val="00867573"/>
    <w:rsid w:val="00867831"/>
    <w:rsid w:val="00867877"/>
    <w:rsid w:val="008678D0"/>
    <w:rsid w:val="00867C64"/>
    <w:rsid w:val="0087003F"/>
    <w:rsid w:val="00870F09"/>
    <w:rsid w:val="00870F1D"/>
    <w:rsid w:val="008715CB"/>
    <w:rsid w:val="0087169B"/>
    <w:rsid w:val="008721A0"/>
    <w:rsid w:val="0087260D"/>
    <w:rsid w:val="008727CD"/>
    <w:rsid w:val="008727D8"/>
    <w:rsid w:val="00872801"/>
    <w:rsid w:val="00872ABD"/>
    <w:rsid w:val="008730AA"/>
    <w:rsid w:val="008731C0"/>
    <w:rsid w:val="008732E8"/>
    <w:rsid w:val="008732FF"/>
    <w:rsid w:val="0087362D"/>
    <w:rsid w:val="0087374E"/>
    <w:rsid w:val="00873B35"/>
    <w:rsid w:val="00873EB9"/>
    <w:rsid w:val="00873FFC"/>
    <w:rsid w:val="0087446E"/>
    <w:rsid w:val="008744E5"/>
    <w:rsid w:val="00874B42"/>
    <w:rsid w:val="0087524D"/>
    <w:rsid w:val="00875566"/>
    <w:rsid w:val="008756DF"/>
    <w:rsid w:val="0087581F"/>
    <w:rsid w:val="008759AC"/>
    <w:rsid w:val="00875AA7"/>
    <w:rsid w:val="00875CD3"/>
    <w:rsid w:val="00876BC7"/>
    <w:rsid w:val="00876EAC"/>
    <w:rsid w:val="0087722B"/>
    <w:rsid w:val="00877914"/>
    <w:rsid w:val="00877975"/>
    <w:rsid w:val="00877ACC"/>
    <w:rsid w:val="00877CF8"/>
    <w:rsid w:val="00880403"/>
    <w:rsid w:val="00880758"/>
    <w:rsid w:val="00880C6B"/>
    <w:rsid w:val="008811B0"/>
    <w:rsid w:val="008814CC"/>
    <w:rsid w:val="00881960"/>
    <w:rsid w:val="00881C3E"/>
    <w:rsid w:val="00881C82"/>
    <w:rsid w:val="00881F0A"/>
    <w:rsid w:val="008826AF"/>
    <w:rsid w:val="00882A32"/>
    <w:rsid w:val="00882D59"/>
    <w:rsid w:val="00883406"/>
    <w:rsid w:val="00883EEB"/>
    <w:rsid w:val="00883F73"/>
    <w:rsid w:val="0088426E"/>
    <w:rsid w:val="00884348"/>
    <w:rsid w:val="00884D2F"/>
    <w:rsid w:val="00884DA4"/>
    <w:rsid w:val="00884FE8"/>
    <w:rsid w:val="00885159"/>
    <w:rsid w:val="008858A3"/>
    <w:rsid w:val="00885968"/>
    <w:rsid w:val="00885BBF"/>
    <w:rsid w:val="00885C57"/>
    <w:rsid w:val="008861D3"/>
    <w:rsid w:val="00886BDE"/>
    <w:rsid w:val="00886E96"/>
    <w:rsid w:val="00887D0A"/>
    <w:rsid w:val="00887F73"/>
    <w:rsid w:val="00890167"/>
    <w:rsid w:val="008903CB"/>
    <w:rsid w:val="0089049E"/>
    <w:rsid w:val="008905F0"/>
    <w:rsid w:val="00890838"/>
    <w:rsid w:val="0089091A"/>
    <w:rsid w:val="00890D8B"/>
    <w:rsid w:val="00891289"/>
    <w:rsid w:val="00891463"/>
    <w:rsid w:val="00891899"/>
    <w:rsid w:val="00891CB9"/>
    <w:rsid w:val="00891CBC"/>
    <w:rsid w:val="00891FB0"/>
    <w:rsid w:val="0089215E"/>
    <w:rsid w:val="00892497"/>
    <w:rsid w:val="008924C4"/>
    <w:rsid w:val="0089267F"/>
    <w:rsid w:val="0089285A"/>
    <w:rsid w:val="00892864"/>
    <w:rsid w:val="00892A95"/>
    <w:rsid w:val="00892F2C"/>
    <w:rsid w:val="008933FC"/>
    <w:rsid w:val="008934CA"/>
    <w:rsid w:val="00893540"/>
    <w:rsid w:val="008936D2"/>
    <w:rsid w:val="00893E62"/>
    <w:rsid w:val="00893F96"/>
    <w:rsid w:val="008948B8"/>
    <w:rsid w:val="00894C49"/>
    <w:rsid w:val="00894CCD"/>
    <w:rsid w:val="00895015"/>
    <w:rsid w:val="00895335"/>
    <w:rsid w:val="0089550A"/>
    <w:rsid w:val="00895DD3"/>
    <w:rsid w:val="00895F89"/>
    <w:rsid w:val="008962D2"/>
    <w:rsid w:val="00896312"/>
    <w:rsid w:val="00896414"/>
    <w:rsid w:val="00896E0B"/>
    <w:rsid w:val="008972DE"/>
    <w:rsid w:val="008978A8"/>
    <w:rsid w:val="00897A8F"/>
    <w:rsid w:val="00897E3F"/>
    <w:rsid w:val="00897EE1"/>
    <w:rsid w:val="008A06C8"/>
    <w:rsid w:val="008A0964"/>
    <w:rsid w:val="008A0C32"/>
    <w:rsid w:val="008A0D6A"/>
    <w:rsid w:val="008A0EF7"/>
    <w:rsid w:val="008A1066"/>
    <w:rsid w:val="008A11F9"/>
    <w:rsid w:val="008A125C"/>
    <w:rsid w:val="008A12C6"/>
    <w:rsid w:val="008A2952"/>
    <w:rsid w:val="008A300B"/>
    <w:rsid w:val="008A3042"/>
    <w:rsid w:val="008A31E8"/>
    <w:rsid w:val="008A31F7"/>
    <w:rsid w:val="008A3450"/>
    <w:rsid w:val="008A34AA"/>
    <w:rsid w:val="008A38F2"/>
    <w:rsid w:val="008A3B88"/>
    <w:rsid w:val="008A3FE9"/>
    <w:rsid w:val="008A4229"/>
    <w:rsid w:val="008A431B"/>
    <w:rsid w:val="008A43D8"/>
    <w:rsid w:val="008A44B6"/>
    <w:rsid w:val="008A4612"/>
    <w:rsid w:val="008A48EC"/>
    <w:rsid w:val="008A4AB9"/>
    <w:rsid w:val="008A4D49"/>
    <w:rsid w:val="008A5077"/>
    <w:rsid w:val="008A53E6"/>
    <w:rsid w:val="008A5898"/>
    <w:rsid w:val="008A5BD5"/>
    <w:rsid w:val="008A5BEF"/>
    <w:rsid w:val="008A5C16"/>
    <w:rsid w:val="008A615E"/>
    <w:rsid w:val="008A65F6"/>
    <w:rsid w:val="008A6926"/>
    <w:rsid w:val="008A6A68"/>
    <w:rsid w:val="008A6A80"/>
    <w:rsid w:val="008A726E"/>
    <w:rsid w:val="008A759D"/>
    <w:rsid w:val="008A79F0"/>
    <w:rsid w:val="008A7C31"/>
    <w:rsid w:val="008A7EF1"/>
    <w:rsid w:val="008B00DF"/>
    <w:rsid w:val="008B0618"/>
    <w:rsid w:val="008B0C16"/>
    <w:rsid w:val="008B0C78"/>
    <w:rsid w:val="008B12AF"/>
    <w:rsid w:val="008B1836"/>
    <w:rsid w:val="008B1A1D"/>
    <w:rsid w:val="008B1B66"/>
    <w:rsid w:val="008B1F69"/>
    <w:rsid w:val="008B1FC0"/>
    <w:rsid w:val="008B1FE2"/>
    <w:rsid w:val="008B2035"/>
    <w:rsid w:val="008B2488"/>
    <w:rsid w:val="008B26A5"/>
    <w:rsid w:val="008B2F0B"/>
    <w:rsid w:val="008B3EB8"/>
    <w:rsid w:val="008B43D4"/>
    <w:rsid w:val="008B4600"/>
    <w:rsid w:val="008B4D0A"/>
    <w:rsid w:val="008B5BFA"/>
    <w:rsid w:val="008B61AB"/>
    <w:rsid w:val="008B6359"/>
    <w:rsid w:val="008B64BF"/>
    <w:rsid w:val="008B6F4B"/>
    <w:rsid w:val="008B6FEB"/>
    <w:rsid w:val="008B70D5"/>
    <w:rsid w:val="008B71B4"/>
    <w:rsid w:val="008B75BC"/>
    <w:rsid w:val="008B7EEF"/>
    <w:rsid w:val="008C01E9"/>
    <w:rsid w:val="008C07EB"/>
    <w:rsid w:val="008C0A56"/>
    <w:rsid w:val="008C0C18"/>
    <w:rsid w:val="008C0E2F"/>
    <w:rsid w:val="008C0FE9"/>
    <w:rsid w:val="008C138F"/>
    <w:rsid w:val="008C17D7"/>
    <w:rsid w:val="008C17E1"/>
    <w:rsid w:val="008C18B2"/>
    <w:rsid w:val="008C1AC0"/>
    <w:rsid w:val="008C1BDE"/>
    <w:rsid w:val="008C1EC6"/>
    <w:rsid w:val="008C2004"/>
    <w:rsid w:val="008C247D"/>
    <w:rsid w:val="008C26A2"/>
    <w:rsid w:val="008C27BC"/>
    <w:rsid w:val="008C2A8F"/>
    <w:rsid w:val="008C2B05"/>
    <w:rsid w:val="008C2B8E"/>
    <w:rsid w:val="008C2D6D"/>
    <w:rsid w:val="008C2E6A"/>
    <w:rsid w:val="008C3277"/>
    <w:rsid w:val="008C3823"/>
    <w:rsid w:val="008C39C5"/>
    <w:rsid w:val="008C3C77"/>
    <w:rsid w:val="008C3E90"/>
    <w:rsid w:val="008C3E9D"/>
    <w:rsid w:val="008C4536"/>
    <w:rsid w:val="008C4692"/>
    <w:rsid w:val="008C4EE0"/>
    <w:rsid w:val="008C4FA6"/>
    <w:rsid w:val="008C4FB4"/>
    <w:rsid w:val="008C5126"/>
    <w:rsid w:val="008C513F"/>
    <w:rsid w:val="008C52EE"/>
    <w:rsid w:val="008C5778"/>
    <w:rsid w:val="008C5947"/>
    <w:rsid w:val="008C60CB"/>
    <w:rsid w:val="008C60F0"/>
    <w:rsid w:val="008C66B9"/>
    <w:rsid w:val="008C66C7"/>
    <w:rsid w:val="008C7B4F"/>
    <w:rsid w:val="008C7EC0"/>
    <w:rsid w:val="008D0020"/>
    <w:rsid w:val="008D0359"/>
    <w:rsid w:val="008D0562"/>
    <w:rsid w:val="008D0614"/>
    <w:rsid w:val="008D0A50"/>
    <w:rsid w:val="008D0A54"/>
    <w:rsid w:val="008D1098"/>
    <w:rsid w:val="008D116B"/>
    <w:rsid w:val="008D15A5"/>
    <w:rsid w:val="008D165F"/>
    <w:rsid w:val="008D18D4"/>
    <w:rsid w:val="008D19A7"/>
    <w:rsid w:val="008D1C99"/>
    <w:rsid w:val="008D2349"/>
    <w:rsid w:val="008D25DC"/>
    <w:rsid w:val="008D27DE"/>
    <w:rsid w:val="008D30D3"/>
    <w:rsid w:val="008D30FD"/>
    <w:rsid w:val="008D3196"/>
    <w:rsid w:val="008D3307"/>
    <w:rsid w:val="008D359A"/>
    <w:rsid w:val="008D3726"/>
    <w:rsid w:val="008D3AC5"/>
    <w:rsid w:val="008D3AE5"/>
    <w:rsid w:val="008D3D69"/>
    <w:rsid w:val="008D3E64"/>
    <w:rsid w:val="008D4368"/>
    <w:rsid w:val="008D4551"/>
    <w:rsid w:val="008D49D6"/>
    <w:rsid w:val="008D4AF6"/>
    <w:rsid w:val="008D5398"/>
    <w:rsid w:val="008D549D"/>
    <w:rsid w:val="008D5511"/>
    <w:rsid w:val="008D5930"/>
    <w:rsid w:val="008D6611"/>
    <w:rsid w:val="008D6621"/>
    <w:rsid w:val="008D6740"/>
    <w:rsid w:val="008D6D03"/>
    <w:rsid w:val="008D6D9B"/>
    <w:rsid w:val="008D6E00"/>
    <w:rsid w:val="008D72F7"/>
    <w:rsid w:val="008D79C1"/>
    <w:rsid w:val="008D7C36"/>
    <w:rsid w:val="008D7C5A"/>
    <w:rsid w:val="008D7E6D"/>
    <w:rsid w:val="008D7F16"/>
    <w:rsid w:val="008E00D0"/>
    <w:rsid w:val="008E023F"/>
    <w:rsid w:val="008E0302"/>
    <w:rsid w:val="008E0380"/>
    <w:rsid w:val="008E051A"/>
    <w:rsid w:val="008E063E"/>
    <w:rsid w:val="008E0879"/>
    <w:rsid w:val="008E0B05"/>
    <w:rsid w:val="008E107F"/>
    <w:rsid w:val="008E153B"/>
    <w:rsid w:val="008E1A1F"/>
    <w:rsid w:val="008E1ED6"/>
    <w:rsid w:val="008E1FE4"/>
    <w:rsid w:val="008E2334"/>
    <w:rsid w:val="008E26EA"/>
    <w:rsid w:val="008E276E"/>
    <w:rsid w:val="008E2797"/>
    <w:rsid w:val="008E2910"/>
    <w:rsid w:val="008E2C0F"/>
    <w:rsid w:val="008E2EC9"/>
    <w:rsid w:val="008E3389"/>
    <w:rsid w:val="008E33BD"/>
    <w:rsid w:val="008E3558"/>
    <w:rsid w:val="008E3730"/>
    <w:rsid w:val="008E3756"/>
    <w:rsid w:val="008E3ABA"/>
    <w:rsid w:val="008E3E46"/>
    <w:rsid w:val="008E441B"/>
    <w:rsid w:val="008E466A"/>
    <w:rsid w:val="008E46FA"/>
    <w:rsid w:val="008E4AC5"/>
    <w:rsid w:val="008E50F7"/>
    <w:rsid w:val="008E55E1"/>
    <w:rsid w:val="008E6032"/>
    <w:rsid w:val="008E66F7"/>
    <w:rsid w:val="008E6A3D"/>
    <w:rsid w:val="008E6D8A"/>
    <w:rsid w:val="008E77A1"/>
    <w:rsid w:val="008E78E9"/>
    <w:rsid w:val="008E7BED"/>
    <w:rsid w:val="008E7C9D"/>
    <w:rsid w:val="008F06A2"/>
    <w:rsid w:val="008F10CE"/>
    <w:rsid w:val="008F158C"/>
    <w:rsid w:val="008F15EA"/>
    <w:rsid w:val="008F16D5"/>
    <w:rsid w:val="008F22C3"/>
    <w:rsid w:val="008F2432"/>
    <w:rsid w:val="008F28AD"/>
    <w:rsid w:val="008F2EC8"/>
    <w:rsid w:val="008F3A3E"/>
    <w:rsid w:val="008F3D4F"/>
    <w:rsid w:val="008F3D6A"/>
    <w:rsid w:val="008F3DCC"/>
    <w:rsid w:val="008F447A"/>
    <w:rsid w:val="008F4787"/>
    <w:rsid w:val="008F485C"/>
    <w:rsid w:val="008F4C6F"/>
    <w:rsid w:val="008F4F81"/>
    <w:rsid w:val="008F50A6"/>
    <w:rsid w:val="008F51DB"/>
    <w:rsid w:val="008F51FC"/>
    <w:rsid w:val="008F5CA9"/>
    <w:rsid w:val="008F64A9"/>
    <w:rsid w:val="008F677C"/>
    <w:rsid w:val="008F68C6"/>
    <w:rsid w:val="008F6979"/>
    <w:rsid w:val="008F6A6B"/>
    <w:rsid w:val="008F6E57"/>
    <w:rsid w:val="008F6FEE"/>
    <w:rsid w:val="008F71DC"/>
    <w:rsid w:val="008F7250"/>
    <w:rsid w:val="008F7297"/>
    <w:rsid w:val="008F759F"/>
    <w:rsid w:val="008F7695"/>
    <w:rsid w:val="008F7B39"/>
    <w:rsid w:val="008F7FF9"/>
    <w:rsid w:val="00900131"/>
    <w:rsid w:val="009001F7"/>
    <w:rsid w:val="00900405"/>
    <w:rsid w:val="0090044F"/>
    <w:rsid w:val="00900D1F"/>
    <w:rsid w:val="0090107E"/>
    <w:rsid w:val="00901348"/>
    <w:rsid w:val="009015B5"/>
    <w:rsid w:val="00901994"/>
    <w:rsid w:val="00901A42"/>
    <w:rsid w:val="00901BCC"/>
    <w:rsid w:val="00901CD1"/>
    <w:rsid w:val="00901D90"/>
    <w:rsid w:val="009025FB"/>
    <w:rsid w:val="009026C9"/>
    <w:rsid w:val="009029F7"/>
    <w:rsid w:val="009030A3"/>
    <w:rsid w:val="009031E8"/>
    <w:rsid w:val="00903B1A"/>
    <w:rsid w:val="009040AA"/>
    <w:rsid w:val="00904491"/>
    <w:rsid w:val="00904779"/>
    <w:rsid w:val="00904D21"/>
    <w:rsid w:val="00904F14"/>
    <w:rsid w:val="00905031"/>
    <w:rsid w:val="009052C0"/>
    <w:rsid w:val="0090567B"/>
    <w:rsid w:val="00905730"/>
    <w:rsid w:val="00905B16"/>
    <w:rsid w:val="00905BEE"/>
    <w:rsid w:val="00906662"/>
    <w:rsid w:val="0090692F"/>
    <w:rsid w:val="0090694E"/>
    <w:rsid w:val="00906BA1"/>
    <w:rsid w:val="00906C3D"/>
    <w:rsid w:val="00907749"/>
    <w:rsid w:val="00907A52"/>
    <w:rsid w:val="00910349"/>
    <w:rsid w:val="00910716"/>
    <w:rsid w:val="00910751"/>
    <w:rsid w:val="00910990"/>
    <w:rsid w:val="00911238"/>
    <w:rsid w:val="009116AD"/>
    <w:rsid w:val="009116DB"/>
    <w:rsid w:val="00911A16"/>
    <w:rsid w:val="00911A97"/>
    <w:rsid w:val="00911B2D"/>
    <w:rsid w:val="0091209B"/>
    <w:rsid w:val="00912881"/>
    <w:rsid w:val="00912B89"/>
    <w:rsid w:val="00912D89"/>
    <w:rsid w:val="009131EE"/>
    <w:rsid w:val="009133EF"/>
    <w:rsid w:val="009134EB"/>
    <w:rsid w:val="00913AD8"/>
    <w:rsid w:val="00914B0B"/>
    <w:rsid w:val="00914CC6"/>
    <w:rsid w:val="009152CB"/>
    <w:rsid w:val="009154BB"/>
    <w:rsid w:val="00915782"/>
    <w:rsid w:val="009158DF"/>
    <w:rsid w:val="0091654B"/>
    <w:rsid w:val="00916BCF"/>
    <w:rsid w:val="00916D29"/>
    <w:rsid w:val="00916D88"/>
    <w:rsid w:val="009170D3"/>
    <w:rsid w:val="00917241"/>
    <w:rsid w:val="0091727B"/>
    <w:rsid w:val="0091745D"/>
    <w:rsid w:val="00917B5E"/>
    <w:rsid w:val="00917E33"/>
    <w:rsid w:val="00920B8B"/>
    <w:rsid w:val="00920D26"/>
    <w:rsid w:val="00920F57"/>
    <w:rsid w:val="00921411"/>
    <w:rsid w:val="00921B1C"/>
    <w:rsid w:val="00921BAC"/>
    <w:rsid w:val="00921D71"/>
    <w:rsid w:val="00921E43"/>
    <w:rsid w:val="00921F13"/>
    <w:rsid w:val="00922379"/>
    <w:rsid w:val="00922660"/>
    <w:rsid w:val="00922AB3"/>
    <w:rsid w:val="00922B08"/>
    <w:rsid w:val="00922B81"/>
    <w:rsid w:val="00923921"/>
    <w:rsid w:val="00923981"/>
    <w:rsid w:val="0092416D"/>
    <w:rsid w:val="009241E5"/>
    <w:rsid w:val="009243AC"/>
    <w:rsid w:val="00924DFE"/>
    <w:rsid w:val="009255EB"/>
    <w:rsid w:val="00925EA0"/>
    <w:rsid w:val="00926150"/>
    <w:rsid w:val="009261DF"/>
    <w:rsid w:val="00926201"/>
    <w:rsid w:val="00926221"/>
    <w:rsid w:val="0092699E"/>
    <w:rsid w:val="00926B1B"/>
    <w:rsid w:val="00927056"/>
    <w:rsid w:val="00927A7F"/>
    <w:rsid w:val="00927C36"/>
    <w:rsid w:val="00927F7B"/>
    <w:rsid w:val="009304ED"/>
    <w:rsid w:val="00930A29"/>
    <w:rsid w:val="00930CD3"/>
    <w:rsid w:val="00930E69"/>
    <w:rsid w:val="00931656"/>
    <w:rsid w:val="0093183F"/>
    <w:rsid w:val="00931850"/>
    <w:rsid w:val="00931C5B"/>
    <w:rsid w:val="0093220A"/>
    <w:rsid w:val="00932326"/>
    <w:rsid w:val="009324A2"/>
    <w:rsid w:val="009329EE"/>
    <w:rsid w:val="00932B0C"/>
    <w:rsid w:val="00932DED"/>
    <w:rsid w:val="009331EA"/>
    <w:rsid w:val="009336CF"/>
    <w:rsid w:val="00933732"/>
    <w:rsid w:val="009337C6"/>
    <w:rsid w:val="00933BEE"/>
    <w:rsid w:val="00934640"/>
    <w:rsid w:val="009347B4"/>
    <w:rsid w:val="00934CC2"/>
    <w:rsid w:val="00934DD8"/>
    <w:rsid w:val="00934E45"/>
    <w:rsid w:val="00934E7D"/>
    <w:rsid w:val="00935660"/>
    <w:rsid w:val="00935830"/>
    <w:rsid w:val="009358E1"/>
    <w:rsid w:val="009359DE"/>
    <w:rsid w:val="00935A91"/>
    <w:rsid w:val="00936592"/>
    <w:rsid w:val="009368A6"/>
    <w:rsid w:val="009368A9"/>
    <w:rsid w:val="00936A6C"/>
    <w:rsid w:val="00936BF1"/>
    <w:rsid w:val="00936CC0"/>
    <w:rsid w:val="009372FC"/>
    <w:rsid w:val="0093741E"/>
    <w:rsid w:val="0093746C"/>
    <w:rsid w:val="009376A4"/>
    <w:rsid w:val="009376D1"/>
    <w:rsid w:val="00937D36"/>
    <w:rsid w:val="009404AB"/>
    <w:rsid w:val="00940A91"/>
    <w:rsid w:val="00940AF7"/>
    <w:rsid w:val="00940E65"/>
    <w:rsid w:val="009411CF"/>
    <w:rsid w:val="0094143C"/>
    <w:rsid w:val="0094155E"/>
    <w:rsid w:val="00941868"/>
    <w:rsid w:val="00941B63"/>
    <w:rsid w:val="00941D7F"/>
    <w:rsid w:val="00942003"/>
    <w:rsid w:val="0094228A"/>
    <w:rsid w:val="0094266F"/>
    <w:rsid w:val="0094287B"/>
    <w:rsid w:val="00942AE4"/>
    <w:rsid w:val="00942DAB"/>
    <w:rsid w:val="00942F07"/>
    <w:rsid w:val="00943105"/>
    <w:rsid w:val="00943ABE"/>
    <w:rsid w:val="00944072"/>
    <w:rsid w:val="0094408A"/>
    <w:rsid w:val="009443E8"/>
    <w:rsid w:val="009445E0"/>
    <w:rsid w:val="0094460F"/>
    <w:rsid w:val="00944C48"/>
    <w:rsid w:val="00944FA0"/>
    <w:rsid w:val="00945E56"/>
    <w:rsid w:val="00945EC9"/>
    <w:rsid w:val="00945FCA"/>
    <w:rsid w:val="00946A05"/>
    <w:rsid w:val="0094707D"/>
    <w:rsid w:val="009470CF"/>
    <w:rsid w:val="009472D7"/>
    <w:rsid w:val="00947B3D"/>
    <w:rsid w:val="00947CA3"/>
    <w:rsid w:val="009500E5"/>
    <w:rsid w:val="0095055C"/>
    <w:rsid w:val="009506F2"/>
    <w:rsid w:val="00950766"/>
    <w:rsid w:val="00950923"/>
    <w:rsid w:val="009509F9"/>
    <w:rsid w:val="00950AA9"/>
    <w:rsid w:val="00950E42"/>
    <w:rsid w:val="009510E7"/>
    <w:rsid w:val="0095131B"/>
    <w:rsid w:val="0095142B"/>
    <w:rsid w:val="00951434"/>
    <w:rsid w:val="00951494"/>
    <w:rsid w:val="00951682"/>
    <w:rsid w:val="00951782"/>
    <w:rsid w:val="009517F4"/>
    <w:rsid w:val="00951CE6"/>
    <w:rsid w:val="00951D98"/>
    <w:rsid w:val="009523EA"/>
    <w:rsid w:val="0095266F"/>
    <w:rsid w:val="00952743"/>
    <w:rsid w:val="0095286A"/>
    <w:rsid w:val="00952A34"/>
    <w:rsid w:val="00952B4F"/>
    <w:rsid w:val="0095365A"/>
    <w:rsid w:val="009536CB"/>
    <w:rsid w:val="009539C7"/>
    <w:rsid w:val="00953E72"/>
    <w:rsid w:val="00953F59"/>
    <w:rsid w:val="00954751"/>
    <w:rsid w:val="00954CD6"/>
    <w:rsid w:val="00954D1C"/>
    <w:rsid w:val="00954ED4"/>
    <w:rsid w:val="009551B8"/>
    <w:rsid w:val="009557CE"/>
    <w:rsid w:val="0095591B"/>
    <w:rsid w:val="00955DFD"/>
    <w:rsid w:val="00956353"/>
    <w:rsid w:val="0095655D"/>
    <w:rsid w:val="009566D4"/>
    <w:rsid w:val="00956D8F"/>
    <w:rsid w:val="00956E99"/>
    <w:rsid w:val="00957053"/>
    <w:rsid w:val="009570F3"/>
    <w:rsid w:val="00957483"/>
    <w:rsid w:val="0095766F"/>
    <w:rsid w:val="0095767B"/>
    <w:rsid w:val="00957C63"/>
    <w:rsid w:val="00957C98"/>
    <w:rsid w:val="00957D10"/>
    <w:rsid w:val="00957E7F"/>
    <w:rsid w:val="00957FCA"/>
    <w:rsid w:val="0096015E"/>
    <w:rsid w:val="00960449"/>
    <w:rsid w:val="009607FD"/>
    <w:rsid w:val="00960900"/>
    <w:rsid w:val="00960947"/>
    <w:rsid w:val="00960CF2"/>
    <w:rsid w:val="00960E04"/>
    <w:rsid w:val="00961048"/>
    <w:rsid w:val="00961138"/>
    <w:rsid w:val="00961169"/>
    <w:rsid w:val="00961250"/>
    <w:rsid w:val="009615C5"/>
    <w:rsid w:val="0096169C"/>
    <w:rsid w:val="009616C2"/>
    <w:rsid w:val="00961A1A"/>
    <w:rsid w:val="00961A4C"/>
    <w:rsid w:val="00961F8C"/>
    <w:rsid w:val="009621A5"/>
    <w:rsid w:val="009623CA"/>
    <w:rsid w:val="0096287B"/>
    <w:rsid w:val="00962B4E"/>
    <w:rsid w:val="00963091"/>
    <w:rsid w:val="0096313C"/>
    <w:rsid w:val="0096366A"/>
    <w:rsid w:val="009637FD"/>
    <w:rsid w:val="00963D19"/>
    <w:rsid w:val="00963DD1"/>
    <w:rsid w:val="0096411E"/>
    <w:rsid w:val="0096416C"/>
    <w:rsid w:val="009643A6"/>
    <w:rsid w:val="00964F01"/>
    <w:rsid w:val="0096535C"/>
    <w:rsid w:val="009658AB"/>
    <w:rsid w:val="00965C39"/>
    <w:rsid w:val="00965CE0"/>
    <w:rsid w:val="00965E31"/>
    <w:rsid w:val="00965E46"/>
    <w:rsid w:val="0096634B"/>
    <w:rsid w:val="00966357"/>
    <w:rsid w:val="00966A50"/>
    <w:rsid w:val="00966CA6"/>
    <w:rsid w:val="00966ED7"/>
    <w:rsid w:val="00967ADB"/>
    <w:rsid w:val="00967CAC"/>
    <w:rsid w:val="0097010A"/>
    <w:rsid w:val="009706D4"/>
    <w:rsid w:val="00970B28"/>
    <w:rsid w:val="00970B6A"/>
    <w:rsid w:val="00970CC4"/>
    <w:rsid w:val="00970D7B"/>
    <w:rsid w:val="0097140F"/>
    <w:rsid w:val="00971696"/>
    <w:rsid w:val="00971894"/>
    <w:rsid w:val="00971B41"/>
    <w:rsid w:val="009727B8"/>
    <w:rsid w:val="00972956"/>
    <w:rsid w:val="00972B1E"/>
    <w:rsid w:val="00972F49"/>
    <w:rsid w:val="00973700"/>
    <w:rsid w:val="00973960"/>
    <w:rsid w:val="009739B4"/>
    <w:rsid w:val="00973C50"/>
    <w:rsid w:val="00974679"/>
    <w:rsid w:val="00974AB5"/>
    <w:rsid w:val="0097539B"/>
    <w:rsid w:val="009753CB"/>
    <w:rsid w:val="009753EB"/>
    <w:rsid w:val="00975A34"/>
    <w:rsid w:val="00975C91"/>
    <w:rsid w:val="00975D0A"/>
    <w:rsid w:val="00975D72"/>
    <w:rsid w:val="0097626C"/>
    <w:rsid w:val="00976366"/>
    <w:rsid w:val="009767A0"/>
    <w:rsid w:val="00976960"/>
    <w:rsid w:val="00976B89"/>
    <w:rsid w:val="00977318"/>
    <w:rsid w:val="0097757C"/>
    <w:rsid w:val="00977710"/>
    <w:rsid w:val="0098053B"/>
    <w:rsid w:val="009807CF"/>
    <w:rsid w:val="009809AF"/>
    <w:rsid w:val="00980ACA"/>
    <w:rsid w:val="0098125C"/>
    <w:rsid w:val="009813B3"/>
    <w:rsid w:val="0098146B"/>
    <w:rsid w:val="009816C7"/>
    <w:rsid w:val="00981877"/>
    <w:rsid w:val="00981F81"/>
    <w:rsid w:val="00982197"/>
    <w:rsid w:val="009823DB"/>
    <w:rsid w:val="009827C0"/>
    <w:rsid w:val="009829FD"/>
    <w:rsid w:val="00982BBF"/>
    <w:rsid w:val="00982F90"/>
    <w:rsid w:val="009830A2"/>
    <w:rsid w:val="00983984"/>
    <w:rsid w:val="00983BA8"/>
    <w:rsid w:val="00983C3B"/>
    <w:rsid w:val="00983EC5"/>
    <w:rsid w:val="009848C1"/>
    <w:rsid w:val="00984DCF"/>
    <w:rsid w:val="00984DFF"/>
    <w:rsid w:val="0098503B"/>
    <w:rsid w:val="0098555E"/>
    <w:rsid w:val="00985A32"/>
    <w:rsid w:val="00986158"/>
    <w:rsid w:val="00986423"/>
    <w:rsid w:val="00986548"/>
    <w:rsid w:val="00986CD4"/>
    <w:rsid w:val="00986D0E"/>
    <w:rsid w:val="00986F51"/>
    <w:rsid w:val="009871C5"/>
    <w:rsid w:val="00987281"/>
    <w:rsid w:val="0098742C"/>
    <w:rsid w:val="009875B2"/>
    <w:rsid w:val="0098765F"/>
    <w:rsid w:val="00987688"/>
    <w:rsid w:val="00987A47"/>
    <w:rsid w:val="00987DFA"/>
    <w:rsid w:val="00987E44"/>
    <w:rsid w:val="009905AC"/>
    <w:rsid w:val="0099079D"/>
    <w:rsid w:val="00990DDE"/>
    <w:rsid w:val="00991123"/>
    <w:rsid w:val="0099117B"/>
    <w:rsid w:val="00991239"/>
    <w:rsid w:val="00991550"/>
    <w:rsid w:val="0099181B"/>
    <w:rsid w:val="0099282F"/>
    <w:rsid w:val="00992907"/>
    <w:rsid w:val="00992DA4"/>
    <w:rsid w:val="00993756"/>
    <w:rsid w:val="0099391F"/>
    <w:rsid w:val="00993ACA"/>
    <w:rsid w:val="00993DAE"/>
    <w:rsid w:val="00993E0A"/>
    <w:rsid w:val="009942BA"/>
    <w:rsid w:val="0099451F"/>
    <w:rsid w:val="00994AB1"/>
    <w:rsid w:val="00994EAF"/>
    <w:rsid w:val="00995139"/>
    <w:rsid w:val="00995264"/>
    <w:rsid w:val="009953FE"/>
    <w:rsid w:val="0099549A"/>
    <w:rsid w:val="009959E3"/>
    <w:rsid w:val="00995BA1"/>
    <w:rsid w:val="0099603B"/>
    <w:rsid w:val="00996B2E"/>
    <w:rsid w:val="00997271"/>
    <w:rsid w:val="0099730A"/>
    <w:rsid w:val="00997461"/>
    <w:rsid w:val="00997829"/>
    <w:rsid w:val="00997A4A"/>
    <w:rsid w:val="00997F51"/>
    <w:rsid w:val="009A015E"/>
    <w:rsid w:val="009A0387"/>
    <w:rsid w:val="009A03F1"/>
    <w:rsid w:val="009A06C1"/>
    <w:rsid w:val="009A0B18"/>
    <w:rsid w:val="009A0B30"/>
    <w:rsid w:val="009A0B77"/>
    <w:rsid w:val="009A0FBA"/>
    <w:rsid w:val="009A101C"/>
    <w:rsid w:val="009A1685"/>
    <w:rsid w:val="009A1781"/>
    <w:rsid w:val="009A1842"/>
    <w:rsid w:val="009A1DFB"/>
    <w:rsid w:val="009A1E37"/>
    <w:rsid w:val="009A2131"/>
    <w:rsid w:val="009A228A"/>
    <w:rsid w:val="009A2627"/>
    <w:rsid w:val="009A28F9"/>
    <w:rsid w:val="009A2D74"/>
    <w:rsid w:val="009A2E7A"/>
    <w:rsid w:val="009A2F7F"/>
    <w:rsid w:val="009A31BC"/>
    <w:rsid w:val="009A347B"/>
    <w:rsid w:val="009A39B3"/>
    <w:rsid w:val="009A3A46"/>
    <w:rsid w:val="009A4AF1"/>
    <w:rsid w:val="009A4EA9"/>
    <w:rsid w:val="009A5218"/>
    <w:rsid w:val="009A53C1"/>
    <w:rsid w:val="009A5D79"/>
    <w:rsid w:val="009A5E07"/>
    <w:rsid w:val="009A608A"/>
    <w:rsid w:val="009A62E0"/>
    <w:rsid w:val="009A6354"/>
    <w:rsid w:val="009A64BF"/>
    <w:rsid w:val="009A6959"/>
    <w:rsid w:val="009A6BD5"/>
    <w:rsid w:val="009A73C5"/>
    <w:rsid w:val="009A74C3"/>
    <w:rsid w:val="009A7D1C"/>
    <w:rsid w:val="009B0580"/>
    <w:rsid w:val="009B0714"/>
    <w:rsid w:val="009B0AE5"/>
    <w:rsid w:val="009B0BDE"/>
    <w:rsid w:val="009B0F6A"/>
    <w:rsid w:val="009B129D"/>
    <w:rsid w:val="009B131E"/>
    <w:rsid w:val="009B1335"/>
    <w:rsid w:val="009B1462"/>
    <w:rsid w:val="009B14D7"/>
    <w:rsid w:val="009B1665"/>
    <w:rsid w:val="009B241F"/>
    <w:rsid w:val="009B25FA"/>
    <w:rsid w:val="009B27B5"/>
    <w:rsid w:val="009B2875"/>
    <w:rsid w:val="009B31D6"/>
    <w:rsid w:val="009B367E"/>
    <w:rsid w:val="009B381E"/>
    <w:rsid w:val="009B385E"/>
    <w:rsid w:val="009B4E07"/>
    <w:rsid w:val="009B5ABB"/>
    <w:rsid w:val="009B5C60"/>
    <w:rsid w:val="009B5C61"/>
    <w:rsid w:val="009B5CA5"/>
    <w:rsid w:val="009B5EB0"/>
    <w:rsid w:val="009B5EF7"/>
    <w:rsid w:val="009B5F86"/>
    <w:rsid w:val="009B649A"/>
    <w:rsid w:val="009B6567"/>
    <w:rsid w:val="009B68A3"/>
    <w:rsid w:val="009B69D6"/>
    <w:rsid w:val="009B6AAC"/>
    <w:rsid w:val="009B6F5B"/>
    <w:rsid w:val="009B6FF5"/>
    <w:rsid w:val="009B702A"/>
    <w:rsid w:val="009B7152"/>
    <w:rsid w:val="009B76AE"/>
    <w:rsid w:val="009C01F0"/>
    <w:rsid w:val="009C0303"/>
    <w:rsid w:val="009C0410"/>
    <w:rsid w:val="009C0539"/>
    <w:rsid w:val="009C0693"/>
    <w:rsid w:val="009C0E41"/>
    <w:rsid w:val="009C0EC8"/>
    <w:rsid w:val="009C10F8"/>
    <w:rsid w:val="009C1360"/>
    <w:rsid w:val="009C18BB"/>
    <w:rsid w:val="009C1904"/>
    <w:rsid w:val="009C1961"/>
    <w:rsid w:val="009C1AD8"/>
    <w:rsid w:val="009C1AF3"/>
    <w:rsid w:val="009C1CBF"/>
    <w:rsid w:val="009C1DA9"/>
    <w:rsid w:val="009C1E7C"/>
    <w:rsid w:val="009C1FD9"/>
    <w:rsid w:val="009C2033"/>
    <w:rsid w:val="009C21E0"/>
    <w:rsid w:val="009C256D"/>
    <w:rsid w:val="009C2F3D"/>
    <w:rsid w:val="009C31C4"/>
    <w:rsid w:val="009C3555"/>
    <w:rsid w:val="009C3562"/>
    <w:rsid w:val="009C368F"/>
    <w:rsid w:val="009C379A"/>
    <w:rsid w:val="009C37C7"/>
    <w:rsid w:val="009C38A5"/>
    <w:rsid w:val="009C3936"/>
    <w:rsid w:val="009C4190"/>
    <w:rsid w:val="009C456B"/>
    <w:rsid w:val="009C473C"/>
    <w:rsid w:val="009C49C5"/>
    <w:rsid w:val="009C51DE"/>
    <w:rsid w:val="009C5224"/>
    <w:rsid w:val="009C52D8"/>
    <w:rsid w:val="009C5419"/>
    <w:rsid w:val="009C5519"/>
    <w:rsid w:val="009C5BEB"/>
    <w:rsid w:val="009C5DB1"/>
    <w:rsid w:val="009C5E27"/>
    <w:rsid w:val="009C64FA"/>
    <w:rsid w:val="009C65A8"/>
    <w:rsid w:val="009C6739"/>
    <w:rsid w:val="009C6C1D"/>
    <w:rsid w:val="009C6EDB"/>
    <w:rsid w:val="009C6EFB"/>
    <w:rsid w:val="009C76E4"/>
    <w:rsid w:val="009C7CCC"/>
    <w:rsid w:val="009C7CE6"/>
    <w:rsid w:val="009D046D"/>
    <w:rsid w:val="009D0E38"/>
    <w:rsid w:val="009D0E99"/>
    <w:rsid w:val="009D0F7A"/>
    <w:rsid w:val="009D1640"/>
    <w:rsid w:val="009D1720"/>
    <w:rsid w:val="009D1A2B"/>
    <w:rsid w:val="009D1A60"/>
    <w:rsid w:val="009D1D45"/>
    <w:rsid w:val="009D244A"/>
    <w:rsid w:val="009D27D6"/>
    <w:rsid w:val="009D28F0"/>
    <w:rsid w:val="009D3554"/>
    <w:rsid w:val="009D3E92"/>
    <w:rsid w:val="009D4157"/>
    <w:rsid w:val="009D434D"/>
    <w:rsid w:val="009D4394"/>
    <w:rsid w:val="009D43BD"/>
    <w:rsid w:val="009D45AE"/>
    <w:rsid w:val="009D4B38"/>
    <w:rsid w:val="009D50B3"/>
    <w:rsid w:val="009D5517"/>
    <w:rsid w:val="009D5F44"/>
    <w:rsid w:val="009D665C"/>
    <w:rsid w:val="009D691C"/>
    <w:rsid w:val="009D6A87"/>
    <w:rsid w:val="009D6B92"/>
    <w:rsid w:val="009D6D07"/>
    <w:rsid w:val="009D6F6C"/>
    <w:rsid w:val="009D72B1"/>
    <w:rsid w:val="009D756C"/>
    <w:rsid w:val="009D7879"/>
    <w:rsid w:val="009D7BB2"/>
    <w:rsid w:val="009D7C0D"/>
    <w:rsid w:val="009D7D08"/>
    <w:rsid w:val="009D7DE6"/>
    <w:rsid w:val="009E0584"/>
    <w:rsid w:val="009E0B37"/>
    <w:rsid w:val="009E0BF0"/>
    <w:rsid w:val="009E0C93"/>
    <w:rsid w:val="009E0D05"/>
    <w:rsid w:val="009E0F8F"/>
    <w:rsid w:val="009E13E5"/>
    <w:rsid w:val="009E1853"/>
    <w:rsid w:val="009E1CCF"/>
    <w:rsid w:val="009E1EAC"/>
    <w:rsid w:val="009E27B7"/>
    <w:rsid w:val="009E2CF1"/>
    <w:rsid w:val="009E2E11"/>
    <w:rsid w:val="009E2F3B"/>
    <w:rsid w:val="009E3341"/>
    <w:rsid w:val="009E335E"/>
    <w:rsid w:val="009E3528"/>
    <w:rsid w:val="009E3BBC"/>
    <w:rsid w:val="009E3C3B"/>
    <w:rsid w:val="009E4848"/>
    <w:rsid w:val="009E4BD3"/>
    <w:rsid w:val="009E4BF6"/>
    <w:rsid w:val="009E4D3F"/>
    <w:rsid w:val="009E4F82"/>
    <w:rsid w:val="009E5456"/>
    <w:rsid w:val="009E54A0"/>
    <w:rsid w:val="009E5A1A"/>
    <w:rsid w:val="009E5BFF"/>
    <w:rsid w:val="009E5D41"/>
    <w:rsid w:val="009E6606"/>
    <w:rsid w:val="009E681A"/>
    <w:rsid w:val="009E6B7D"/>
    <w:rsid w:val="009E6F7C"/>
    <w:rsid w:val="009E71B1"/>
    <w:rsid w:val="009E7621"/>
    <w:rsid w:val="009E765C"/>
    <w:rsid w:val="009E76AC"/>
    <w:rsid w:val="009E775C"/>
    <w:rsid w:val="009E77D2"/>
    <w:rsid w:val="009E7B00"/>
    <w:rsid w:val="009F022D"/>
    <w:rsid w:val="009F08E5"/>
    <w:rsid w:val="009F0F39"/>
    <w:rsid w:val="009F12E1"/>
    <w:rsid w:val="009F132D"/>
    <w:rsid w:val="009F136E"/>
    <w:rsid w:val="009F1416"/>
    <w:rsid w:val="009F170E"/>
    <w:rsid w:val="009F176C"/>
    <w:rsid w:val="009F1906"/>
    <w:rsid w:val="009F1986"/>
    <w:rsid w:val="009F204D"/>
    <w:rsid w:val="009F20AA"/>
    <w:rsid w:val="009F24FC"/>
    <w:rsid w:val="009F26D5"/>
    <w:rsid w:val="009F26F4"/>
    <w:rsid w:val="009F28C7"/>
    <w:rsid w:val="009F2912"/>
    <w:rsid w:val="009F2D58"/>
    <w:rsid w:val="009F30F1"/>
    <w:rsid w:val="009F31D9"/>
    <w:rsid w:val="009F3538"/>
    <w:rsid w:val="009F376E"/>
    <w:rsid w:val="009F3846"/>
    <w:rsid w:val="009F3EBC"/>
    <w:rsid w:val="009F40DE"/>
    <w:rsid w:val="009F43E1"/>
    <w:rsid w:val="009F4633"/>
    <w:rsid w:val="009F4E62"/>
    <w:rsid w:val="009F4EA8"/>
    <w:rsid w:val="009F532D"/>
    <w:rsid w:val="009F5BA6"/>
    <w:rsid w:val="009F5CF0"/>
    <w:rsid w:val="009F5D83"/>
    <w:rsid w:val="009F5E97"/>
    <w:rsid w:val="009F5EB7"/>
    <w:rsid w:val="009F61A9"/>
    <w:rsid w:val="009F62B5"/>
    <w:rsid w:val="009F683B"/>
    <w:rsid w:val="009F68BB"/>
    <w:rsid w:val="009F6B4B"/>
    <w:rsid w:val="009F6F55"/>
    <w:rsid w:val="009F71DE"/>
    <w:rsid w:val="009F7316"/>
    <w:rsid w:val="009F73AC"/>
    <w:rsid w:val="009F7423"/>
    <w:rsid w:val="009F7468"/>
    <w:rsid w:val="009F756B"/>
    <w:rsid w:val="009F75A2"/>
    <w:rsid w:val="009F7AFB"/>
    <w:rsid w:val="009F7B38"/>
    <w:rsid w:val="009F7EAA"/>
    <w:rsid w:val="00A00531"/>
    <w:rsid w:val="00A00784"/>
    <w:rsid w:val="00A0093A"/>
    <w:rsid w:val="00A00C33"/>
    <w:rsid w:val="00A00E9C"/>
    <w:rsid w:val="00A01211"/>
    <w:rsid w:val="00A01DC4"/>
    <w:rsid w:val="00A0276E"/>
    <w:rsid w:val="00A028C3"/>
    <w:rsid w:val="00A02A0A"/>
    <w:rsid w:val="00A02D57"/>
    <w:rsid w:val="00A030BE"/>
    <w:rsid w:val="00A0310E"/>
    <w:rsid w:val="00A03767"/>
    <w:rsid w:val="00A0424C"/>
    <w:rsid w:val="00A04902"/>
    <w:rsid w:val="00A049CA"/>
    <w:rsid w:val="00A04A55"/>
    <w:rsid w:val="00A04E88"/>
    <w:rsid w:val="00A05096"/>
    <w:rsid w:val="00A050E2"/>
    <w:rsid w:val="00A05269"/>
    <w:rsid w:val="00A05DA1"/>
    <w:rsid w:val="00A05E04"/>
    <w:rsid w:val="00A05E4A"/>
    <w:rsid w:val="00A05F57"/>
    <w:rsid w:val="00A068D9"/>
    <w:rsid w:val="00A06A21"/>
    <w:rsid w:val="00A06AB1"/>
    <w:rsid w:val="00A06FC9"/>
    <w:rsid w:val="00A07034"/>
    <w:rsid w:val="00A07F76"/>
    <w:rsid w:val="00A10084"/>
    <w:rsid w:val="00A100A4"/>
    <w:rsid w:val="00A101B9"/>
    <w:rsid w:val="00A10584"/>
    <w:rsid w:val="00A10656"/>
    <w:rsid w:val="00A10897"/>
    <w:rsid w:val="00A108BF"/>
    <w:rsid w:val="00A10C8A"/>
    <w:rsid w:val="00A10DBB"/>
    <w:rsid w:val="00A1110B"/>
    <w:rsid w:val="00A113D7"/>
    <w:rsid w:val="00A115E8"/>
    <w:rsid w:val="00A11BA2"/>
    <w:rsid w:val="00A11C70"/>
    <w:rsid w:val="00A11F87"/>
    <w:rsid w:val="00A1246A"/>
    <w:rsid w:val="00A124A0"/>
    <w:rsid w:val="00A128AF"/>
    <w:rsid w:val="00A12996"/>
    <w:rsid w:val="00A12A98"/>
    <w:rsid w:val="00A138B8"/>
    <w:rsid w:val="00A139AC"/>
    <w:rsid w:val="00A13AA6"/>
    <w:rsid w:val="00A13AD6"/>
    <w:rsid w:val="00A1416B"/>
    <w:rsid w:val="00A1431F"/>
    <w:rsid w:val="00A143D9"/>
    <w:rsid w:val="00A14C73"/>
    <w:rsid w:val="00A14D6A"/>
    <w:rsid w:val="00A1545C"/>
    <w:rsid w:val="00A15676"/>
    <w:rsid w:val="00A156B5"/>
    <w:rsid w:val="00A159CE"/>
    <w:rsid w:val="00A15A0D"/>
    <w:rsid w:val="00A15DCB"/>
    <w:rsid w:val="00A16110"/>
    <w:rsid w:val="00A168B8"/>
    <w:rsid w:val="00A16A45"/>
    <w:rsid w:val="00A16AB7"/>
    <w:rsid w:val="00A16B92"/>
    <w:rsid w:val="00A1747D"/>
    <w:rsid w:val="00A17AB7"/>
    <w:rsid w:val="00A17CDF"/>
    <w:rsid w:val="00A17CFF"/>
    <w:rsid w:val="00A17DA3"/>
    <w:rsid w:val="00A20149"/>
    <w:rsid w:val="00A202FD"/>
    <w:rsid w:val="00A208AA"/>
    <w:rsid w:val="00A20C03"/>
    <w:rsid w:val="00A20FFB"/>
    <w:rsid w:val="00A2103D"/>
    <w:rsid w:val="00A21346"/>
    <w:rsid w:val="00A213FA"/>
    <w:rsid w:val="00A2167F"/>
    <w:rsid w:val="00A219F9"/>
    <w:rsid w:val="00A21F9F"/>
    <w:rsid w:val="00A21FDC"/>
    <w:rsid w:val="00A222B9"/>
    <w:rsid w:val="00A225D7"/>
    <w:rsid w:val="00A225FD"/>
    <w:rsid w:val="00A22B57"/>
    <w:rsid w:val="00A22CFD"/>
    <w:rsid w:val="00A232F4"/>
    <w:rsid w:val="00A2342A"/>
    <w:rsid w:val="00A234E8"/>
    <w:rsid w:val="00A2376F"/>
    <w:rsid w:val="00A23790"/>
    <w:rsid w:val="00A23BB3"/>
    <w:rsid w:val="00A23F6E"/>
    <w:rsid w:val="00A2401A"/>
    <w:rsid w:val="00A2431B"/>
    <w:rsid w:val="00A2432C"/>
    <w:rsid w:val="00A2435B"/>
    <w:rsid w:val="00A246E5"/>
    <w:rsid w:val="00A2472D"/>
    <w:rsid w:val="00A247FD"/>
    <w:rsid w:val="00A24CE7"/>
    <w:rsid w:val="00A24DD7"/>
    <w:rsid w:val="00A24E69"/>
    <w:rsid w:val="00A24F5C"/>
    <w:rsid w:val="00A2512F"/>
    <w:rsid w:val="00A253D5"/>
    <w:rsid w:val="00A25A01"/>
    <w:rsid w:val="00A25B4B"/>
    <w:rsid w:val="00A25FF6"/>
    <w:rsid w:val="00A26029"/>
    <w:rsid w:val="00A2617E"/>
    <w:rsid w:val="00A26603"/>
    <w:rsid w:val="00A26BCA"/>
    <w:rsid w:val="00A26E4A"/>
    <w:rsid w:val="00A273DB"/>
    <w:rsid w:val="00A2753D"/>
    <w:rsid w:val="00A275DF"/>
    <w:rsid w:val="00A278A4"/>
    <w:rsid w:val="00A27A41"/>
    <w:rsid w:val="00A27D76"/>
    <w:rsid w:val="00A27F19"/>
    <w:rsid w:val="00A27F7E"/>
    <w:rsid w:val="00A3009A"/>
    <w:rsid w:val="00A30356"/>
    <w:rsid w:val="00A3084E"/>
    <w:rsid w:val="00A30995"/>
    <w:rsid w:val="00A30ABB"/>
    <w:rsid w:val="00A312C5"/>
    <w:rsid w:val="00A3137B"/>
    <w:rsid w:val="00A31534"/>
    <w:rsid w:val="00A31BA7"/>
    <w:rsid w:val="00A31FF7"/>
    <w:rsid w:val="00A3201D"/>
    <w:rsid w:val="00A32357"/>
    <w:rsid w:val="00A3254C"/>
    <w:rsid w:val="00A3271A"/>
    <w:rsid w:val="00A3277A"/>
    <w:rsid w:val="00A32C88"/>
    <w:rsid w:val="00A32CC5"/>
    <w:rsid w:val="00A32E3B"/>
    <w:rsid w:val="00A339D6"/>
    <w:rsid w:val="00A33AF9"/>
    <w:rsid w:val="00A33B2D"/>
    <w:rsid w:val="00A33F26"/>
    <w:rsid w:val="00A3438C"/>
    <w:rsid w:val="00A34864"/>
    <w:rsid w:val="00A348E4"/>
    <w:rsid w:val="00A34F3B"/>
    <w:rsid w:val="00A35451"/>
    <w:rsid w:val="00A357B2"/>
    <w:rsid w:val="00A357C3"/>
    <w:rsid w:val="00A359E3"/>
    <w:rsid w:val="00A35CF8"/>
    <w:rsid w:val="00A35EDB"/>
    <w:rsid w:val="00A368C3"/>
    <w:rsid w:val="00A36B36"/>
    <w:rsid w:val="00A36EC4"/>
    <w:rsid w:val="00A36FD3"/>
    <w:rsid w:val="00A37449"/>
    <w:rsid w:val="00A378EA"/>
    <w:rsid w:val="00A37D0E"/>
    <w:rsid w:val="00A37EF4"/>
    <w:rsid w:val="00A37F97"/>
    <w:rsid w:val="00A40257"/>
    <w:rsid w:val="00A404FE"/>
    <w:rsid w:val="00A4067F"/>
    <w:rsid w:val="00A4093F"/>
    <w:rsid w:val="00A4098A"/>
    <w:rsid w:val="00A40ADC"/>
    <w:rsid w:val="00A40BE2"/>
    <w:rsid w:val="00A40CF6"/>
    <w:rsid w:val="00A40E37"/>
    <w:rsid w:val="00A4108E"/>
    <w:rsid w:val="00A410DC"/>
    <w:rsid w:val="00A41907"/>
    <w:rsid w:val="00A41996"/>
    <w:rsid w:val="00A41C3C"/>
    <w:rsid w:val="00A4212D"/>
    <w:rsid w:val="00A42756"/>
    <w:rsid w:val="00A42773"/>
    <w:rsid w:val="00A42B8E"/>
    <w:rsid w:val="00A42DF0"/>
    <w:rsid w:val="00A4361D"/>
    <w:rsid w:val="00A4399A"/>
    <w:rsid w:val="00A4399E"/>
    <w:rsid w:val="00A43AC9"/>
    <w:rsid w:val="00A43B1D"/>
    <w:rsid w:val="00A44135"/>
    <w:rsid w:val="00A4454A"/>
    <w:rsid w:val="00A44622"/>
    <w:rsid w:val="00A45099"/>
    <w:rsid w:val="00A45858"/>
    <w:rsid w:val="00A45D29"/>
    <w:rsid w:val="00A45FF5"/>
    <w:rsid w:val="00A46449"/>
    <w:rsid w:val="00A4684E"/>
    <w:rsid w:val="00A469E0"/>
    <w:rsid w:val="00A46BB5"/>
    <w:rsid w:val="00A46D28"/>
    <w:rsid w:val="00A472EE"/>
    <w:rsid w:val="00A47771"/>
    <w:rsid w:val="00A4778B"/>
    <w:rsid w:val="00A477B0"/>
    <w:rsid w:val="00A477BD"/>
    <w:rsid w:val="00A479BA"/>
    <w:rsid w:val="00A5011A"/>
    <w:rsid w:val="00A501C0"/>
    <w:rsid w:val="00A503C6"/>
    <w:rsid w:val="00A504F2"/>
    <w:rsid w:val="00A505EE"/>
    <w:rsid w:val="00A50BC8"/>
    <w:rsid w:val="00A51361"/>
    <w:rsid w:val="00A51872"/>
    <w:rsid w:val="00A51A9F"/>
    <w:rsid w:val="00A52470"/>
    <w:rsid w:val="00A5290F"/>
    <w:rsid w:val="00A52E7D"/>
    <w:rsid w:val="00A53095"/>
    <w:rsid w:val="00A53193"/>
    <w:rsid w:val="00A5321D"/>
    <w:rsid w:val="00A53CA1"/>
    <w:rsid w:val="00A53CEB"/>
    <w:rsid w:val="00A53EAB"/>
    <w:rsid w:val="00A54248"/>
    <w:rsid w:val="00A54345"/>
    <w:rsid w:val="00A5446D"/>
    <w:rsid w:val="00A54895"/>
    <w:rsid w:val="00A54972"/>
    <w:rsid w:val="00A54AFC"/>
    <w:rsid w:val="00A54C4A"/>
    <w:rsid w:val="00A54C8A"/>
    <w:rsid w:val="00A55099"/>
    <w:rsid w:val="00A551BD"/>
    <w:rsid w:val="00A5581C"/>
    <w:rsid w:val="00A55B53"/>
    <w:rsid w:val="00A55E0F"/>
    <w:rsid w:val="00A562C4"/>
    <w:rsid w:val="00A565D5"/>
    <w:rsid w:val="00A5680E"/>
    <w:rsid w:val="00A56E27"/>
    <w:rsid w:val="00A56E85"/>
    <w:rsid w:val="00A571CA"/>
    <w:rsid w:val="00A5728C"/>
    <w:rsid w:val="00A57420"/>
    <w:rsid w:val="00A57929"/>
    <w:rsid w:val="00A57AF9"/>
    <w:rsid w:val="00A57B08"/>
    <w:rsid w:val="00A6046E"/>
    <w:rsid w:val="00A60B02"/>
    <w:rsid w:val="00A60B55"/>
    <w:rsid w:val="00A60CB7"/>
    <w:rsid w:val="00A613D9"/>
    <w:rsid w:val="00A61413"/>
    <w:rsid w:val="00A61530"/>
    <w:rsid w:val="00A61580"/>
    <w:rsid w:val="00A615F7"/>
    <w:rsid w:val="00A61A08"/>
    <w:rsid w:val="00A61B2C"/>
    <w:rsid w:val="00A61B81"/>
    <w:rsid w:val="00A61BA9"/>
    <w:rsid w:val="00A61DDD"/>
    <w:rsid w:val="00A623DA"/>
    <w:rsid w:val="00A627AA"/>
    <w:rsid w:val="00A62811"/>
    <w:rsid w:val="00A63134"/>
    <w:rsid w:val="00A631C8"/>
    <w:rsid w:val="00A636B5"/>
    <w:rsid w:val="00A63E8C"/>
    <w:rsid w:val="00A63EEE"/>
    <w:rsid w:val="00A642B4"/>
    <w:rsid w:val="00A64C9F"/>
    <w:rsid w:val="00A64E2B"/>
    <w:rsid w:val="00A650DA"/>
    <w:rsid w:val="00A653A8"/>
    <w:rsid w:val="00A65FB6"/>
    <w:rsid w:val="00A66463"/>
    <w:rsid w:val="00A666F7"/>
    <w:rsid w:val="00A669E6"/>
    <w:rsid w:val="00A66B7D"/>
    <w:rsid w:val="00A66BA1"/>
    <w:rsid w:val="00A66C93"/>
    <w:rsid w:val="00A66F00"/>
    <w:rsid w:val="00A67691"/>
    <w:rsid w:val="00A67702"/>
    <w:rsid w:val="00A677CF"/>
    <w:rsid w:val="00A67DA8"/>
    <w:rsid w:val="00A706F6"/>
    <w:rsid w:val="00A712F7"/>
    <w:rsid w:val="00A71B92"/>
    <w:rsid w:val="00A71BE0"/>
    <w:rsid w:val="00A7235A"/>
    <w:rsid w:val="00A72362"/>
    <w:rsid w:val="00A724E8"/>
    <w:rsid w:val="00A72531"/>
    <w:rsid w:val="00A72E89"/>
    <w:rsid w:val="00A7303D"/>
    <w:rsid w:val="00A7319C"/>
    <w:rsid w:val="00A73291"/>
    <w:rsid w:val="00A7334C"/>
    <w:rsid w:val="00A73467"/>
    <w:rsid w:val="00A73809"/>
    <w:rsid w:val="00A73A43"/>
    <w:rsid w:val="00A73C6A"/>
    <w:rsid w:val="00A73CE6"/>
    <w:rsid w:val="00A73CFF"/>
    <w:rsid w:val="00A73D3B"/>
    <w:rsid w:val="00A73E27"/>
    <w:rsid w:val="00A7415E"/>
    <w:rsid w:val="00A74459"/>
    <w:rsid w:val="00A74707"/>
    <w:rsid w:val="00A74DA9"/>
    <w:rsid w:val="00A7545C"/>
    <w:rsid w:val="00A754ED"/>
    <w:rsid w:val="00A75687"/>
    <w:rsid w:val="00A756AD"/>
    <w:rsid w:val="00A75B81"/>
    <w:rsid w:val="00A7645D"/>
    <w:rsid w:val="00A7655A"/>
    <w:rsid w:val="00A76EC8"/>
    <w:rsid w:val="00A772EB"/>
    <w:rsid w:val="00A774B8"/>
    <w:rsid w:val="00A775A3"/>
    <w:rsid w:val="00A77C0D"/>
    <w:rsid w:val="00A8050C"/>
    <w:rsid w:val="00A80817"/>
    <w:rsid w:val="00A809BE"/>
    <w:rsid w:val="00A80AE6"/>
    <w:rsid w:val="00A80E34"/>
    <w:rsid w:val="00A8106E"/>
    <w:rsid w:val="00A818C4"/>
    <w:rsid w:val="00A81BF1"/>
    <w:rsid w:val="00A822B2"/>
    <w:rsid w:val="00A82449"/>
    <w:rsid w:val="00A82E84"/>
    <w:rsid w:val="00A82FDE"/>
    <w:rsid w:val="00A83388"/>
    <w:rsid w:val="00A83517"/>
    <w:rsid w:val="00A8388C"/>
    <w:rsid w:val="00A840B4"/>
    <w:rsid w:val="00A842B9"/>
    <w:rsid w:val="00A84409"/>
    <w:rsid w:val="00A844BC"/>
    <w:rsid w:val="00A84A95"/>
    <w:rsid w:val="00A84AB7"/>
    <w:rsid w:val="00A84FBB"/>
    <w:rsid w:val="00A85143"/>
    <w:rsid w:val="00A85540"/>
    <w:rsid w:val="00A85739"/>
    <w:rsid w:val="00A85CA8"/>
    <w:rsid w:val="00A85F86"/>
    <w:rsid w:val="00A85FD8"/>
    <w:rsid w:val="00A86025"/>
    <w:rsid w:val="00A86220"/>
    <w:rsid w:val="00A86289"/>
    <w:rsid w:val="00A86B00"/>
    <w:rsid w:val="00A86CBC"/>
    <w:rsid w:val="00A86E76"/>
    <w:rsid w:val="00A87080"/>
    <w:rsid w:val="00A8747A"/>
    <w:rsid w:val="00A874EF"/>
    <w:rsid w:val="00A876D0"/>
    <w:rsid w:val="00A87B67"/>
    <w:rsid w:val="00A90052"/>
    <w:rsid w:val="00A907F7"/>
    <w:rsid w:val="00A90858"/>
    <w:rsid w:val="00A909B6"/>
    <w:rsid w:val="00A90B68"/>
    <w:rsid w:val="00A90D4E"/>
    <w:rsid w:val="00A90F91"/>
    <w:rsid w:val="00A910DA"/>
    <w:rsid w:val="00A91384"/>
    <w:rsid w:val="00A919D6"/>
    <w:rsid w:val="00A92055"/>
    <w:rsid w:val="00A92200"/>
    <w:rsid w:val="00A9256E"/>
    <w:rsid w:val="00A9284A"/>
    <w:rsid w:val="00A929A0"/>
    <w:rsid w:val="00A933A1"/>
    <w:rsid w:val="00A93636"/>
    <w:rsid w:val="00A93E28"/>
    <w:rsid w:val="00A93F4B"/>
    <w:rsid w:val="00A93FC2"/>
    <w:rsid w:val="00A942BA"/>
    <w:rsid w:val="00A9490A"/>
    <w:rsid w:val="00A949D2"/>
    <w:rsid w:val="00A94B1B"/>
    <w:rsid w:val="00A94E76"/>
    <w:rsid w:val="00A94EFE"/>
    <w:rsid w:val="00A952F6"/>
    <w:rsid w:val="00A9559C"/>
    <w:rsid w:val="00A955CE"/>
    <w:rsid w:val="00A95832"/>
    <w:rsid w:val="00A95B1D"/>
    <w:rsid w:val="00A95DD5"/>
    <w:rsid w:val="00A961F8"/>
    <w:rsid w:val="00A964D5"/>
    <w:rsid w:val="00A96A4E"/>
    <w:rsid w:val="00A96DEA"/>
    <w:rsid w:val="00A96FF0"/>
    <w:rsid w:val="00A9708C"/>
    <w:rsid w:val="00A97435"/>
    <w:rsid w:val="00A97644"/>
    <w:rsid w:val="00A977A0"/>
    <w:rsid w:val="00A97C74"/>
    <w:rsid w:val="00A97CA5"/>
    <w:rsid w:val="00A97D4C"/>
    <w:rsid w:val="00A97D59"/>
    <w:rsid w:val="00AA0165"/>
    <w:rsid w:val="00AA06C5"/>
    <w:rsid w:val="00AA094A"/>
    <w:rsid w:val="00AA0B93"/>
    <w:rsid w:val="00AA0D27"/>
    <w:rsid w:val="00AA1142"/>
    <w:rsid w:val="00AA12CB"/>
    <w:rsid w:val="00AA1768"/>
    <w:rsid w:val="00AA17E6"/>
    <w:rsid w:val="00AA1AA6"/>
    <w:rsid w:val="00AA1AAC"/>
    <w:rsid w:val="00AA1E7C"/>
    <w:rsid w:val="00AA208B"/>
    <w:rsid w:val="00AA21C0"/>
    <w:rsid w:val="00AA22A8"/>
    <w:rsid w:val="00AA23E2"/>
    <w:rsid w:val="00AA24BA"/>
    <w:rsid w:val="00AA27A3"/>
    <w:rsid w:val="00AA2905"/>
    <w:rsid w:val="00AA2A48"/>
    <w:rsid w:val="00AA2B8F"/>
    <w:rsid w:val="00AA2D08"/>
    <w:rsid w:val="00AA2E92"/>
    <w:rsid w:val="00AA34E3"/>
    <w:rsid w:val="00AA3625"/>
    <w:rsid w:val="00AA3C21"/>
    <w:rsid w:val="00AA3DD9"/>
    <w:rsid w:val="00AA4173"/>
    <w:rsid w:val="00AA4186"/>
    <w:rsid w:val="00AA4306"/>
    <w:rsid w:val="00AA43E8"/>
    <w:rsid w:val="00AA4892"/>
    <w:rsid w:val="00AA58B9"/>
    <w:rsid w:val="00AA5FAD"/>
    <w:rsid w:val="00AA68B3"/>
    <w:rsid w:val="00AA6991"/>
    <w:rsid w:val="00AA6C49"/>
    <w:rsid w:val="00AA6C65"/>
    <w:rsid w:val="00AA73A6"/>
    <w:rsid w:val="00AA741E"/>
    <w:rsid w:val="00AA7833"/>
    <w:rsid w:val="00AA7C65"/>
    <w:rsid w:val="00AB14B9"/>
    <w:rsid w:val="00AB225D"/>
    <w:rsid w:val="00AB2532"/>
    <w:rsid w:val="00AB275F"/>
    <w:rsid w:val="00AB27EA"/>
    <w:rsid w:val="00AB2AD5"/>
    <w:rsid w:val="00AB2EB2"/>
    <w:rsid w:val="00AB325D"/>
    <w:rsid w:val="00AB3441"/>
    <w:rsid w:val="00AB3877"/>
    <w:rsid w:val="00AB3A2D"/>
    <w:rsid w:val="00AB3C26"/>
    <w:rsid w:val="00AB3CAA"/>
    <w:rsid w:val="00AB3E85"/>
    <w:rsid w:val="00AB3FD8"/>
    <w:rsid w:val="00AB4154"/>
    <w:rsid w:val="00AB4171"/>
    <w:rsid w:val="00AB48D3"/>
    <w:rsid w:val="00AB4979"/>
    <w:rsid w:val="00AB4A5C"/>
    <w:rsid w:val="00AB52DB"/>
    <w:rsid w:val="00AB5365"/>
    <w:rsid w:val="00AB59CB"/>
    <w:rsid w:val="00AB5AAB"/>
    <w:rsid w:val="00AB5C7E"/>
    <w:rsid w:val="00AB62DB"/>
    <w:rsid w:val="00AB6431"/>
    <w:rsid w:val="00AB644B"/>
    <w:rsid w:val="00AB6775"/>
    <w:rsid w:val="00AB6857"/>
    <w:rsid w:val="00AB6BF3"/>
    <w:rsid w:val="00AB6EFB"/>
    <w:rsid w:val="00AB6F23"/>
    <w:rsid w:val="00AB75E9"/>
    <w:rsid w:val="00AB75FC"/>
    <w:rsid w:val="00AB78C3"/>
    <w:rsid w:val="00AB7E88"/>
    <w:rsid w:val="00AB7F96"/>
    <w:rsid w:val="00AC0049"/>
    <w:rsid w:val="00AC0287"/>
    <w:rsid w:val="00AC0A16"/>
    <w:rsid w:val="00AC0BBF"/>
    <w:rsid w:val="00AC0FA0"/>
    <w:rsid w:val="00AC1084"/>
    <w:rsid w:val="00AC155C"/>
    <w:rsid w:val="00AC1731"/>
    <w:rsid w:val="00AC1FFA"/>
    <w:rsid w:val="00AC28FE"/>
    <w:rsid w:val="00AC297B"/>
    <w:rsid w:val="00AC3862"/>
    <w:rsid w:val="00AC3CB3"/>
    <w:rsid w:val="00AC4123"/>
    <w:rsid w:val="00AC451A"/>
    <w:rsid w:val="00AC461E"/>
    <w:rsid w:val="00AC478F"/>
    <w:rsid w:val="00AC48D5"/>
    <w:rsid w:val="00AC4C2C"/>
    <w:rsid w:val="00AC4DE1"/>
    <w:rsid w:val="00AC537D"/>
    <w:rsid w:val="00AC552C"/>
    <w:rsid w:val="00AC5CF0"/>
    <w:rsid w:val="00AC6358"/>
    <w:rsid w:val="00AC6437"/>
    <w:rsid w:val="00AC652C"/>
    <w:rsid w:val="00AC6554"/>
    <w:rsid w:val="00AC68D7"/>
    <w:rsid w:val="00AC6AEF"/>
    <w:rsid w:val="00AC6B78"/>
    <w:rsid w:val="00AC6D0B"/>
    <w:rsid w:val="00AC70C0"/>
    <w:rsid w:val="00AC77B4"/>
    <w:rsid w:val="00AC7C00"/>
    <w:rsid w:val="00AC7D37"/>
    <w:rsid w:val="00AC7D54"/>
    <w:rsid w:val="00AD025E"/>
    <w:rsid w:val="00AD02B7"/>
    <w:rsid w:val="00AD03B3"/>
    <w:rsid w:val="00AD03D6"/>
    <w:rsid w:val="00AD0451"/>
    <w:rsid w:val="00AD0593"/>
    <w:rsid w:val="00AD05B0"/>
    <w:rsid w:val="00AD05CD"/>
    <w:rsid w:val="00AD09D0"/>
    <w:rsid w:val="00AD0B66"/>
    <w:rsid w:val="00AD1831"/>
    <w:rsid w:val="00AD18EE"/>
    <w:rsid w:val="00AD226F"/>
    <w:rsid w:val="00AD2468"/>
    <w:rsid w:val="00AD2747"/>
    <w:rsid w:val="00AD2E05"/>
    <w:rsid w:val="00AD3037"/>
    <w:rsid w:val="00AD3038"/>
    <w:rsid w:val="00AD3296"/>
    <w:rsid w:val="00AD33BC"/>
    <w:rsid w:val="00AD3D23"/>
    <w:rsid w:val="00AD4411"/>
    <w:rsid w:val="00AD4776"/>
    <w:rsid w:val="00AD4943"/>
    <w:rsid w:val="00AD49FA"/>
    <w:rsid w:val="00AD4C26"/>
    <w:rsid w:val="00AD5106"/>
    <w:rsid w:val="00AD5192"/>
    <w:rsid w:val="00AD52BD"/>
    <w:rsid w:val="00AD54B4"/>
    <w:rsid w:val="00AD5C00"/>
    <w:rsid w:val="00AD6289"/>
    <w:rsid w:val="00AD63D1"/>
    <w:rsid w:val="00AD661A"/>
    <w:rsid w:val="00AD67D6"/>
    <w:rsid w:val="00AD6824"/>
    <w:rsid w:val="00AD692D"/>
    <w:rsid w:val="00AD6B3E"/>
    <w:rsid w:val="00AD6D35"/>
    <w:rsid w:val="00AD6F78"/>
    <w:rsid w:val="00AD781A"/>
    <w:rsid w:val="00AD7C28"/>
    <w:rsid w:val="00AD7C88"/>
    <w:rsid w:val="00AD7E3A"/>
    <w:rsid w:val="00AE00C0"/>
    <w:rsid w:val="00AE03DA"/>
    <w:rsid w:val="00AE048D"/>
    <w:rsid w:val="00AE0962"/>
    <w:rsid w:val="00AE0A91"/>
    <w:rsid w:val="00AE0E6D"/>
    <w:rsid w:val="00AE0FCB"/>
    <w:rsid w:val="00AE1152"/>
    <w:rsid w:val="00AE1849"/>
    <w:rsid w:val="00AE1B7D"/>
    <w:rsid w:val="00AE1C38"/>
    <w:rsid w:val="00AE23B5"/>
    <w:rsid w:val="00AE2D07"/>
    <w:rsid w:val="00AE2FBA"/>
    <w:rsid w:val="00AE3242"/>
    <w:rsid w:val="00AE382A"/>
    <w:rsid w:val="00AE38F7"/>
    <w:rsid w:val="00AE3D13"/>
    <w:rsid w:val="00AE407F"/>
    <w:rsid w:val="00AE44AD"/>
    <w:rsid w:val="00AE4DC2"/>
    <w:rsid w:val="00AE53B1"/>
    <w:rsid w:val="00AE57A5"/>
    <w:rsid w:val="00AE5A7C"/>
    <w:rsid w:val="00AE5FB8"/>
    <w:rsid w:val="00AE6073"/>
    <w:rsid w:val="00AE6090"/>
    <w:rsid w:val="00AE6236"/>
    <w:rsid w:val="00AE6583"/>
    <w:rsid w:val="00AE6630"/>
    <w:rsid w:val="00AE710C"/>
    <w:rsid w:val="00AE7484"/>
    <w:rsid w:val="00AE77D6"/>
    <w:rsid w:val="00AF0002"/>
    <w:rsid w:val="00AF03E8"/>
    <w:rsid w:val="00AF058A"/>
    <w:rsid w:val="00AF0C58"/>
    <w:rsid w:val="00AF1079"/>
    <w:rsid w:val="00AF1D5E"/>
    <w:rsid w:val="00AF1F19"/>
    <w:rsid w:val="00AF2484"/>
    <w:rsid w:val="00AF2729"/>
    <w:rsid w:val="00AF2BC0"/>
    <w:rsid w:val="00AF2C8C"/>
    <w:rsid w:val="00AF337B"/>
    <w:rsid w:val="00AF37C9"/>
    <w:rsid w:val="00AF49EA"/>
    <w:rsid w:val="00AF4E42"/>
    <w:rsid w:val="00AF4ED4"/>
    <w:rsid w:val="00AF4F66"/>
    <w:rsid w:val="00AF5472"/>
    <w:rsid w:val="00AF5652"/>
    <w:rsid w:val="00AF56B7"/>
    <w:rsid w:val="00AF584F"/>
    <w:rsid w:val="00AF5AFE"/>
    <w:rsid w:val="00AF6428"/>
    <w:rsid w:val="00AF6551"/>
    <w:rsid w:val="00AF666D"/>
    <w:rsid w:val="00AF6804"/>
    <w:rsid w:val="00AF6A8D"/>
    <w:rsid w:val="00AF6AA5"/>
    <w:rsid w:val="00AF6AB0"/>
    <w:rsid w:val="00AF6DE2"/>
    <w:rsid w:val="00AF6F44"/>
    <w:rsid w:val="00AF701C"/>
    <w:rsid w:val="00AF7210"/>
    <w:rsid w:val="00AF7582"/>
    <w:rsid w:val="00AF781C"/>
    <w:rsid w:val="00AF784F"/>
    <w:rsid w:val="00B00433"/>
    <w:rsid w:val="00B00AFA"/>
    <w:rsid w:val="00B017D8"/>
    <w:rsid w:val="00B01A1E"/>
    <w:rsid w:val="00B01A56"/>
    <w:rsid w:val="00B01E99"/>
    <w:rsid w:val="00B0251D"/>
    <w:rsid w:val="00B025A5"/>
    <w:rsid w:val="00B025D3"/>
    <w:rsid w:val="00B028B5"/>
    <w:rsid w:val="00B0383E"/>
    <w:rsid w:val="00B03852"/>
    <w:rsid w:val="00B03B76"/>
    <w:rsid w:val="00B03C53"/>
    <w:rsid w:val="00B03D71"/>
    <w:rsid w:val="00B03D8E"/>
    <w:rsid w:val="00B04507"/>
    <w:rsid w:val="00B0456E"/>
    <w:rsid w:val="00B04C65"/>
    <w:rsid w:val="00B04FF3"/>
    <w:rsid w:val="00B05A9A"/>
    <w:rsid w:val="00B05AD9"/>
    <w:rsid w:val="00B06117"/>
    <w:rsid w:val="00B06122"/>
    <w:rsid w:val="00B06278"/>
    <w:rsid w:val="00B06932"/>
    <w:rsid w:val="00B069A8"/>
    <w:rsid w:val="00B06ADB"/>
    <w:rsid w:val="00B06C42"/>
    <w:rsid w:val="00B06CC6"/>
    <w:rsid w:val="00B06FDC"/>
    <w:rsid w:val="00B070B9"/>
    <w:rsid w:val="00B07480"/>
    <w:rsid w:val="00B075AD"/>
    <w:rsid w:val="00B0787B"/>
    <w:rsid w:val="00B07891"/>
    <w:rsid w:val="00B07980"/>
    <w:rsid w:val="00B07B63"/>
    <w:rsid w:val="00B07DA6"/>
    <w:rsid w:val="00B100A5"/>
    <w:rsid w:val="00B10712"/>
    <w:rsid w:val="00B10795"/>
    <w:rsid w:val="00B10956"/>
    <w:rsid w:val="00B10E0B"/>
    <w:rsid w:val="00B110D6"/>
    <w:rsid w:val="00B11876"/>
    <w:rsid w:val="00B124BB"/>
    <w:rsid w:val="00B1287F"/>
    <w:rsid w:val="00B12922"/>
    <w:rsid w:val="00B1292C"/>
    <w:rsid w:val="00B12F5A"/>
    <w:rsid w:val="00B12FD6"/>
    <w:rsid w:val="00B1319C"/>
    <w:rsid w:val="00B1392B"/>
    <w:rsid w:val="00B139D5"/>
    <w:rsid w:val="00B13AF4"/>
    <w:rsid w:val="00B14196"/>
    <w:rsid w:val="00B1487F"/>
    <w:rsid w:val="00B14921"/>
    <w:rsid w:val="00B14E80"/>
    <w:rsid w:val="00B1501A"/>
    <w:rsid w:val="00B153FD"/>
    <w:rsid w:val="00B15683"/>
    <w:rsid w:val="00B1580B"/>
    <w:rsid w:val="00B1584E"/>
    <w:rsid w:val="00B15B7C"/>
    <w:rsid w:val="00B15C7C"/>
    <w:rsid w:val="00B15EDE"/>
    <w:rsid w:val="00B1634A"/>
    <w:rsid w:val="00B1651F"/>
    <w:rsid w:val="00B166D4"/>
    <w:rsid w:val="00B16745"/>
    <w:rsid w:val="00B16F37"/>
    <w:rsid w:val="00B175E1"/>
    <w:rsid w:val="00B175E2"/>
    <w:rsid w:val="00B1777F"/>
    <w:rsid w:val="00B179BB"/>
    <w:rsid w:val="00B17ADB"/>
    <w:rsid w:val="00B17FC4"/>
    <w:rsid w:val="00B20290"/>
    <w:rsid w:val="00B20874"/>
    <w:rsid w:val="00B20C6A"/>
    <w:rsid w:val="00B20DA0"/>
    <w:rsid w:val="00B20DB6"/>
    <w:rsid w:val="00B21199"/>
    <w:rsid w:val="00B213DE"/>
    <w:rsid w:val="00B21420"/>
    <w:rsid w:val="00B2147E"/>
    <w:rsid w:val="00B2149A"/>
    <w:rsid w:val="00B217C4"/>
    <w:rsid w:val="00B21FAC"/>
    <w:rsid w:val="00B22256"/>
    <w:rsid w:val="00B2231F"/>
    <w:rsid w:val="00B223DF"/>
    <w:rsid w:val="00B224A8"/>
    <w:rsid w:val="00B229BB"/>
    <w:rsid w:val="00B22C57"/>
    <w:rsid w:val="00B23142"/>
    <w:rsid w:val="00B2360C"/>
    <w:rsid w:val="00B23832"/>
    <w:rsid w:val="00B23EFF"/>
    <w:rsid w:val="00B24365"/>
    <w:rsid w:val="00B24765"/>
    <w:rsid w:val="00B24C80"/>
    <w:rsid w:val="00B24FBC"/>
    <w:rsid w:val="00B250F9"/>
    <w:rsid w:val="00B25AB2"/>
    <w:rsid w:val="00B25CE0"/>
    <w:rsid w:val="00B260EC"/>
    <w:rsid w:val="00B26305"/>
    <w:rsid w:val="00B26E17"/>
    <w:rsid w:val="00B26E98"/>
    <w:rsid w:val="00B26F77"/>
    <w:rsid w:val="00B27011"/>
    <w:rsid w:val="00B270F6"/>
    <w:rsid w:val="00B27582"/>
    <w:rsid w:val="00B275DB"/>
    <w:rsid w:val="00B2767E"/>
    <w:rsid w:val="00B27888"/>
    <w:rsid w:val="00B27922"/>
    <w:rsid w:val="00B27940"/>
    <w:rsid w:val="00B27ACE"/>
    <w:rsid w:val="00B27B27"/>
    <w:rsid w:val="00B30238"/>
    <w:rsid w:val="00B3044D"/>
    <w:rsid w:val="00B307F2"/>
    <w:rsid w:val="00B3082A"/>
    <w:rsid w:val="00B309AB"/>
    <w:rsid w:val="00B30A60"/>
    <w:rsid w:val="00B30C98"/>
    <w:rsid w:val="00B310F8"/>
    <w:rsid w:val="00B314B1"/>
    <w:rsid w:val="00B314D1"/>
    <w:rsid w:val="00B315A8"/>
    <w:rsid w:val="00B31748"/>
    <w:rsid w:val="00B31B73"/>
    <w:rsid w:val="00B31C36"/>
    <w:rsid w:val="00B31F3C"/>
    <w:rsid w:val="00B32338"/>
    <w:rsid w:val="00B32EF8"/>
    <w:rsid w:val="00B33139"/>
    <w:rsid w:val="00B3331D"/>
    <w:rsid w:val="00B336C5"/>
    <w:rsid w:val="00B33B3A"/>
    <w:rsid w:val="00B33F15"/>
    <w:rsid w:val="00B340A6"/>
    <w:rsid w:val="00B34227"/>
    <w:rsid w:val="00B3429A"/>
    <w:rsid w:val="00B344D7"/>
    <w:rsid w:val="00B3450B"/>
    <w:rsid w:val="00B34990"/>
    <w:rsid w:val="00B35687"/>
    <w:rsid w:val="00B35C30"/>
    <w:rsid w:val="00B36280"/>
    <w:rsid w:val="00B36423"/>
    <w:rsid w:val="00B3655F"/>
    <w:rsid w:val="00B36596"/>
    <w:rsid w:val="00B368ED"/>
    <w:rsid w:val="00B370F3"/>
    <w:rsid w:val="00B372E3"/>
    <w:rsid w:val="00B37B74"/>
    <w:rsid w:val="00B37BA4"/>
    <w:rsid w:val="00B4072C"/>
    <w:rsid w:val="00B4095A"/>
    <w:rsid w:val="00B40A2C"/>
    <w:rsid w:val="00B40BBE"/>
    <w:rsid w:val="00B40CAF"/>
    <w:rsid w:val="00B41153"/>
    <w:rsid w:val="00B418B2"/>
    <w:rsid w:val="00B426D1"/>
    <w:rsid w:val="00B427AF"/>
    <w:rsid w:val="00B42898"/>
    <w:rsid w:val="00B42D85"/>
    <w:rsid w:val="00B42EAB"/>
    <w:rsid w:val="00B433E4"/>
    <w:rsid w:val="00B43484"/>
    <w:rsid w:val="00B434F1"/>
    <w:rsid w:val="00B4369C"/>
    <w:rsid w:val="00B4405C"/>
    <w:rsid w:val="00B44319"/>
    <w:rsid w:val="00B44444"/>
    <w:rsid w:val="00B44BFA"/>
    <w:rsid w:val="00B44F35"/>
    <w:rsid w:val="00B4513B"/>
    <w:rsid w:val="00B4516E"/>
    <w:rsid w:val="00B45389"/>
    <w:rsid w:val="00B457E2"/>
    <w:rsid w:val="00B458C2"/>
    <w:rsid w:val="00B461C9"/>
    <w:rsid w:val="00B463A8"/>
    <w:rsid w:val="00B4690A"/>
    <w:rsid w:val="00B47097"/>
    <w:rsid w:val="00B4717F"/>
    <w:rsid w:val="00B47647"/>
    <w:rsid w:val="00B4780B"/>
    <w:rsid w:val="00B505FB"/>
    <w:rsid w:val="00B50730"/>
    <w:rsid w:val="00B509DE"/>
    <w:rsid w:val="00B50CB1"/>
    <w:rsid w:val="00B50F32"/>
    <w:rsid w:val="00B512C9"/>
    <w:rsid w:val="00B51811"/>
    <w:rsid w:val="00B51CA5"/>
    <w:rsid w:val="00B52051"/>
    <w:rsid w:val="00B5248C"/>
    <w:rsid w:val="00B526A3"/>
    <w:rsid w:val="00B52C6A"/>
    <w:rsid w:val="00B52D73"/>
    <w:rsid w:val="00B53063"/>
    <w:rsid w:val="00B533C7"/>
    <w:rsid w:val="00B5361C"/>
    <w:rsid w:val="00B53682"/>
    <w:rsid w:val="00B53884"/>
    <w:rsid w:val="00B53B4A"/>
    <w:rsid w:val="00B53EE2"/>
    <w:rsid w:val="00B54457"/>
    <w:rsid w:val="00B54531"/>
    <w:rsid w:val="00B54903"/>
    <w:rsid w:val="00B54BCE"/>
    <w:rsid w:val="00B54FAF"/>
    <w:rsid w:val="00B55189"/>
    <w:rsid w:val="00B55530"/>
    <w:rsid w:val="00B555AF"/>
    <w:rsid w:val="00B55A37"/>
    <w:rsid w:val="00B55B93"/>
    <w:rsid w:val="00B566E6"/>
    <w:rsid w:val="00B56D3B"/>
    <w:rsid w:val="00B56FB8"/>
    <w:rsid w:val="00B57901"/>
    <w:rsid w:val="00B57B00"/>
    <w:rsid w:val="00B57BDF"/>
    <w:rsid w:val="00B57D00"/>
    <w:rsid w:val="00B57E69"/>
    <w:rsid w:val="00B601AA"/>
    <w:rsid w:val="00B606FB"/>
    <w:rsid w:val="00B60DC1"/>
    <w:rsid w:val="00B6122B"/>
    <w:rsid w:val="00B617D8"/>
    <w:rsid w:val="00B62003"/>
    <w:rsid w:val="00B62110"/>
    <w:rsid w:val="00B623C5"/>
    <w:rsid w:val="00B62AEB"/>
    <w:rsid w:val="00B62B7B"/>
    <w:rsid w:val="00B62BAF"/>
    <w:rsid w:val="00B62D4B"/>
    <w:rsid w:val="00B6322E"/>
    <w:rsid w:val="00B634B8"/>
    <w:rsid w:val="00B6353C"/>
    <w:rsid w:val="00B63B96"/>
    <w:rsid w:val="00B63F44"/>
    <w:rsid w:val="00B6404F"/>
    <w:rsid w:val="00B64667"/>
    <w:rsid w:val="00B6549C"/>
    <w:rsid w:val="00B6561B"/>
    <w:rsid w:val="00B6566B"/>
    <w:rsid w:val="00B656F3"/>
    <w:rsid w:val="00B65C8D"/>
    <w:rsid w:val="00B65DA8"/>
    <w:rsid w:val="00B65EFE"/>
    <w:rsid w:val="00B666EF"/>
    <w:rsid w:val="00B66B90"/>
    <w:rsid w:val="00B670BF"/>
    <w:rsid w:val="00B670E1"/>
    <w:rsid w:val="00B674B6"/>
    <w:rsid w:val="00B67853"/>
    <w:rsid w:val="00B67A58"/>
    <w:rsid w:val="00B67E6A"/>
    <w:rsid w:val="00B7023B"/>
    <w:rsid w:val="00B702FF"/>
    <w:rsid w:val="00B70436"/>
    <w:rsid w:val="00B70558"/>
    <w:rsid w:val="00B70562"/>
    <w:rsid w:val="00B70983"/>
    <w:rsid w:val="00B70D27"/>
    <w:rsid w:val="00B70D3B"/>
    <w:rsid w:val="00B7100B"/>
    <w:rsid w:val="00B71320"/>
    <w:rsid w:val="00B71535"/>
    <w:rsid w:val="00B71730"/>
    <w:rsid w:val="00B71B3E"/>
    <w:rsid w:val="00B71BB3"/>
    <w:rsid w:val="00B71DB7"/>
    <w:rsid w:val="00B71F92"/>
    <w:rsid w:val="00B7211A"/>
    <w:rsid w:val="00B72791"/>
    <w:rsid w:val="00B7279C"/>
    <w:rsid w:val="00B72A42"/>
    <w:rsid w:val="00B72C32"/>
    <w:rsid w:val="00B7377D"/>
    <w:rsid w:val="00B739CC"/>
    <w:rsid w:val="00B73ADA"/>
    <w:rsid w:val="00B73B76"/>
    <w:rsid w:val="00B740EF"/>
    <w:rsid w:val="00B74861"/>
    <w:rsid w:val="00B74B7C"/>
    <w:rsid w:val="00B74CD4"/>
    <w:rsid w:val="00B75123"/>
    <w:rsid w:val="00B75A06"/>
    <w:rsid w:val="00B75C14"/>
    <w:rsid w:val="00B760A0"/>
    <w:rsid w:val="00B76499"/>
    <w:rsid w:val="00B7657D"/>
    <w:rsid w:val="00B76A62"/>
    <w:rsid w:val="00B76DE4"/>
    <w:rsid w:val="00B76FAE"/>
    <w:rsid w:val="00B7700E"/>
    <w:rsid w:val="00B77603"/>
    <w:rsid w:val="00B77C75"/>
    <w:rsid w:val="00B77DA9"/>
    <w:rsid w:val="00B77F09"/>
    <w:rsid w:val="00B80083"/>
    <w:rsid w:val="00B80252"/>
    <w:rsid w:val="00B80403"/>
    <w:rsid w:val="00B80545"/>
    <w:rsid w:val="00B807F7"/>
    <w:rsid w:val="00B80986"/>
    <w:rsid w:val="00B80BE4"/>
    <w:rsid w:val="00B80CD3"/>
    <w:rsid w:val="00B81AA9"/>
    <w:rsid w:val="00B81D7D"/>
    <w:rsid w:val="00B81EC8"/>
    <w:rsid w:val="00B82061"/>
    <w:rsid w:val="00B8208A"/>
    <w:rsid w:val="00B8248A"/>
    <w:rsid w:val="00B82664"/>
    <w:rsid w:val="00B82864"/>
    <w:rsid w:val="00B82A0A"/>
    <w:rsid w:val="00B82B66"/>
    <w:rsid w:val="00B82C27"/>
    <w:rsid w:val="00B82EA0"/>
    <w:rsid w:val="00B83024"/>
    <w:rsid w:val="00B83179"/>
    <w:rsid w:val="00B83287"/>
    <w:rsid w:val="00B836F9"/>
    <w:rsid w:val="00B83BCF"/>
    <w:rsid w:val="00B83E0A"/>
    <w:rsid w:val="00B84117"/>
    <w:rsid w:val="00B841E5"/>
    <w:rsid w:val="00B84996"/>
    <w:rsid w:val="00B849BC"/>
    <w:rsid w:val="00B8504C"/>
    <w:rsid w:val="00B85167"/>
    <w:rsid w:val="00B8583A"/>
    <w:rsid w:val="00B85886"/>
    <w:rsid w:val="00B85F52"/>
    <w:rsid w:val="00B86118"/>
    <w:rsid w:val="00B862EF"/>
    <w:rsid w:val="00B86500"/>
    <w:rsid w:val="00B8691D"/>
    <w:rsid w:val="00B86B16"/>
    <w:rsid w:val="00B870F1"/>
    <w:rsid w:val="00B87187"/>
    <w:rsid w:val="00B8751C"/>
    <w:rsid w:val="00B90687"/>
    <w:rsid w:val="00B90768"/>
    <w:rsid w:val="00B90893"/>
    <w:rsid w:val="00B908DA"/>
    <w:rsid w:val="00B91016"/>
    <w:rsid w:val="00B9168D"/>
    <w:rsid w:val="00B91721"/>
    <w:rsid w:val="00B9172A"/>
    <w:rsid w:val="00B91993"/>
    <w:rsid w:val="00B91B5C"/>
    <w:rsid w:val="00B92004"/>
    <w:rsid w:val="00B927B5"/>
    <w:rsid w:val="00B92BF0"/>
    <w:rsid w:val="00B92DD1"/>
    <w:rsid w:val="00B93195"/>
    <w:rsid w:val="00B9359C"/>
    <w:rsid w:val="00B93813"/>
    <w:rsid w:val="00B93856"/>
    <w:rsid w:val="00B93B79"/>
    <w:rsid w:val="00B93C2E"/>
    <w:rsid w:val="00B942BD"/>
    <w:rsid w:val="00B94515"/>
    <w:rsid w:val="00B945E8"/>
    <w:rsid w:val="00B94A33"/>
    <w:rsid w:val="00B94AEA"/>
    <w:rsid w:val="00B94B1A"/>
    <w:rsid w:val="00B94E6E"/>
    <w:rsid w:val="00B95327"/>
    <w:rsid w:val="00B95700"/>
    <w:rsid w:val="00B9586A"/>
    <w:rsid w:val="00B95B7D"/>
    <w:rsid w:val="00B95C09"/>
    <w:rsid w:val="00B95D29"/>
    <w:rsid w:val="00B95D37"/>
    <w:rsid w:val="00B95F5E"/>
    <w:rsid w:val="00B9611C"/>
    <w:rsid w:val="00B96473"/>
    <w:rsid w:val="00B966A1"/>
    <w:rsid w:val="00B968D3"/>
    <w:rsid w:val="00B96918"/>
    <w:rsid w:val="00B96A6D"/>
    <w:rsid w:val="00B97493"/>
    <w:rsid w:val="00B9761E"/>
    <w:rsid w:val="00B9762E"/>
    <w:rsid w:val="00B97A26"/>
    <w:rsid w:val="00B97C5F"/>
    <w:rsid w:val="00BA02BA"/>
    <w:rsid w:val="00BA0307"/>
    <w:rsid w:val="00BA0612"/>
    <w:rsid w:val="00BA0760"/>
    <w:rsid w:val="00BA07D6"/>
    <w:rsid w:val="00BA0E6D"/>
    <w:rsid w:val="00BA10BC"/>
    <w:rsid w:val="00BA1490"/>
    <w:rsid w:val="00BA156B"/>
    <w:rsid w:val="00BA1605"/>
    <w:rsid w:val="00BA21F6"/>
    <w:rsid w:val="00BA2245"/>
    <w:rsid w:val="00BA287A"/>
    <w:rsid w:val="00BA288A"/>
    <w:rsid w:val="00BA2A44"/>
    <w:rsid w:val="00BA2BD9"/>
    <w:rsid w:val="00BA2C4A"/>
    <w:rsid w:val="00BA2D3B"/>
    <w:rsid w:val="00BA2DDF"/>
    <w:rsid w:val="00BA3616"/>
    <w:rsid w:val="00BA3668"/>
    <w:rsid w:val="00BA3AA5"/>
    <w:rsid w:val="00BA3B7E"/>
    <w:rsid w:val="00BA4241"/>
    <w:rsid w:val="00BA4391"/>
    <w:rsid w:val="00BA43C5"/>
    <w:rsid w:val="00BA4E19"/>
    <w:rsid w:val="00BA51E6"/>
    <w:rsid w:val="00BA5389"/>
    <w:rsid w:val="00BA5405"/>
    <w:rsid w:val="00BA54D2"/>
    <w:rsid w:val="00BA58A1"/>
    <w:rsid w:val="00BA5BD0"/>
    <w:rsid w:val="00BA61EB"/>
    <w:rsid w:val="00BA655E"/>
    <w:rsid w:val="00BA65EC"/>
    <w:rsid w:val="00BA7507"/>
    <w:rsid w:val="00BA7906"/>
    <w:rsid w:val="00BA7B4C"/>
    <w:rsid w:val="00BB019A"/>
    <w:rsid w:val="00BB03B6"/>
    <w:rsid w:val="00BB06D7"/>
    <w:rsid w:val="00BB09F9"/>
    <w:rsid w:val="00BB0E7E"/>
    <w:rsid w:val="00BB122A"/>
    <w:rsid w:val="00BB15B8"/>
    <w:rsid w:val="00BB1B50"/>
    <w:rsid w:val="00BB1C51"/>
    <w:rsid w:val="00BB1C6C"/>
    <w:rsid w:val="00BB1CF5"/>
    <w:rsid w:val="00BB225C"/>
    <w:rsid w:val="00BB2277"/>
    <w:rsid w:val="00BB2767"/>
    <w:rsid w:val="00BB2A2B"/>
    <w:rsid w:val="00BB2DB2"/>
    <w:rsid w:val="00BB318E"/>
    <w:rsid w:val="00BB3258"/>
    <w:rsid w:val="00BB33FB"/>
    <w:rsid w:val="00BB35F3"/>
    <w:rsid w:val="00BB3616"/>
    <w:rsid w:val="00BB3619"/>
    <w:rsid w:val="00BB369F"/>
    <w:rsid w:val="00BB3C7B"/>
    <w:rsid w:val="00BB4405"/>
    <w:rsid w:val="00BB4546"/>
    <w:rsid w:val="00BB4557"/>
    <w:rsid w:val="00BB48CD"/>
    <w:rsid w:val="00BB4B4F"/>
    <w:rsid w:val="00BB4D24"/>
    <w:rsid w:val="00BB565C"/>
    <w:rsid w:val="00BB5913"/>
    <w:rsid w:val="00BB5B68"/>
    <w:rsid w:val="00BB5B8A"/>
    <w:rsid w:val="00BB6023"/>
    <w:rsid w:val="00BB6176"/>
    <w:rsid w:val="00BB61E1"/>
    <w:rsid w:val="00BB627A"/>
    <w:rsid w:val="00BB647F"/>
    <w:rsid w:val="00BB66CF"/>
    <w:rsid w:val="00BB67EF"/>
    <w:rsid w:val="00BB6DCE"/>
    <w:rsid w:val="00BB7365"/>
    <w:rsid w:val="00BB766C"/>
    <w:rsid w:val="00BB771E"/>
    <w:rsid w:val="00BB77E9"/>
    <w:rsid w:val="00BB7EEF"/>
    <w:rsid w:val="00BC0602"/>
    <w:rsid w:val="00BC0DC9"/>
    <w:rsid w:val="00BC0F18"/>
    <w:rsid w:val="00BC15FC"/>
    <w:rsid w:val="00BC1AD5"/>
    <w:rsid w:val="00BC1B8F"/>
    <w:rsid w:val="00BC1BF9"/>
    <w:rsid w:val="00BC1F14"/>
    <w:rsid w:val="00BC20C2"/>
    <w:rsid w:val="00BC2134"/>
    <w:rsid w:val="00BC235A"/>
    <w:rsid w:val="00BC248D"/>
    <w:rsid w:val="00BC2917"/>
    <w:rsid w:val="00BC2C8D"/>
    <w:rsid w:val="00BC314B"/>
    <w:rsid w:val="00BC32C8"/>
    <w:rsid w:val="00BC3346"/>
    <w:rsid w:val="00BC336C"/>
    <w:rsid w:val="00BC36DD"/>
    <w:rsid w:val="00BC4020"/>
    <w:rsid w:val="00BC444B"/>
    <w:rsid w:val="00BC49CD"/>
    <w:rsid w:val="00BC5478"/>
    <w:rsid w:val="00BC54EF"/>
    <w:rsid w:val="00BC554E"/>
    <w:rsid w:val="00BC559A"/>
    <w:rsid w:val="00BC5780"/>
    <w:rsid w:val="00BC5AE5"/>
    <w:rsid w:val="00BC5D9E"/>
    <w:rsid w:val="00BC5DFA"/>
    <w:rsid w:val="00BC5EC4"/>
    <w:rsid w:val="00BC62FE"/>
    <w:rsid w:val="00BC6484"/>
    <w:rsid w:val="00BC6D72"/>
    <w:rsid w:val="00BC7173"/>
    <w:rsid w:val="00BC71BC"/>
    <w:rsid w:val="00BC7888"/>
    <w:rsid w:val="00BC79F4"/>
    <w:rsid w:val="00BC7C40"/>
    <w:rsid w:val="00BC7C6E"/>
    <w:rsid w:val="00BC7C79"/>
    <w:rsid w:val="00BD014A"/>
    <w:rsid w:val="00BD027C"/>
    <w:rsid w:val="00BD0318"/>
    <w:rsid w:val="00BD044B"/>
    <w:rsid w:val="00BD052E"/>
    <w:rsid w:val="00BD0578"/>
    <w:rsid w:val="00BD07C1"/>
    <w:rsid w:val="00BD087D"/>
    <w:rsid w:val="00BD0B35"/>
    <w:rsid w:val="00BD0D53"/>
    <w:rsid w:val="00BD10CB"/>
    <w:rsid w:val="00BD1442"/>
    <w:rsid w:val="00BD154F"/>
    <w:rsid w:val="00BD16A2"/>
    <w:rsid w:val="00BD17AB"/>
    <w:rsid w:val="00BD19B4"/>
    <w:rsid w:val="00BD1B1A"/>
    <w:rsid w:val="00BD1ED5"/>
    <w:rsid w:val="00BD20B1"/>
    <w:rsid w:val="00BD225E"/>
    <w:rsid w:val="00BD23E9"/>
    <w:rsid w:val="00BD271D"/>
    <w:rsid w:val="00BD2AF3"/>
    <w:rsid w:val="00BD34BB"/>
    <w:rsid w:val="00BD356A"/>
    <w:rsid w:val="00BD36AC"/>
    <w:rsid w:val="00BD476F"/>
    <w:rsid w:val="00BD484E"/>
    <w:rsid w:val="00BD4BC3"/>
    <w:rsid w:val="00BD4C55"/>
    <w:rsid w:val="00BD4C63"/>
    <w:rsid w:val="00BD4CC0"/>
    <w:rsid w:val="00BD4F6D"/>
    <w:rsid w:val="00BD4FE9"/>
    <w:rsid w:val="00BD5039"/>
    <w:rsid w:val="00BD5111"/>
    <w:rsid w:val="00BD59B4"/>
    <w:rsid w:val="00BD59B9"/>
    <w:rsid w:val="00BD59EE"/>
    <w:rsid w:val="00BD5AD4"/>
    <w:rsid w:val="00BD5DAC"/>
    <w:rsid w:val="00BD5F8E"/>
    <w:rsid w:val="00BD6301"/>
    <w:rsid w:val="00BD6855"/>
    <w:rsid w:val="00BD6A43"/>
    <w:rsid w:val="00BD6D85"/>
    <w:rsid w:val="00BD7468"/>
    <w:rsid w:val="00BD7697"/>
    <w:rsid w:val="00BD7A4E"/>
    <w:rsid w:val="00BD7C73"/>
    <w:rsid w:val="00BE001F"/>
    <w:rsid w:val="00BE01AD"/>
    <w:rsid w:val="00BE04A5"/>
    <w:rsid w:val="00BE0A86"/>
    <w:rsid w:val="00BE0BE3"/>
    <w:rsid w:val="00BE1443"/>
    <w:rsid w:val="00BE1950"/>
    <w:rsid w:val="00BE1A85"/>
    <w:rsid w:val="00BE2211"/>
    <w:rsid w:val="00BE22E9"/>
    <w:rsid w:val="00BE2571"/>
    <w:rsid w:val="00BE2751"/>
    <w:rsid w:val="00BE2793"/>
    <w:rsid w:val="00BE27D3"/>
    <w:rsid w:val="00BE28E7"/>
    <w:rsid w:val="00BE2CD5"/>
    <w:rsid w:val="00BE2DA2"/>
    <w:rsid w:val="00BE2E5C"/>
    <w:rsid w:val="00BE3482"/>
    <w:rsid w:val="00BE36CC"/>
    <w:rsid w:val="00BE3813"/>
    <w:rsid w:val="00BE393E"/>
    <w:rsid w:val="00BE3C93"/>
    <w:rsid w:val="00BE3CD3"/>
    <w:rsid w:val="00BE3F82"/>
    <w:rsid w:val="00BE426A"/>
    <w:rsid w:val="00BE4301"/>
    <w:rsid w:val="00BE451F"/>
    <w:rsid w:val="00BE520A"/>
    <w:rsid w:val="00BE5406"/>
    <w:rsid w:val="00BE601D"/>
    <w:rsid w:val="00BE6342"/>
    <w:rsid w:val="00BE6600"/>
    <w:rsid w:val="00BE7094"/>
    <w:rsid w:val="00BE7160"/>
    <w:rsid w:val="00BE7455"/>
    <w:rsid w:val="00BE780B"/>
    <w:rsid w:val="00BF0A04"/>
    <w:rsid w:val="00BF0A20"/>
    <w:rsid w:val="00BF0C82"/>
    <w:rsid w:val="00BF0DB0"/>
    <w:rsid w:val="00BF191E"/>
    <w:rsid w:val="00BF1E7D"/>
    <w:rsid w:val="00BF1F2E"/>
    <w:rsid w:val="00BF203C"/>
    <w:rsid w:val="00BF22B6"/>
    <w:rsid w:val="00BF2454"/>
    <w:rsid w:val="00BF264D"/>
    <w:rsid w:val="00BF2AF9"/>
    <w:rsid w:val="00BF2B62"/>
    <w:rsid w:val="00BF2E18"/>
    <w:rsid w:val="00BF2F5D"/>
    <w:rsid w:val="00BF33F4"/>
    <w:rsid w:val="00BF3572"/>
    <w:rsid w:val="00BF35B1"/>
    <w:rsid w:val="00BF3903"/>
    <w:rsid w:val="00BF3970"/>
    <w:rsid w:val="00BF3EAB"/>
    <w:rsid w:val="00BF3F4F"/>
    <w:rsid w:val="00BF44D4"/>
    <w:rsid w:val="00BF4D9D"/>
    <w:rsid w:val="00BF5778"/>
    <w:rsid w:val="00BF57DE"/>
    <w:rsid w:val="00BF5D87"/>
    <w:rsid w:val="00BF5E1E"/>
    <w:rsid w:val="00BF5ECF"/>
    <w:rsid w:val="00BF65CD"/>
    <w:rsid w:val="00BF687C"/>
    <w:rsid w:val="00BF730C"/>
    <w:rsid w:val="00BF732A"/>
    <w:rsid w:val="00BF759E"/>
    <w:rsid w:val="00BF76E0"/>
    <w:rsid w:val="00BF7F62"/>
    <w:rsid w:val="00C00A36"/>
    <w:rsid w:val="00C00A4F"/>
    <w:rsid w:val="00C01033"/>
    <w:rsid w:val="00C012F5"/>
    <w:rsid w:val="00C01479"/>
    <w:rsid w:val="00C014C4"/>
    <w:rsid w:val="00C02742"/>
    <w:rsid w:val="00C03BF8"/>
    <w:rsid w:val="00C03E57"/>
    <w:rsid w:val="00C04246"/>
    <w:rsid w:val="00C0466B"/>
    <w:rsid w:val="00C0469D"/>
    <w:rsid w:val="00C047B0"/>
    <w:rsid w:val="00C0483E"/>
    <w:rsid w:val="00C04DEA"/>
    <w:rsid w:val="00C0597C"/>
    <w:rsid w:val="00C05B0E"/>
    <w:rsid w:val="00C05B94"/>
    <w:rsid w:val="00C05C59"/>
    <w:rsid w:val="00C05C92"/>
    <w:rsid w:val="00C06105"/>
    <w:rsid w:val="00C06750"/>
    <w:rsid w:val="00C06879"/>
    <w:rsid w:val="00C06BC8"/>
    <w:rsid w:val="00C06C60"/>
    <w:rsid w:val="00C070BF"/>
    <w:rsid w:val="00C07280"/>
    <w:rsid w:val="00C07364"/>
    <w:rsid w:val="00C07BA7"/>
    <w:rsid w:val="00C07EB0"/>
    <w:rsid w:val="00C07EFB"/>
    <w:rsid w:val="00C101EC"/>
    <w:rsid w:val="00C108CE"/>
    <w:rsid w:val="00C109A6"/>
    <w:rsid w:val="00C10E5F"/>
    <w:rsid w:val="00C11023"/>
    <w:rsid w:val="00C11036"/>
    <w:rsid w:val="00C111ED"/>
    <w:rsid w:val="00C11433"/>
    <w:rsid w:val="00C12492"/>
    <w:rsid w:val="00C12C13"/>
    <w:rsid w:val="00C13010"/>
    <w:rsid w:val="00C13017"/>
    <w:rsid w:val="00C1322C"/>
    <w:rsid w:val="00C132C8"/>
    <w:rsid w:val="00C134BA"/>
    <w:rsid w:val="00C13527"/>
    <w:rsid w:val="00C140F7"/>
    <w:rsid w:val="00C141AD"/>
    <w:rsid w:val="00C14361"/>
    <w:rsid w:val="00C14669"/>
    <w:rsid w:val="00C1466B"/>
    <w:rsid w:val="00C14982"/>
    <w:rsid w:val="00C14BDF"/>
    <w:rsid w:val="00C14DB9"/>
    <w:rsid w:val="00C14DD9"/>
    <w:rsid w:val="00C150EB"/>
    <w:rsid w:val="00C15A13"/>
    <w:rsid w:val="00C15D91"/>
    <w:rsid w:val="00C15DF5"/>
    <w:rsid w:val="00C162BC"/>
    <w:rsid w:val="00C16533"/>
    <w:rsid w:val="00C165B7"/>
    <w:rsid w:val="00C167F8"/>
    <w:rsid w:val="00C16DF4"/>
    <w:rsid w:val="00C16DF6"/>
    <w:rsid w:val="00C170C0"/>
    <w:rsid w:val="00C17364"/>
    <w:rsid w:val="00C1795B"/>
    <w:rsid w:val="00C17BE6"/>
    <w:rsid w:val="00C17E34"/>
    <w:rsid w:val="00C20550"/>
    <w:rsid w:val="00C206A4"/>
    <w:rsid w:val="00C20C40"/>
    <w:rsid w:val="00C20FE8"/>
    <w:rsid w:val="00C210A6"/>
    <w:rsid w:val="00C21545"/>
    <w:rsid w:val="00C21915"/>
    <w:rsid w:val="00C2194E"/>
    <w:rsid w:val="00C219F9"/>
    <w:rsid w:val="00C21B98"/>
    <w:rsid w:val="00C21D84"/>
    <w:rsid w:val="00C21D9C"/>
    <w:rsid w:val="00C21EC9"/>
    <w:rsid w:val="00C221D5"/>
    <w:rsid w:val="00C222C7"/>
    <w:rsid w:val="00C22490"/>
    <w:rsid w:val="00C226E8"/>
    <w:rsid w:val="00C227D1"/>
    <w:rsid w:val="00C22959"/>
    <w:rsid w:val="00C23333"/>
    <w:rsid w:val="00C23797"/>
    <w:rsid w:val="00C2413D"/>
    <w:rsid w:val="00C2419D"/>
    <w:rsid w:val="00C247C8"/>
    <w:rsid w:val="00C24844"/>
    <w:rsid w:val="00C24B57"/>
    <w:rsid w:val="00C24B8B"/>
    <w:rsid w:val="00C24E5E"/>
    <w:rsid w:val="00C24E74"/>
    <w:rsid w:val="00C24FC3"/>
    <w:rsid w:val="00C2505C"/>
    <w:rsid w:val="00C251D9"/>
    <w:rsid w:val="00C253E7"/>
    <w:rsid w:val="00C25432"/>
    <w:rsid w:val="00C25592"/>
    <w:rsid w:val="00C25749"/>
    <w:rsid w:val="00C2580C"/>
    <w:rsid w:val="00C25A3F"/>
    <w:rsid w:val="00C25C9E"/>
    <w:rsid w:val="00C25FC0"/>
    <w:rsid w:val="00C26224"/>
    <w:rsid w:val="00C26C8E"/>
    <w:rsid w:val="00C270CC"/>
    <w:rsid w:val="00C2728B"/>
    <w:rsid w:val="00C272C4"/>
    <w:rsid w:val="00C272F4"/>
    <w:rsid w:val="00C27351"/>
    <w:rsid w:val="00C2741F"/>
    <w:rsid w:val="00C27473"/>
    <w:rsid w:val="00C274E5"/>
    <w:rsid w:val="00C27A42"/>
    <w:rsid w:val="00C27E51"/>
    <w:rsid w:val="00C30935"/>
    <w:rsid w:val="00C30987"/>
    <w:rsid w:val="00C30AFA"/>
    <w:rsid w:val="00C30B58"/>
    <w:rsid w:val="00C30D8F"/>
    <w:rsid w:val="00C30DEB"/>
    <w:rsid w:val="00C30E89"/>
    <w:rsid w:val="00C31358"/>
    <w:rsid w:val="00C31439"/>
    <w:rsid w:val="00C31588"/>
    <w:rsid w:val="00C31C12"/>
    <w:rsid w:val="00C3200B"/>
    <w:rsid w:val="00C32337"/>
    <w:rsid w:val="00C32704"/>
    <w:rsid w:val="00C32A12"/>
    <w:rsid w:val="00C32AF1"/>
    <w:rsid w:val="00C32F47"/>
    <w:rsid w:val="00C3322C"/>
    <w:rsid w:val="00C3344C"/>
    <w:rsid w:val="00C33739"/>
    <w:rsid w:val="00C3436C"/>
    <w:rsid w:val="00C34D97"/>
    <w:rsid w:val="00C3507E"/>
    <w:rsid w:val="00C35370"/>
    <w:rsid w:val="00C35A23"/>
    <w:rsid w:val="00C35AC0"/>
    <w:rsid w:val="00C35BCB"/>
    <w:rsid w:val="00C35FAE"/>
    <w:rsid w:val="00C36605"/>
    <w:rsid w:val="00C3661C"/>
    <w:rsid w:val="00C36B01"/>
    <w:rsid w:val="00C36BCF"/>
    <w:rsid w:val="00C36C13"/>
    <w:rsid w:val="00C36C40"/>
    <w:rsid w:val="00C36C82"/>
    <w:rsid w:val="00C370C8"/>
    <w:rsid w:val="00C37BB6"/>
    <w:rsid w:val="00C37D0B"/>
    <w:rsid w:val="00C37DBE"/>
    <w:rsid w:val="00C404EC"/>
    <w:rsid w:val="00C4097C"/>
    <w:rsid w:val="00C40B96"/>
    <w:rsid w:val="00C40BD7"/>
    <w:rsid w:val="00C40EFB"/>
    <w:rsid w:val="00C40FD6"/>
    <w:rsid w:val="00C416B8"/>
    <w:rsid w:val="00C41864"/>
    <w:rsid w:val="00C41CD3"/>
    <w:rsid w:val="00C421D3"/>
    <w:rsid w:val="00C42303"/>
    <w:rsid w:val="00C42380"/>
    <w:rsid w:val="00C4238C"/>
    <w:rsid w:val="00C424F6"/>
    <w:rsid w:val="00C42B7C"/>
    <w:rsid w:val="00C42D07"/>
    <w:rsid w:val="00C42E06"/>
    <w:rsid w:val="00C434B3"/>
    <w:rsid w:val="00C435A2"/>
    <w:rsid w:val="00C43C5C"/>
    <w:rsid w:val="00C43E12"/>
    <w:rsid w:val="00C443F2"/>
    <w:rsid w:val="00C44764"/>
    <w:rsid w:val="00C448BB"/>
    <w:rsid w:val="00C44AC9"/>
    <w:rsid w:val="00C44E9F"/>
    <w:rsid w:val="00C450A2"/>
    <w:rsid w:val="00C4515D"/>
    <w:rsid w:val="00C4516D"/>
    <w:rsid w:val="00C451CA"/>
    <w:rsid w:val="00C455A9"/>
    <w:rsid w:val="00C455E7"/>
    <w:rsid w:val="00C456E5"/>
    <w:rsid w:val="00C4577D"/>
    <w:rsid w:val="00C45D79"/>
    <w:rsid w:val="00C45EDF"/>
    <w:rsid w:val="00C46FC9"/>
    <w:rsid w:val="00C4716B"/>
    <w:rsid w:val="00C4721E"/>
    <w:rsid w:val="00C474A3"/>
    <w:rsid w:val="00C47AD2"/>
    <w:rsid w:val="00C47EB2"/>
    <w:rsid w:val="00C5027F"/>
    <w:rsid w:val="00C509E0"/>
    <w:rsid w:val="00C51011"/>
    <w:rsid w:val="00C51174"/>
    <w:rsid w:val="00C515D3"/>
    <w:rsid w:val="00C51651"/>
    <w:rsid w:val="00C51B84"/>
    <w:rsid w:val="00C52067"/>
    <w:rsid w:val="00C52374"/>
    <w:rsid w:val="00C52634"/>
    <w:rsid w:val="00C5268B"/>
    <w:rsid w:val="00C52B18"/>
    <w:rsid w:val="00C52B31"/>
    <w:rsid w:val="00C52D62"/>
    <w:rsid w:val="00C52FD2"/>
    <w:rsid w:val="00C5304D"/>
    <w:rsid w:val="00C532A1"/>
    <w:rsid w:val="00C53724"/>
    <w:rsid w:val="00C53AA8"/>
    <w:rsid w:val="00C53DDB"/>
    <w:rsid w:val="00C53F7D"/>
    <w:rsid w:val="00C54305"/>
    <w:rsid w:val="00C54994"/>
    <w:rsid w:val="00C54DE2"/>
    <w:rsid w:val="00C5546B"/>
    <w:rsid w:val="00C557C0"/>
    <w:rsid w:val="00C55FAF"/>
    <w:rsid w:val="00C565BD"/>
    <w:rsid w:val="00C565FD"/>
    <w:rsid w:val="00C57758"/>
    <w:rsid w:val="00C579C8"/>
    <w:rsid w:val="00C57C36"/>
    <w:rsid w:val="00C600CF"/>
    <w:rsid w:val="00C6022A"/>
    <w:rsid w:val="00C6039F"/>
    <w:rsid w:val="00C60451"/>
    <w:rsid w:val="00C60670"/>
    <w:rsid w:val="00C60737"/>
    <w:rsid w:val="00C61257"/>
    <w:rsid w:val="00C6136E"/>
    <w:rsid w:val="00C61968"/>
    <w:rsid w:val="00C61B54"/>
    <w:rsid w:val="00C61B60"/>
    <w:rsid w:val="00C6290D"/>
    <w:rsid w:val="00C631AF"/>
    <w:rsid w:val="00C6361D"/>
    <w:rsid w:val="00C638C6"/>
    <w:rsid w:val="00C638DF"/>
    <w:rsid w:val="00C63B82"/>
    <w:rsid w:val="00C63B87"/>
    <w:rsid w:val="00C63BB3"/>
    <w:rsid w:val="00C63C0B"/>
    <w:rsid w:val="00C63DCE"/>
    <w:rsid w:val="00C6401F"/>
    <w:rsid w:val="00C64055"/>
    <w:rsid w:val="00C6414E"/>
    <w:rsid w:val="00C642B6"/>
    <w:rsid w:val="00C6479D"/>
    <w:rsid w:val="00C648AC"/>
    <w:rsid w:val="00C65140"/>
    <w:rsid w:val="00C65336"/>
    <w:rsid w:val="00C65D22"/>
    <w:rsid w:val="00C6660B"/>
    <w:rsid w:val="00C666DD"/>
    <w:rsid w:val="00C66758"/>
    <w:rsid w:val="00C668E8"/>
    <w:rsid w:val="00C66B33"/>
    <w:rsid w:val="00C66CF0"/>
    <w:rsid w:val="00C67029"/>
    <w:rsid w:val="00C6714B"/>
    <w:rsid w:val="00C6734C"/>
    <w:rsid w:val="00C67603"/>
    <w:rsid w:val="00C678DC"/>
    <w:rsid w:val="00C67C2A"/>
    <w:rsid w:val="00C67C61"/>
    <w:rsid w:val="00C70182"/>
    <w:rsid w:val="00C701F5"/>
    <w:rsid w:val="00C70382"/>
    <w:rsid w:val="00C705E4"/>
    <w:rsid w:val="00C7062D"/>
    <w:rsid w:val="00C70786"/>
    <w:rsid w:val="00C7081B"/>
    <w:rsid w:val="00C71635"/>
    <w:rsid w:val="00C721C5"/>
    <w:rsid w:val="00C721E8"/>
    <w:rsid w:val="00C732D1"/>
    <w:rsid w:val="00C734A5"/>
    <w:rsid w:val="00C73522"/>
    <w:rsid w:val="00C7376F"/>
    <w:rsid w:val="00C73B96"/>
    <w:rsid w:val="00C73C80"/>
    <w:rsid w:val="00C73F6D"/>
    <w:rsid w:val="00C74007"/>
    <w:rsid w:val="00C740A8"/>
    <w:rsid w:val="00C74238"/>
    <w:rsid w:val="00C7431F"/>
    <w:rsid w:val="00C747C4"/>
    <w:rsid w:val="00C747F0"/>
    <w:rsid w:val="00C74A14"/>
    <w:rsid w:val="00C74A5B"/>
    <w:rsid w:val="00C74AF6"/>
    <w:rsid w:val="00C74D6F"/>
    <w:rsid w:val="00C74F1F"/>
    <w:rsid w:val="00C74FA8"/>
    <w:rsid w:val="00C755C2"/>
    <w:rsid w:val="00C75A98"/>
    <w:rsid w:val="00C75E0F"/>
    <w:rsid w:val="00C75ECC"/>
    <w:rsid w:val="00C75FD7"/>
    <w:rsid w:val="00C76228"/>
    <w:rsid w:val="00C762BE"/>
    <w:rsid w:val="00C763B6"/>
    <w:rsid w:val="00C765D7"/>
    <w:rsid w:val="00C766E2"/>
    <w:rsid w:val="00C76A60"/>
    <w:rsid w:val="00C76C56"/>
    <w:rsid w:val="00C76CF8"/>
    <w:rsid w:val="00C76EEC"/>
    <w:rsid w:val="00C77610"/>
    <w:rsid w:val="00C77B60"/>
    <w:rsid w:val="00C77B9A"/>
    <w:rsid w:val="00C77E4B"/>
    <w:rsid w:val="00C80A7E"/>
    <w:rsid w:val="00C80C19"/>
    <w:rsid w:val="00C80C33"/>
    <w:rsid w:val="00C80C5B"/>
    <w:rsid w:val="00C81244"/>
    <w:rsid w:val="00C819F3"/>
    <w:rsid w:val="00C81E90"/>
    <w:rsid w:val="00C81F1E"/>
    <w:rsid w:val="00C828EF"/>
    <w:rsid w:val="00C82C71"/>
    <w:rsid w:val="00C82FD5"/>
    <w:rsid w:val="00C83676"/>
    <w:rsid w:val="00C83B22"/>
    <w:rsid w:val="00C83D26"/>
    <w:rsid w:val="00C845B7"/>
    <w:rsid w:val="00C85395"/>
    <w:rsid w:val="00C858A1"/>
    <w:rsid w:val="00C85E16"/>
    <w:rsid w:val="00C85F1E"/>
    <w:rsid w:val="00C8600E"/>
    <w:rsid w:val="00C86450"/>
    <w:rsid w:val="00C86505"/>
    <w:rsid w:val="00C86F92"/>
    <w:rsid w:val="00C8742E"/>
    <w:rsid w:val="00C874D1"/>
    <w:rsid w:val="00C87FB3"/>
    <w:rsid w:val="00C900BD"/>
    <w:rsid w:val="00C902AA"/>
    <w:rsid w:val="00C9058E"/>
    <w:rsid w:val="00C90811"/>
    <w:rsid w:val="00C908D4"/>
    <w:rsid w:val="00C909AB"/>
    <w:rsid w:val="00C914C5"/>
    <w:rsid w:val="00C91540"/>
    <w:rsid w:val="00C91584"/>
    <w:rsid w:val="00C9158B"/>
    <w:rsid w:val="00C91703"/>
    <w:rsid w:val="00C91B1E"/>
    <w:rsid w:val="00C91C28"/>
    <w:rsid w:val="00C920E6"/>
    <w:rsid w:val="00C923FF"/>
    <w:rsid w:val="00C926E2"/>
    <w:rsid w:val="00C92C19"/>
    <w:rsid w:val="00C936A8"/>
    <w:rsid w:val="00C93AA0"/>
    <w:rsid w:val="00C93F6A"/>
    <w:rsid w:val="00C94090"/>
    <w:rsid w:val="00C9422C"/>
    <w:rsid w:val="00C94656"/>
    <w:rsid w:val="00C946FE"/>
    <w:rsid w:val="00C949F5"/>
    <w:rsid w:val="00C94BFD"/>
    <w:rsid w:val="00C94FBE"/>
    <w:rsid w:val="00C95433"/>
    <w:rsid w:val="00C95F0C"/>
    <w:rsid w:val="00C96153"/>
    <w:rsid w:val="00C96222"/>
    <w:rsid w:val="00C96753"/>
    <w:rsid w:val="00C967E9"/>
    <w:rsid w:val="00C96891"/>
    <w:rsid w:val="00C96AAA"/>
    <w:rsid w:val="00C96C67"/>
    <w:rsid w:val="00C96D6C"/>
    <w:rsid w:val="00C96F25"/>
    <w:rsid w:val="00C97657"/>
    <w:rsid w:val="00CA1166"/>
    <w:rsid w:val="00CA117C"/>
    <w:rsid w:val="00CA13D3"/>
    <w:rsid w:val="00CA1566"/>
    <w:rsid w:val="00CA1759"/>
    <w:rsid w:val="00CA178C"/>
    <w:rsid w:val="00CA18A7"/>
    <w:rsid w:val="00CA1A2F"/>
    <w:rsid w:val="00CA1D01"/>
    <w:rsid w:val="00CA1DB7"/>
    <w:rsid w:val="00CA1F0E"/>
    <w:rsid w:val="00CA24EC"/>
    <w:rsid w:val="00CA2AD6"/>
    <w:rsid w:val="00CA2E0C"/>
    <w:rsid w:val="00CA2E81"/>
    <w:rsid w:val="00CA2FBC"/>
    <w:rsid w:val="00CA3229"/>
    <w:rsid w:val="00CA336D"/>
    <w:rsid w:val="00CA3407"/>
    <w:rsid w:val="00CA34F9"/>
    <w:rsid w:val="00CA3BD2"/>
    <w:rsid w:val="00CA3EA8"/>
    <w:rsid w:val="00CA40F5"/>
    <w:rsid w:val="00CA41B8"/>
    <w:rsid w:val="00CA4545"/>
    <w:rsid w:val="00CA460D"/>
    <w:rsid w:val="00CA4884"/>
    <w:rsid w:val="00CA4C1F"/>
    <w:rsid w:val="00CA502B"/>
    <w:rsid w:val="00CA534F"/>
    <w:rsid w:val="00CA5450"/>
    <w:rsid w:val="00CA59B8"/>
    <w:rsid w:val="00CA61CC"/>
    <w:rsid w:val="00CA6653"/>
    <w:rsid w:val="00CA6EE9"/>
    <w:rsid w:val="00CA759D"/>
    <w:rsid w:val="00CA77E7"/>
    <w:rsid w:val="00CA7FBB"/>
    <w:rsid w:val="00CB0687"/>
    <w:rsid w:val="00CB08DC"/>
    <w:rsid w:val="00CB114A"/>
    <w:rsid w:val="00CB1C2D"/>
    <w:rsid w:val="00CB1CA5"/>
    <w:rsid w:val="00CB1CC6"/>
    <w:rsid w:val="00CB22E9"/>
    <w:rsid w:val="00CB2443"/>
    <w:rsid w:val="00CB2579"/>
    <w:rsid w:val="00CB2AB7"/>
    <w:rsid w:val="00CB2B01"/>
    <w:rsid w:val="00CB2D0D"/>
    <w:rsid w:val="00CB2F49"/>
    <w:rsid w:val="00CB33B9"/>
    <w:rsid w:val="00CB357C"/>
    <w:rsid w:val="00CB36F4"/>
    <w:rsid w:val="00CB3886"/>
    <w:rsid w:val="00CB395E"/>
    <w:rsid w:val="00CB4229"/>
    <w:rsid w:val="00CB43FE"/>
    <w:rsid w:val="00CB4520"/>
    <w:rsid w:val="00CB45F8"/>
    <w:rsid w:val="00CB4A05"/>
    <w:rsid w:val="00CB4BB7"/>
    <w:rsid w:val="00CB4FA9"/>
    <w:rsid w:val="00CB5179"/>
    <w:rsid w:val="00CB5968"/>
    <w:rsid w:val="00CB5D45"/>
    <w:rsid w:val="00CB6AFC"/>
    <w:rsid w:val="00CB6E70"/>
    <w:rsid w:val="00CB6ED8"/>
    <w:rsid w:val="00CB7E6A"/>
    <w:rsid w:val="00CB7EB0"/>
    <w:rsid w:val="00CB7ECA"/>
    <w:rsid w:val="00CB7F5E"/>
    <w:rsid w:val="00CC0119"/>
    <w:rsid w:val="00CC091C"/>
    <w:rsid w:val="00CC0B00"/>
    <w:rsid w:val="00CC0B5F"/>
    <w:rsid w:val="00CC10BA"/>
    <w:rsid w:val="00CC11E1"/>
    <w:rsid w:val="00CC1517"/>
    <w:rsid w:val="00CC18F8"/>
    <w:rsid w:val="00CC1CFC"/>
    <w:rsid w:val="00CC29B3"/>
    <w:rsid w:val="00CC2A97"/>
    <w:rsid w:val="00CC2BDE"/>
    <w:rsid w:val="00CC2F9B"/>
    <w:rsid w:val="00CC31EC"/>
    <w:rsid w:val="00CC343C"/>
    <w:rsid w:val="00CC3E96"/>
    <w:rsid w:val="00CC43B2"/>
    <w:rsid w:val="00CC4718"/>
    <w:rsid w:val="00CC4791"/>
    <w:rsid w:val="00CC54F6"/>
    <w:rsid w:val="00CC5707"/>
    <w:rsid w:val="00CC5A45"/>
    <w:rsid w:val="00CC5BE8"/>
    <w:rsid w:val="00CC5EEF"/>
    <w:rsid w:val="00CC5F43"/>
    <w:rsid w:val="00CC6190"/>
    <w:rsid w:val="00CC6300"/>
    <w:rsid w:val="00CC65DB"/>
    <w:rsid w:val="00CC67D4"/>
    <w:rsid w:val="00CC71DF"/>
    <w:rsid w:val="00CC731B"/>
    <w:rsid w:val="00CC73DB"/>
    <w:rsid w:val="00CC7676"/>
    <w:rsid w:val="00CC7832"/>
    <w:rsid w:val="00CC7B75"/>
    <w:rsid w:val="00CC7D03"/>
    <w:rsid w:val="00CC7E21"/>
    <w:rsid w:val="00CC7FA6"/>
    <w:rsid w:val="00CC7FEC"/>
    <w:rsid w:val="00CD08A7"/>
    <w:rsid w:val="00CD0A0D"/>
    <w:rsid w:val="00CD0DA0"/>
    <w:rsid w:val="00CD102F"/>
    <w:rsid w:val="00CD1112"/>
    <w:rsid w:val="00CD1A91"/>
    <w:rsid w:val="00CD1F29"/>
    <w:rsid w:val="00CD259B"/>
    <w:rsid w:val="00CD2779"/>
    <w:rsid w:val="00CD2AE7"/>
    <w:rsid w:val="00CD2E4B"/>
    <w:rsid w:val="00CD3465"/>
    <w:rsid w:val="00CD3C1D"/>
    <w:rsid w:val="00CD420A"/>
    <w:rsid w:val="00CD42BB"/>
    <w:rsid w:val="00CD42D7"/>
    <w:rsid w:val="00CD490E"/>
    <w:rsid w:val="00CD4AB7"/>
    <w:rsid w:val="00CD5284"/>
    <w:rsid w:val="00CD5946"/>
    <w:rsid w:val="00CD5BD2"/>
    <w:rsid w:val="00CD6279"/>
    <w:rsid w:val="00CD640D"/>
    <w:rsid w:val="00CD6A39"/>
    <w:rsid w:val="00CD6B96"/>
    <w:rsid w:val="00CD6CA0"/>
    <w:rsid w:val="00CD6E11"/>
    <w:rsid w:val="00CD7156"/>
    <w:rsid w:val="00CD71C6"/>
    <w:rsid w:val="00CE035E"/>
    <w:rsid w:val="00CE0A5A"/>
    <w:rsid w:val="00CE1164"/>
    <w:rsid w:val="00CE1948"/>
    <w:rsid w:val="00CE1BBC"/>
    <w:rsid w:val="00CE1CBE"/>
    <w:rsid w:val="00CE1D3C"/>
    <w:rsid w:val="00CE1EB8"/>
    <w:rsid w:val="00CE1F5A"/>
    <w:rsid w:val="00CE209D"/>
    <w:rsid w:val="00CE214F"/>
    <w:rsid w:val="00CE272F"/>
    <w:rsid w:val="00CE277A"/>
    <w:rsid w:val="00CE2D7F"/>
    <w:rsid w:val="00CE3238"/>
    <w:rsid w:val="00CE3279"/>
    <w:rsid w:val="00CE339A"/>
    <w:rsid w:val="00CE3400"/>
    <w:rsid w:val="00CE3C63"/>
    <w:rsid w:val="00CE3FA9"/>
    <w:rsid w:val="00CE4184"/>
    <w:rsid w:val="00CE4A76"/>
    <w:rsid w:val="00CE4A97"/>
    <w:rsid w:val="00CE4DE4"/>
    <w:rsid w:val="00CE54B7"/>
    <w:rsid w:val="00CE55E8"/>
    <w:rsid w:val="00CE568E"/>
    <w:rsid w:val="00CE5A69"/>
    <w:rsid w:val="00CE5D76"/>
    <w:rsid w:val="00CE5F7A"/>
    <w:rsid w:val="00CE6082"/>
    <w:rsid w:val="00CE6092"/>
    <w:rsid w:val="00CE61A8"/>
    <w:rsid w:val="00CE67CA"/>
    <w:rsid w:val="00CE6D96"/>
    <w:rsid w:val="00CE735B"/>
    <w:rsid w:val="00CE7BD0"/>
    <w:rsid w:val="00CF0247"/>
    <w:rsid w:val="00CF0275"/>
    <w:rsid w:val="00CF036F"/>
    <w:rsid w:val="00CF063E"/>
    <w:rsid w:val="00CF065E"/>
    <w:rsid w:val="00CF0F21"/>
    <w:rsid w:val="00CF12E0"/>
    <w:rsid w:val="00CF1AFB"/>
    <w:rsid w:val="00CF1F26"/>
    <w:rsid w:val="00CF1F68"/>
    <w:rsid w:val="00CF210C"/>
    <w:rsid w:val="00CF26A1"/>
    <w:rsid w:val="00CF27B4"/>
    <w:rsid w:val="00CF2A9A"/>
    <w:rsid w:val="00CF2D24"/>
    <w:rsid w:val="00CF2EBB"/>
    <w:rsid w:val="00CF328F"/>
    <w:rsid w:val="00CF3444"/>
    <w:rsid w:val="00CF3659"/>
    <w:rsid w:val="00CF36DC"/>
    <w:rsid w:val="00CF3C71"/>
    <w:rsid w:val="00CF3F6E"/>
    <w:rsid w:val="00CF4C20"/>
    <w:rsid w:val="00CF5159"/>
    <w:rsid w:val="00CF5652"/>
    <w:rsid w:val="00CF57B2"/>
    <w:rsid w:val="00CF5C3A"/>
    <w:rsid w:val="00CF5C7A"/>
    <w:rsid w:val="00CF5D7B"/>
    <w:rsid w:val="00CF603F"/>
    <w:rsid w:val="00CF68B1"/>
    <w:rsid w:val="00CF6922"/>
    <w:rsid w:val="00CF6C84"/>
    <w:rsid w:val="00CF6C95"/>
    <w:rsid w:val="00CF6D76"/>
    <w:rsid w:val="00CF6FD8"/>
    <w:rsid w:val="00CF7A36"/>
    <w:rsid w:val="00CF7D01"/>
    <w:rsid w:val="00D0030C"/>
    <w:rsid w:val="00D0046C"/>
    <w:rsid w:val="00D00689"/>
    <w:rsid w:val="00D007B2"/>
    <w:rsid w:val="00D008D4"/>
    <w:rsid w:val="00D00C59"/>
    <w:rsid w:val="00D0138C"/>
    <w:rsid w:val="00D013DA"/>
    <w:rsid w:val="00D01545"/>
    <w:rsid w:val="00D015FC"/>
    <w:rsid w:val="00D01806"/>
    <w:rsid w:val="00D018FD"/>
    <w:rsid w:val="00D019D3"/>
    <w:rsid w:val="00D01B4F"/>
    <w:rsid w:val="00D02103"/>
    <w:rsid w:val="00D02183"/>
    <w:rsid w:val="00D026E7"/>
    <w:rsid w:val="00D02A71"/>
    <w:rsid w:val="00D02EC5"/>
    <w:rsid w:val="00D02F06"/>
    <w:rsid w:val="00D033CA"/>
    <w:rsid w:val="00D03652"/>
    <w:rsid w:val="00D039FC"/>
    <w:rsid w:val="00D03D23"/>
    <w:rsid w:val="00D0452E"/>
    <w:rsid w:val="00D04B0B"/>
    <w:rsid w:val="00D05123"/>
    <w:rsid w:val="00D05416"/>
    <w:rsid w:val="00D054BD"/>
    <w:rsid w:val="00D05502"/>
    <w:rsid w:val="00D056C0"/>
    <w:rsid w:val="00D05892"/>
    <w:rsid w:val="00D0589B"/>
    <w:rsid w:val="00D058A3"/>
    <w:rsid w:val="00D058F8"/>
    <w:rsid w:val="00D05C75"/>
    <w:rsid w:val="00D05F26"/>
    <w:rsid w:val="00D06068"/>
    <w:rsid w:val="00D060F3"/>
    <w:rsid w:val="00D06131"/>
    <w:rsid w:val="00D069F6"/>
    <w:rsid w:val="00D06BA2"/>
    <w:rsid w:val="00D06DE5"/>
    <w:rsid w:val="00D0713A"/>
    <w:rsid w:val="00D07346"/>
    <w:rsid w:val="00D0770C"/>
    <w:rsid w:val="00D07793"/>
    <w:rsid w:val="00D078B3"/>
    <w:rsid w:val="00D079ED"/>
    <w:rsid w:val="00D07D86"/>
    <w:rsid w:val="00D07F22"/>
    <w:rsid w:val="00D101A8"/>
    <w:rsid w:val="00D10310"/>
    <w:rsid w:val="00D10510"/>
    <w:rsid w:val="00D10855"/>
    <w:rsid w:val="00D10A3A"/>
    <w:rsid w:val="00D10B5B"/>
    <w:rsid w:val="00D10BA1"/>
    <w:rsid w:val="00D10C67"/>
    <w:rsid w:val="00D10CAE"/>
    <w:rsid w:val="00D10D39"/>
    <w:rsid w:val="00D10DA8"/>
    <w:rsid w:val="00D10FB6"/>
    <w:rsid w:val="00D1112F"/>
    <w:rsid w:val="00D11669"/>
    <w:rsid w:val="00D1184C"/>
    <w:rsid w:val="00D11856"/>
    <w:rsid w:val="00D11A2C"/>
    <w:rsid w:val="00D11BDF"/>
    <w:rsid w:val="00D11FA5"/>
    <w:rsid w:val="00D124E5"/>
    <w:rsid w:val="00D12ACC"/>
    <w:rsid w:val="00D13044"/>
    <w:rsid w:val="00D13526"/>
    <w:rsid w:val="00D13655"/>
    <w:rsid w:val="00D13749"/>
    <w:rsid w:val="00D13A28"/>
    <w:rsid w:val="00D13A7B"/>
    <w:rsid w:val="00D13CD3"/>
    <w:rsid w:val="00D14121"/>
    <w:rsid w:val="00D14427"/>
    <w:rsid w:val="00D147A8"/>
    <w:rsid w:val="00D14A4A"/>
    <w:rsid w:val="00D14D48"/>
    <w:rsid w:val="00D14E8A"/>
    <w:rsid w:val="00D14EE7"/>
    <w:rsid w:val="00D14F29"/>
    <w:rsid w:val="00D14F40"/>
    <w:rsid w:val="00D15210"/>
    <w:rsid w:val="00D15362"/>
    <w:rsid w:val="00D15591"/>
    <w:rsid w:val="00D15692"/>
    <w:rsid w:val="00D1570C"/>
    <w:rsid w:val="00D1655E"/>
    <w:rsid w:val="00D16623"/>
    <w:rsid w:val="00D16A40"/>
    <w:rsid w:val="00D16DEC"/>
    <w:rsid w:val="00D16E03"/>
    <w:rsid w:val="00D1715D"/>
    <w:rsid w:val="00D17B79"/>
    <w:rsid w:val="00D17DA5"/>
    <w:rsid w:val="00D17F9A"/>
    <w:rsid w:val="00D205CE"/>
    <w:rsid w:val="00D2063C"/>
    <w:rsid w:val="00D2084B"/>
    <w:rsid w:val="00D20BB8"/>
    <w:rsid w:val="00D21479"/>
    <w:rsid w:val="00D214E7"/>
    <w:rsid w:val="00D21524"/>
    <w:rsid w:val="00D21CA0"/>
    <w:rsid w:val="00D21CD3"/>
    <w:rsid w:val="00D21E8A"/>
    <w:rsid w:val="00D2267C"/>
    <w:rsid w:val="00D22895"/>
    <w:rsid w:val="00D23179"/>
    <w:rsid w:val="00D2333E"/>
    <w:rsid w:val="00D23A71"/>
    <w:rsid w:val="00D23D0E"/>
    <w:rsid w:val="00D23DE1"/>
    <w:rsid w:val="00D25604"/>
    <w:rsid w:val="00D25630"/>
    <w:rsid w:val="00D256E0"/>
    <w:rsid w:val="00D25726"/>
    <w:rsid w:val="00D257D7"/>
    <w:rsid w:val="00D25956"/>
    <w:rsid w:val="00D25B8C"/>
    <w:rsid w:val="00D26CE6"/>
    <w:rsid w:val="00D26FC2"/>
    <w:rsid w:val="00D270B3"/>
    <w:rsid w:val="00D270C2"/>
    <w:rsid w:val="00D27135"/>
    <w:rsid w:val="00D2739A"/>
    <w:rsid w:val="00D27CB2"/>
    <w:rsid w:val="00D27FF2"/>
    <w:rsid w:val="00D30567"/>
    <w:rsid w:val="00D30CFC"/>
    <w:rsid w:val="00D30DFC"/>
    <w:rsid w:val="00D30F5F"/>
    <w:rsid w:val="00D31166"/>
    <w:rsid w:val="00D316B2"/>
    <w:rsid w:val="00D31FB6"/>
    <w:rsid w:val="00D32195"/>
    <w:rsid w:val="00D3293F"/>
    <w:rsid w:val="00D32C5C"/>
    <w:rsid w:val="00D32E8E"/>
    <w:rsid w:val="00D330A7"/>
    <w:rsid w:val="00D33354"/>
    <w:rsid w:val="00D33742"/>
    <w:rsid w:val="00D33F14"/>
    <w:rsid w:val="00D34079"/>
    <w:rsid w:val="00D34347"/>
    <w:rsid w:val="00D34367"/>
    <w:rsid w:val="00D34502"/>
    <w:rsid w:val="00D346A0"/>
    <w:rsid w:val="00D34734"/>
    <w:rsid w:val="00D34820"/>
    <w:rsid w:val="00D3542A"/>
    <w:rsid w:val="00D354C5"/>
    <w:rsid w:val="00D35C58"/>
    <w:rsid w:val="00D35F49"/>
    <w:rsid w:val="00D35F5A"/>
    <w:rsid w:val="00D3659C"/>
    <w:rsid w:val="00D36952"/>
    <w:rsid w:val="00D3697A"/>
    <w:rsid w:val="00D370E5"/>
    <w:rsid w:val="00D37164"/>
    <w:rsid w:val="00D374AD"/>
    <w:rsid w:val="00D37659"/>
    <w:rsid w:val="00D4014E"/>
    <w:rsid w:val="00D4019B"/>
    <w:rsid w:val="00D40820"/>
    <w:rsid w:val="00D41403"/>
    <w:rsid w:val="00D415A3"/>
    <w:rsid w:val="00D41678"/>
    <w:rsid w:val="00D41D4C"/>
    <w:rsid w:val="00D41FB8"/>
    <w:rsid w:val="00D42003"/>
    <w:rsid w:val="00D4264E"/>
    <w:rsid w:val="00D42A70"/>
    <w:rsid w:val="00D43AC8"/>
    <w:rsid w:val="00D43C10"/>
    <w:rsid w:val="00D43C58"/>
    <w:rsid w:val="00D43CDD"/>
    <w:rsid w:val="00D43D05"/>
    <w:rsid w:val="00D44334"/>
    <w:rsid w:val="00D4438B"/>
    <w:rsid w:val="00D4447C"/>
    <w:rsid w:val="00D44859"/>
    <w:rsid w:val="00D44C91"/>
    <w:rsid w:val="00D44FC4"/>
    <w:rsid w:val="00D456F2"/>
    <w:rsid w:val="00D45A41"/>
    <w:rsid w:val="00D45E5B"/>
    <w:rsid w:val="00D460F1"/>
    <w:rsid w:val="00D46251"/>
    <w:rsid w:val="00D468F2"/>
    <w:rsid w:val="00D46BBB"/>
    <w:rsid w:val="00D46E6D"/>
    <w:rsid w:val="00D472AF"/>
    <w:rsid w:val="00D4738C"/>
    <w:rsid w:val="00D4761C"/>
    <w:rsid w:val="00D478CD"/>
    <w:rsid w:val="00D47C8E"/>
    <w:rsid w:val="00D47FF7"/>
    <w:rsid w:val="00D500BD"/>
    <w:rsid w:val="00D50180"/>
    <w:rsid w:val="00D503C0"/>
    <w:rsid w:val="00D5044B"/>
    <w:rsid w:val="00D50917"/>
    <w:rsid w:val="00D519BB"/>
    <w:rsid w:val="00D51B82"/>
    <w:rsid w:val="00D51DD0"/>
    <w:rsid w:val="00D51F07"/>
    <w:rsid w:val="00D51FA4"/>
    <w:rsid w:val="00D536EF"/>
    <w:rsid w:val="00D538D4"/>
    <w:rsid w:val="00D538D8"/>
    <w:rsid w:val="00D54965"/>
    <w:rsid w:val="00D54BF4"/>
    <w:rsid w:val="00D54DBF"/>
    <w:rsid w:val="00D5556B"/>
    <w:rsid w:val="00D55663"/>
    <w:rsid w:val="00D5594A"/>
    <w:rsid w:val="00D55CDD"/>
    <w:rsid w:val="00D562FC"/>
    <w:rsid w:val="00D5669A"/>
    <w:rsid w:val="00D56808"/>
    <w:rsid w:val="00D56AAD"/>
    <w:rsid w:val="00D56B18"/>
    <w:rsid w:val="00D57193"/>
    <w:rsid w:val="00D572C3"/>
    <w:rsid w:val="00D573B4"/>
    <w:rsid w:val="00D5745E"/>
    <w:rsid w:val="00D60692"/>
    <w:rsid w:val="00D6071B"/>
    <w:rsid w:val="00D607FB"/>
    <w:rsid w:val="00D60AAE"/>
    <w:rsid w:val="00D60C8F"/>
    <w:rsid w:val="00D60D93"/>
    <w:rsid w:val="00D60FA5"/>
    <w:rsid w:val="00D61069"/>
    <w:rsid w:val="00D610F3"/>
    <w:rsid w:val="00D6110B"/>
    <w:rsid w:val="00D61148"/>
    <w:rsid w:val="00D611A6"/>
    <w:rsid w:val="00D6183E"/>
    <w:rsid w:val="00D619CF"/>
    <w:rsid w:val="00D61ABC"/>
    <w:rsid w:val="00D61BDD"/>
    <w:rsid w:val="00D61CA4"/>
    <w:rsid w:val="00D6249A"/>
    <w:rsid w:val="00D62F30"/>
    <w:rsid w:val="00D6301D"/>
    <w:rsid w:val="00D632E4"/>
    <w:rsid w:val="00D63475"/>
    <w:rsid w:val="00D63796"/>
    <w:rsid w:val="00D639B5"/>
    <w:rsid w:val="00D63A6C"/>
    <w:rsid w:val="00D63B3E"/>
    <w:rsid w:val="00D63CBE"/>
    <w:rsid w:val="00D63D48"/>
    <w:rsid w:val="00D63F84"/>
    <w:rsid w:val="00D6449A"/>
    <w:rsid w:val="00D64748"/>
    <w:rsid w:val="00D647A4"/>
    <w:rsid w:val="00D64989"/>
    <w:rsid w:val="00D64FD1"/>
    <w:rsid w:val="00D65004"/>
    <w:rsid w:val="00D65096"/>
    <w:rsid w:val="00D6546E"/>
    <w:rsid w:val="00D6579A"/>
    <w:rsid w:val="00D6586A"/>
    <w:rsid w:val="00D65ABC"/>
    <w:rsid w:val="00D65B43"/>
    <w:rsid w:val="00D65C51"/>
    <w:rsid w:val="00D65E3A"/>
    <w:rsid w:val="00D66196"/>
    <w:rsid w:val="00D66A56"/>
    <w:rsid w:val="00D66B22"/>
    <w:rsid w:val="00D66BCB"/>
    <w:rsid w:val="00D67001"/>
    <w:rsid w:val="00D67569"/>
    <w:rsid w:val="00D6783D"/>
    <w:rsid w:val="00D67BAA"/>
    <w:rsid w:val="00D70537"/>
    <w:rsid w:val="00D7066E"/>
    <w:rsid w:val="00D70792"/>
    <w:rsid w:val="00D70C58"/>
    <w:rsid w:val="00D710A9"/>
    <w:rsid w:val="00D71424"/>
    <w:rsid w:val="00D7153E"/>
    <w:rsid w:val="00D71F72"/>
    <w:rsid w:val="00D72A3E"/>
    <w:rsid w:val="00D72BC8"/>
    <w:rsid w:val="00D72D57"/>
    <w:rsid w:val="00D7356A"/>
    <w:rsid w:val="00D7378B"/>
    <w:rsid w:val="00D73C62"/>
    <w:rsid w:val="00D73E90"/>
    <w:rsid w:val="00D73FCA"/>
    <w:rsid w:val="00D74584"/>
    <w:rsid w:val="00D747A7"/>
    <w:rsid w:val="00D75298"/>
    <w:rsid w:val="00D754C9"/>
    <w:rsid w:val="00D75664"/>
    <w:rsid w:val="00D75704"/>
    <w:rsid w:val="00D7587C"/>
    <w:rsid w:val="00D75A93"/>
    <w:rsid w:val="00D75FF5"/>
    <w:rsid w:val="00D76242"/>
    <w:rsid w:val="00D764E7"/>
    <w:rsid w:val="00D76EF0"/>
    <w:rsid w:val="00D779E9"/>
    <w:rsid w:val="00D77B8F"/>
    <w:rsid w:val="00D77C22"/>
    <w:rsid w:val="00D805E0"/>
    <w:rsid w:val="00D80648"/>
    <w:rsid w:val="00D809C1"/>
    <w:rsid w:val="00D80B5C"/>
    <w:rsid w:val="00D80BAD"/>
    <w:rsid w:val="00D80D2C"/>
    <w:rsid w:val="00D80DD3"/>
    <w:rsid w:val="00D8168B"/>
    <w:rsid w:val="00D81894"/>
    <w:rsid w:val="00D81954"/>
    <w:rsid w:val="00D82181"/>
    <w:rsid w:val="00D824DF"/>
    <w:rsid w:val="00D82A76"/>
    <w:rsid w:val="00D82C6F"/>
    <w:rsid w:val="00D83191"/>
    <w:rsid w:val="00D8336B"/>
    <w:rsid w:val="00D834D2"/>
    <w:rsid w:val="00D83512"/>
    <w:rsid w:val="00D835CD"/>
    <w:rsid w:val="00D83A6A"/>
    <w:rsid w:val="00D841D6"/>
    <w:rsid w:val="00D84DD7"/>
    <w:rsid w:val="00D85A44"/>
    <w:rsid w:val="00D86022"/>
    <w:rsid w:val="00D8613A"/>
    <w:rsid w:val="00D862B0"/>
    <w:rsid w:val="00D86B2E"/>
    <w:rsid w:val="00D86BBA"/>
    <w:rsid w:val="00D86DB1"/>
    <w:rsid w:val="00D86FCF"/>
    <w:rsid w:val="00D872C1"/>
    <w:rsid w:val="00D874AE"/>
    <w:rsid w:val="00D875FA"/>
    <w:rsid w:val="00D87830"/>
    <w:rsid w:val="00D87866"/>
    <w:rsid w:val="00D87A96"/>
    <w:rsid w:val="00D87E3C"/>
    <w:rsid w:val="00D9006A"/>
    <w:rsid w:val="00D902A0"/>
    <w:rsid w:val="00D9044A"/>
    <w:rsid w:val="00D904EC"/>
    <w:rsid w:val="00D906BB"/>
    <w:rsid w:val="00D90929"/>
    <w:rsid w:val="00D90BFB"/>
    <w:rsid w:val="00D910FE"/>
    <w:rsid w:val="00D915B7"/>
    <w:rsid w:val="00D91CEB"/>
    <w:rsid w:val="00D91F7E"/>
    <w:rsid w:val="00D9204D"/>
    <w:rsid w:val="00D9209C"/>
    <w:rsid w:val="00D92B1C"/>
    <w:rsid w:val="00D92BF6"/>
    <w:rsid w:val="00D9306E"/>
    <w:rsid w:val="00D93171"/>
    <w:rsid w:val="00D93194"/>
    <w:rsid w:val="00D931C3"/>
    <w:rsid w:val="00D936E6"/>
    <w:rsid w:val="00D93E1C"/>
    <w:rsid w:val="00D943AD"/>
    <w:rsid w:val="00D9474B"/>
    <w:rsid w:val="00D94C85"/>
    <w:rsid w:val="00D94DC8"/>
    <w:rsid w:val="00D94F7E"/>
    <w:rsid w:val="00D9517F"/>
    <w:rsid w:val="00D951D4"/>
    <w:rsid w:val="00D95B90"/>
    <w:rsid w:val="00D95DEE"/>
    <w:rsid w:val="00D96B03"/>
    <w:rsid w:val="00D9720D"/>
    <w:rsid w:val="00D972DF"/>
    <w:rsid w:val="00D9736C"/>
    <w:rsid w:val="00D9742F"/>
    <w:rsid w:val="00D9746A"/>
    <w:rsid w:val="00D97711"/>
    <w:rsid w:val="00D97B01"/>
    <w:rsid w:val="00D97C41"/>
    <w:rsid w:val="00DA066E"/>
    <w:rsid w:val="00DA0680"/>
    <w:rsid w:val="00DA09FE"/>
    <w:rsid w:val="00DA0D82"/>
    <w:rsid w:val="00DA12FA"/>
    <w:rsid w:val="00DA150F"/>
    <w:rsid w:val="00DA172A"/>
    <w:rsid w:val="00DA1753"/>
    <w:rsid w:val="00DA1F6B"/>
    <w:rsid w:val="00DA1F8E"/>
    <w:rsid w:val="00DA1F99"/>
    <w:rsid w:val="00DA204C"/>
    <w:rsid w:val="00DA2694"/>
    <w:rsid w:val="00DA2A2F"/>
    <w:rsid w:val="00DA2BA1"/>
    <w:rsid w:val="00DA3357"/>
    <w:rsid w:val="00DA362D"/>
    <w:rsid w:val="00DA41DF"/>
    <w:rsid w:val="00DA420B"/>
    <w:rsid w:val="00DA42A8"/>
    <w:rsid w:val="00DA49C5"/>
    <w:rsid w:val="00DA4A20"/>
    <w:rsid w:val="00DA4C01"/>
    <w:rsid w:val="00DA4D6A"/>
    <w:rsid w:val="00DA4F0F"/>
    <w:rsid w:val="00DA5902"/>
    <w:rsid w:val="00DA5A49"/>
    <w:rsid w:val="00DA6459"/>
    <w:rsid w:val="00DA64FC"/>
    <w:rsid w:val="00DA6961"/>
    <w:rsid w:val="00DA6A1D"/>
    <w:rsid w:val="00DA6B4E"/>
    <w:rsid w:val="00DA6F2A"/>
    <w:rsid w:val="00DA70A2"/>
    <w:rsid w:val="00DA714B"/>
    <w:rsid w:val="00DA71E9"/>
    <w:rsid w:val="00DA7502"/>
    <w:rsid w:val="00DA75D8"/>
    <w:rsid w:val="00DA7A4B"/>
    <w:rsid w:val="00DA7ACC"/>
    <w:rsid w:val="00DA7B2F"/>
    <w:rsid w:val="00DB02E2"/>
    <w:rsid w:val="00DB0825"/>
    <w:rsid w:val="00DB0DA0"/>
    <w:rsid w:val="00DB0F93"/>
    <w:rsid w:val="00DB1319"/>
    <w:rsid w:val="00DB17F5"/>
    <w:rsid w:val="00DB1CB7"/>
    <w:rsid w:val="00DB1FC0"/>
    <w:rsid w:val="00DB2118"/>
    <w:rsid w:val="00DB230F"/>
    <w:rsid w:val="00DB278D"/>
    <w:rsid w:val="00DB29C0"/>
    <w:rsid w:val="00DB2A8D"/>
    <w:rsid w:val="00DB2AD1"/>
    <w:rsid w:val="00DB2C25"/>
    <w:rsid w:val="00DB2F5C"/>
    <w:rsid w:val="00DB338F"/>
    <w:rsid w:val="00DB365E"/>
    <w:rsid w:val="00DB38A0"/>
    <w:rsid w:val="00DB3BD8"/>
    <w:rsid w:val="00DB3C59"/>
    <w:rsid w:val="00DB3CBC"/>
    <w:rsid w:val="00DB3EF9"/>
    <w:rsid w:val="00DB4162"/>
    <w:rsid w:val="00DB43A5"/>
    <w:rsid w:val="00DB458B"/>
    <w:rsid w:val="00DB476B"/>
    <w:rsid w:val="00DB49DE"/>
    <w:rsid w:val="00DB4C00"/>
    <w:rsid w:val="00DB4EA5"/>
    <w:rsid w:val="00DB571D"/>
    <w:rsid w:val="00DB57A6"/>
    <w:rsid w:val="00DB59FD"/>
    <w:rsid w:val="00DB5A9B"/>
    <w:rsid w:val="00DB5CB0"/>
    <w:rsid w:val="00DB60EF"/>
    <w:rsid w:val="00DB6289"/>
    <w:rsid w:val="00DB62AD"/>
    <w:rsid w:val="00DB6631"/>
    <w:rsid w:val="00DB67A2"/>
    <w:rsid w:val="00DB690A"/>
    <w:rsid w:val="00DB6E34"/>
    <w:rsid w:val="00DB74A3"/>
    <w:rsid w:val="00DB788A"/>
    <w:rsid w:val="00DB79E5"/>
    <w:rsid w:val="00DB7AAA"/>
    <w:rsid w:val="00DB7AB1"/>
    <w:rsid w:val="00DB7B81"/>
    <w:rsid w:val="00DB7BC4"/>
    <w:rsid w:val="00DB7DE1"/>
    <w:rsid w:val="00DB7E45"/>
    <w:rsid w:val="00DC04E1"/>
    <w:rsid w:val="00DC0C74"/>
    <w:rsid w:val="00DC123C"/>
    <w:rsid w:val="00DC1A8B"/>
    <w:rsid w:val="00DC1D59"/>
    <w:rsid w:val="00DC206C"/>
    <w:rsid w:val="00DC228D"/>
    <w:rsid w:val="00DC2443"/>
    <w:rsid w:val="00DC24FB"/>
    <w:rsid w:val="00DC2514"/>
    <w:rsid w:val="00DC2573"/>
    <w:rsid w:val="00DC3078"/>
    <w:rsid w:val="00DC3267"/>
    <w:rsid w:val="00DC34EA"/>
    <w:rsid w:val="00DC35B3"/>
    <w:rsid w:val="00DC37BD"/>
    <w:rsid w:val="00DC3889"/>
    <w:rsid w:val="00DC3AEA"/>
    <w:rsid w:val="00DC3C8A"/>
    <w:rsid w:val="00DC40F2"/>
    <w:rsid w:val="00DC4118"/>
    <w:rsid w:val="00DC4361"/>
    <w:rsid w:val="00DC455B"/>
    <w:rsid w:val="00DC48CF"/>
    <w:rsid w:val="00DC4B81"/>
    <w:rsid w:val="00DC4B93"/>
    <w:rsid w:val="00DC501D"/>
    <w:rsid w:val="00DC5751"/>
    <w:rsid w:val="00DC5F11"/>
    <w:rsid w:val="00DC5FAE"/>
    <w:rsid w:val="00DC62BC"/>
    <w:rsid w:val="00DC6376"/>
    <w:rsid w:val="00DC6BD0"/>
    <w:rsid w:val="00DC6C10"/>
    <w:rsid w:val="00DC787B"/>
    <w:rsid w:val="00DC78B2"/>
    <w:rsid w:val="00DD031A"/>
    <w:rsid w:val="00DD09DC"/>
    <w:rsid w:val="00DD12E2"/>
    <w:rsid w:val="00DD16E7"/>
    <w:rsid w:val="00DD1C2D"/>
    <w:rsid w:val="00DD1CBF"/>
    <w:rsid w:val="00DD210E"/>
    <w:rsid w:val="00DD29F3"/>
    <w:rsid w:val="00DD2B93"/>
    <w:rsid w:val="00DD2D60"/>
    <w:rsid w:val="00DD3022"/>
    <w:rsid w:val="00DD319B"/>
    <w:rsid w:val="00DD3361"/>
    <w:rsid w:val="00DD37D5"/>
    <w:rsid w:val="00DD38FB"/>
    <w:rsid w:val="00DD397F"/>
    <w:rsid w:val="00DD3A09"/>
    <w:rsid w:val="00DD4200"/>
    <w:rsid w:val="00DD4625"/>
    <w:rsid w:val="00DD47D8"/>
    <w:rsid w:val="00DD482D"/>
    <w:rsid w:val="00DD48AC"/>
    <w:rsid w:val="00DD48B3"/>
    <w:rsid w:val="00DD49CF"/>
    <w:rsid w:val="00DD4A55"/>
    <w:rsid w:val="00DD54E0"/>
    <w:rsid w:val="00DD54FD"/>
    <w:rsid w:val="00DD5A6E"/>
    <w:rsid w:val="00DD5C06"/>
    <w:rsid w:val="00DD5DD0"/>
    <w:rsid w:val="00DD63FD"/>
    <w:rsid w:val="00DD6ACB"/>
    <w:rsid w:val="00DD6E3B"/>
    <w:rsid w:val="00DD6F13"/>
    <w:rsid w:val="00DD725C"/>
    <w:rsid w:val="00DD735B"/>
    <w:rsid w:val="00DD75DF"/>
    <w:rsid w:val="00DD7676"/>
    <w:rsid w:val="00DD7E84"/>
    <w:rsid w:val="00DD7F1E"/>
    <w:rsid w:val="00DE0276"/>
    <w:rsid w:val="00DE03C3"/>
    <w:rsid w:val="00DE0639"/>
    <w:rsid w:val="00DE07DE"/>
    <w:rsid w:val="00DE09EA"/>
    <w:rsid w:val="00DE0C15"/>
    <w:rsid w:val="00DE0FB2"/>
    <w:rsid w:val="00DE12FF"/>
    <w:rsid w:val="00DE136E"/>
    <w:rsid w:val="00DE14DB"/>
    <w:rsid w:val="00DE15E3"/>
    <w:rsid w:val="00DE1CF8"/>
    <w:rsid w:val="00DE20CE"/>
    <w:rsid w:val="00DE21E6"/>
    <w:rsid w:val="00DE27B9"/>
    <w:rsid w:val="00DE291C"/>
    <w:rsid w:val="00DE3281"/>
    <w:rsid w:val="00DE32BD"/>
    <w:rsid w:val="00DE403C"/>
    <w:rsid w:val="00DE4486"/>
    <w:rsid w:val="00DE4C6A"/>
    <w:rsid w:val="00DE4F04"/>
    <w:rsid w:val="00DE5058"/>
    <w:rsid w:val="00DE522B"/>
    <w:rsid w:val="00DE56E6"/>
    <w:rsid w:val="00DE5E78"/>
    <w:rsid w:val="00DE6F72"/>
    <w:rsid w:val="00DE710A"/>
    <w:rsid w:val="00DE7B2D"/>
    <w:rsid w:val="00DE7B55"/>
    <w:rsid w:val="00DE7F6D"/>
    <w:rsid w:val="00DF04F9"/>
    <w:rsid w:val="00DF053E"/>
    <w:rsid w:val="00DF0C0A"/>
    <w:rsid w:val="00DF10C9"/>
    <w:rsid w:val="00DF11CA"/>
    <w:rsid w:val="00DF1784"/>
    <w:rsid w:val="00DF17C2"/>
    <w:rsid w:val="00DF1ECF"/>
    <w:rsid w:val="00DF2132"/>
    <w:rsid w:val="00DF2161"/>
    <w:rsid w:val="00DF23EE"/>
    <w:rsid w:val="00DF2488"/>
    <w:rsid w:val="00DF254F"/>
    <w:rsid w:val="00DF26F1"/>
    <w:rsid w:val="00DF27D5"/>
    <w:rsid w:val="00DF2E94"/>
    <w:rsid w:val="00DF32E7"/>
    <w:rsid w:val="00DF3E18"/>
    <w:rsid w:val="00DF413F"/>
    <w:rsid w:val="00DF41F4"/>
    <w:rsid w:val="00DF439C"/>
    <w:rsid w:val="00DF44B4"/>
    <w:rsid w:val="00DF4642"/>
    <w:rsid w:val="00DF4E4F"/>
    <w:rsid w:val="00DF52EB"/>
    <w:rsid w:val="00DF54C2"/>
    <w:rsid w:val="00DF5538"/>
    <w:rsid w:val="00DF58D4"/>
    <w:rsid w:val="00DF5DCE"/>
    <w:rsid w:val="00DF67BA"/>
    <w:rsid w:val="00DF6F40"/>
    <w:rsid w:val="00DF7076"/>
    <w:rsid w:val="00DF7205"/>
    <w:rsid w:val="00DF7419"/>
    <w:rsid w:val="00DF7B47"/>
    <w:rsid w:val="00E00725"/>
    <w:rsid w:val="00E008B2"/>
    <w:rsid w:val="00E00D33"/>
    <w:rsid w:val="00E00DF3"/>
    <w:rsid w:val="00E011D4"/>
    <w:rsid w:val="00E0173B"/>
    <w:rsid w:val="00E01D3A"/>
    <w:rsid w:val="00E023BD"/>
    <w:rsid w:val="00E02609"/>
    <w:rsid w:val="00E02965"/>
    <w:rsid w:val="00E02BCF"/>
    <w:rsid w:val="00E03055"/>
    <w:rsid w:val="00E03063"/>
    <w:rsid w:val="00E03599"/>
    <w:rsid w:val="00E0373C"/>
    <w:rsid w:val="00E037B6"/>
    <w:rsid w:val="00E038BC"/>
    <w:rsid w:val="00E03B69"/>
    <w:rsid w:val="00E0438E"/>
    <w:rsid w:val="00E043CA"/>
    <w:rsid w:val="00E04631"/>
    <w:rsid w:val="00E04EA9"/>
    <w:rsid w:val="00E051A7"/>
    <w:rsid w:val="00E05356"/>
    <w:rsid w:val="00E054A1"/>
    <w:rsid w:val="00E05618"/>
    <w:rsid w:val="00E05786"/>
    <w:rsid w:val="00E05EB7"/>
    <w:rsid w:val="00E05FFC"/>
    <w:rsid w:val="00E0650D"/>
    <w:rsid w:val="00E06832"/>
    <w:rsid w:val="00E06C46"/>
    <w:rsid w:val="00E06E11"/>
    <w:rsid w:val="00E0707C"/>
    <w:rsid w:val="00E07792"/>
    <w:rsid w:val="00E0783E"/>
    <w:rsid w:val="00E07915"/>
    <w:rsid w:val="00E07D3B"/>
    <w:rsid w:val="00E10B2C"/>
    <w:rsid w:val="00E10F3E"/>
    <w:rsid w:val="00E10FB2"/>
    <w:rsid w:val="00E11351"/>
    <w:rsid w:val="00E11BCD"/>
    <w:rsid w:val="00E11EF6"/>
    <w:rsid w:val="00E11F35"/>
    <w:rsid w:val="00E11F4B"/>
    <w:rsid w:val="00E12115"/>
    <w:rsid w:val="00E1217D"/>
    <w:rsid w:val="00E122D6"/>
    <w:rsid w:val="00E12340"/>
    <w:rsid w:val="00E1270D"/>
    <w:rsid w:val="00E1279C"/>
    <w:rsid w:val="00E12B7A"/>
    <w:rsid w:val="00E12E8A"/>
    <w:rsid w:val="00E135E3"/>
    <w:rsid w:val="00E140DB"/>
    <w:rsid w:val="00E14410"/>
    <w:rsid w:val="00E14907"/>
    <w:rsid w:val="00E14E50"/>
    <w:rsid w:val="00E14E8B"/>
    <w:rsid w:val="00E152A4"/>
    <w:rsid w:val="00E1547E"/>
    <w:rsid w:val="00E15996"/>
    <w:rsid w:val="00E15B7C"/>
    <w:rsid w:val="00E15CE9"/>
    <w:rsid w:val="00E15CF2"/>
    <w:rsid w:val="00E15F9C"/>
    <w:rsid w:val="00E16144"/>
    <w:rsid w:val="00E162F9"/>
    <w:rsid w:val="00E16B68"/>
    <w:rsid w:val="00E16B94"/>
    <w:rsid w:val="00E16D5B"/>
    <w:rsid w:val="00E17260"/>
    <w:rsid w:val="00E1727E"/>
    <w:rsid w:val="00E1732F"/>
    <w:rsid w:val="00E175F1"/>
    <w:rsid w:val="00E1796F"/>
    <w:rsid w:val="00E1798C"/>
    <w:rsid w:val="00E17C6D"/>
    <w:rsid w:val="00E17EC7"/>
    <w:rsid w:val="00E17F95"/>
    <w:rsid w:val="00E2028F"/>
    <w:rsid w:val="00E202D0"/>
    <w:rsid w:val="00E2047C"/>
    <w:rsid w:val="00E20680"/>
    <w:rsid w:val="00E20B59"/>
    <w:rsid w:val="00E20C81"/>
    <w:rsid w:val="00E21402"/>
    <w:rsid w:val="00E21688"/>
    <w:rsid w:val="00E217D5"/>
    <w:rsid w:val="00E21AF4"/>
    <w:rsid w:val="00E22111"/>
    <w:rsid w:val="00E22281"/>
    <w:rsid w:val="00E223D9"/>
    <w:rsid w:val="00E228CC"/>
    <w:rsid w:val="00E22F11"/>
    <w:rsid w:val="00E24147"/>
    <w:rsid w:val="00E24573"/>
    <w:rsid w:val="00E247B4"/>
    <w:rsid w:val="00E24919"/>
    <w:rsid w:val="00E2492F"/>
    <w:rsid w:val="00E24B44"/>
    <w:rsid w:val="00E24D05"/>
    <w:rsid w:val="00E24D51"/>
    <w:rsid w:val="00E24F33"/>
    <w:rsid w:val="00E251A2"/>
    <w:rsid w:val="00E254E5"/>
    <w:rsid w:val="00E254F5"/>
    <w:rsid w:val="00E25BCE"/>
    <w:rsid w:val="00E25F88"/>
    <w:rsid w:val="00E26130"/>
    <w:rsid w:val="00E269D3"/>
    <w:rsid w:val="00E26A34"/>
    <w:rsid w:val="00E26C3A"/>
    <w:rsid w:val="00E26E66"/>
    <w:rsid w:val="00E26EB2"/>
    <w:rsid w:val="00E27260"/>
    <w:rsid w:val="00E27518"/>
    <w:rsid w:val="00E27A57"/>
    <w:rsid w:val="00E27DAA"/>
    <w:rsid w:val="00E27E4D"/>
    <w:rsid w:val="00E27F2C"/>
    <w:rsid w:val="00E301D1"/>
    <w:rsid w:val="00E306A2"/>
    <w:rsid w:val="00E30EAD"/>
    <w:rsid w:val="00E314AD"/>
    <w:rsid w:val="00E31B8A"/>
    <w:rsid w:val="00E3206C"/>
    <w:rsid w:val="00E3215F"/>
    <w:rsid w:val="00E32730"/>
    <w:rsid w:val="00E329BB"/>
    <w:rsid w:val="00E32A05"/>
    <w:rsid w:val="00E32BE3"/>
    <w:rsid w:val="00E3346C"/>
    <w:rsid w:val="00E3371C"/>
    <w:rsid w:val="00E337D1"/>
    <w:rsid w:val="00E33BF7"/>
    <w:rsid w:val="00E33E0D"/>
    <w:rsid w:val="00E34147"/>
    <w:rsid w:val="00E344D7"/>
    <w:rsid w:val="00E34C25"/>
    <w:rsid w:val="00E34CB6"/>
    <w:rsid w:val="00E34D35"/>
    <w:rsid w:val="00E3511C"/>
    <w:rsid w:val="00E3515A"/>
    <w:rsid w:val="00E3556F"/>
    <w:rsid w:val="00E3576A"/>
    <w:rsid w:val="00E3585C"/>
    <w:rsid w:val="00E35F9D"/>
    <w:rsid w:val="00E35FF3"/>
    <w:rsid w:val="00E3606E"/>
    <w:rsid w:val="00E361B2"/>
    <w:rsid w:val="00E36764"/>
    <w:rsid w:val="00E368B6"/>
    <w:rsid w:val="00E36CE0"/>
    <w:rsid w:val="00E36ECB"/>
    <w:rsid w:val="00E3707E"/>
    <w:rsid w:val="00E37291"/>
    <w:rsid w:val="00E37602"/>
    <w:rsid w:val="00E37C0C"/>
    <w:rsid w:val="00E40815"/>
    <w:rsid w:val="00E40C05"/>
    <w:rsid w:val="00E40C6C"/>
    <w:rsid w:val="00E410D6"/>
    <w:rsid w:val="00E417BC"/>
    <w:rsid w:val="00E41A79"/>
    <w:rsid w:val="00E41B46"/>
    <w:rsid w:val="00E42691"/>
    <w:rsid w:val="00E426DA"/>
    <w:rsid w:val="00E4281C"/>
    <w:rsid w:val="00E428E3"/>
    <w:rsid w:val="00E42B3B"/>
    <w:rsid w:val="00E42C94"/>
    <w:rsid w:val="00E43084"/>
    <w:rsid w:val="00E4314C"/>
    <w:rsid w:val="00E433BE"/>
    <w:rsid w:val="00E437BC"/>
    <w:rsid w:val="00E43CD5"/>
    <w:rsid w:val="00E4478B"/>
    <w:rsid w:val="00E44D0A"/>
    <w:rsid w:val="00E44FE4"/>
    <w:rsid w:val="00E4522B"/>
    <w:rsid w:val="00E459BF"/>
    <w:rsid w:val="00E45B33"/>
    <w:rsid w:val="00E46901"/>
    <w:rsid w:val="00E46C23"/>
    <w:rsid w:val="00E47149"/>
    <w:rsid w:val="00E473E7"/>
    <w:rsid w:val="00E47BAF"/>
    <w:rsid w:val="00E47BD3"/>
    <w:rsid w:val="00E47D1E"/>
    <w:rsid w:val="00E47F0B"/>
    <w:rsid w:val="00E47F73"/>
    <w:rsid w:val="00E50111"/>
    <w:rsid w:val="00E503CD"/>
    <w:rsid w:val="00E50CB1"/>
    <w:rsid w:val="00E511C3"/>
    <w:rsid w:val="00E513DD"/>
    <w:rsid w:val="00E5145C"/>
    <w:rsid w:val="00E514AA"/>
    <w:rsid w:val="00E51697"/>
    <w:rsid w:val="00E516F2"/>
    <w:rsid w:val="00E51954"/>
    <w:rsid w:val="00E51FB0"/>
    <w:rsid w:val="00E52159"/>
    <w:rsid w:val="00E52350"/>
    <w:rsid w:val="00E52360"/>
    <w:rsid w:val="00E52857"/>
    <w:rsid w:val="00E5298E"/>
    <w:rsid w:val="00E53106"/>
    <w:rsid w:val="00E534F5"/>
    <w:rsid w:val="00E5392B"/>
    <w:rsid w:val="00E5396F"/>
    <w:rsid w:val="00E53BEA"/>
    <w:rsid w:val="00E53C6F"/>
    <w:rsid w:val="00E53F32"/>
    <w:rsid w:val="00E542B6"/>
    <w:rsid w:val="00E54971"/>
    <w:rsid w:val="00E549B0"/>
    <w:rsid w:val="00E54C69"/>
    <w:rsid w:val="00E54CA9"/>
    <w:rsid w:val="00E54DFE"/>
    <w:rsid w:val="00E55225"/>
    <w:rsid w:val="00E55516"/>
    <w:rsid w:val="00E55F48"/>
    <w:rsid w:val="00E5624B"/>
    <w:rsid w:val="00E562E6"/>
    <w:rsid w:val="00E56586"/>
    <w:rsid w:val="00E5662B"/>
    <w:rsid w:val="00E56958"/>
    <w:rsid w:val="00E56A46"/>
    <w:rsid w:val="00E56BD0"/>
    <w:rsid w:val="00E56C2A"/>
    <w:rsid w:val="00E5721E"/>
    <w:rsid w:val="00E5734B"/>
    <w:rsid w:val="00E57739"/>
    <w:rsid w:val="00E57BBE"/>
    <w:rsid w:val="00E57DCD"/>
    <w:rsid w:val="00E57EEE"/>
    <w:rsid w:val="00E605ED"/>
    <w:rsid w:val="00E606E7"/>
    <w:rsid w:val="00E608BD"/>
    <w:rsid w:val="00E60BE7"/>
    <w:rsid w:val="00E60DE1"/>
    <w:rsid w:val="00E60DF1"/>
    <w:rsid w:val="00E61262"/>
    <w:rsid w:val="00E61276"/>
    <w:rsid w:val="00E6130D"/>
    <w:rsid w:val="00E614CE"/>
    <w:rsid w:val="00E616FE"/>
    <w:rsid w:val="00E61965"/>
    <w:rsid w:val="00E61AC8"/>
    <w:rsid w:val="00E61CAF"/>
    <w:rsid w:val="00E61D35"/>
    <w:rsid w:val="00E620C5"/>
    <w:rsid w:val="00E62139"/>
    <w:rsid w:val="00E622D5"/>
    <w:rsid w:val="00E62326"/>
    <w:rsid w:val="00E6239D"/>
    <w:rsid w:val="00E626BE"/>
    <w:rsid w:val="00E62825"/>
    <w:rsid w:val="00E62D73"/>
    <w:rsid w:val="00E633B7"/>
    <w:rsid w:val="00E63879"/>
    <w:rsid w:val="00E63B7A"/>
    <w:rsid w:val="00E63E9F"/>
    <w:rsid w:val="00E63EF1"/>
    <w:rsid w:val="00E6422A"/>
    <w:rsid w:val="00E644BF"/>
    <w:rsid w:val="00E6468D"/>
    <w:rsid w:val="00E64788"/>
    <w:rsid w:val="00E64B70"/>
    <w:rsid w:val="00E6537D"/>
    <w:rsid w:val="00E653DF"/>
    <w:rsid w:val="00E6553D"/>
    <w:rsid w:val="00E65E5B"/>
    <w:rsid w:val="00E66437"/>
    <w:rsid w:val="00E66B56"/>
    <w:rsid w:val="00E66F17"/>
    <w:rsid w:val="00E67234"/>
    <w:rsid w:val="00E67381"/>
    <w:rsid w:val="00E67AC7"/>
    <w:rsid w:val="00E67BA4"/>
    <w:rsid w:val="00E703BF"/>
    <w:rsid w:val="00E70A71"/>
    <w:rsid w:val="00E70B11"/>
    <w:rsid w:val="00E70D6D"/>
    <w:rsid w:val="00E70DA2"/>
    <w:rsid w:val="00E70F61"/>
    <w:rsid w:val="00E71034"/>
    <w:rsid w:val="00E712F5"/>
    <w:rsid w:val="00E71401"/>
    <w:rsid w:val="00E71D0B"/>
    <w:rsid w:val="00E71E39"/>
    <w:rsid w:val="00E72461"/>
    <w:rsid w:val="00E7246B"/>
    <w:rsid w:val="00E72C91"/>
    <w:rsid w:val="00E73199"/>
    <w:rsid w:val="00E73266"/>
    <w:rsid w:val="00E7362F"/>
    <w:rsid w:val="00E739B0"/>
    <w:rsid w:val="00E74013"/>
    <w:rsid w:val="00E74054"/>
    <w:rsid w:val="00E741AB"/>
    <w:rsid w:val="00E749B4"/>
    <w:rsid w:val="00E74A3E"/>
    <w:rsid w:val="00E74CBF"/>
    <w:rsid w:val="00E75059"/>
    <w:rsid w:val="00E758BB"/>
    <w:rsid w:val="00E75FFA"/>
    <w:rsid w:val="00E76018"/>
    <w:rsid w:val="00E7616C"/>
    <w:rsid w:val="00E764A4"/>
    <w:rsid w:val="00E764C6"/>
    <w:rsid w:val="00E765CE"/>
    <w:rsid w:val="00E766C0"/>
    <w:rsid w:val="00E77461"/>
    <w:rsid w:val="00E77CAE"/>
    <w:rsid w:val="00E77DDD"/>
    <w:rsid w:val="00E8018B"/>
    <w:rsid w:val="00E8032A"/>
    <w:rsid w:val="00E80430"/>
    <w:rsid w:val="00E80E0A"/>
    <w:rsid w:val="00E80FBE"/>
    <w:rsid w:val="00E811ED"/>
    <w:rsid w:val="00E814F1"/>
    <w:rsid w:val="00E81542"/>
    <w:rsid w:val="00E816AF"/>
    <w:rsid w:val="00E8186B"/>
    <w:rsid w:val="00E82520"/>
    <w:rsid w:val="00E825EC"/>
    <w:rsid w:val="00E82882"/>
    <w:rsid w:val="00E829ED"/>
    <w:rsid w:val="00E82B4E"/>
    <w:rsid w:val="00E83286"/>
    <w:rsid w:val="00E8372C"/>
    <w:rsid w:val="00E839AF"/>
    <w:rsid w:val="00E83A82"/>
    <w:rsid w:val="00E83CF0"/>
    <w:rsid w:val="00E84532"/>
    <w:rsid w:val="00E84542"/>
    <w:rsid w:val="00E84621"/>
    <w:rsid w:val="00E846AF"/>
    <w:rsid w:val="00E84C34"/>
    <w:rsid w:val="00E853FC"/>
    <w:rsid w:val="00E856DD"/>
    <w:rsid w:val="00E8589C"/>
    <w:rsid w:val="00E85A14"/>
    <w:rsid w:val="00E85D3D"/>
    <w:rsid w:val="00E85E73"/>
    <w:rsid w:val="00E86C92"/>
    <w:rsid w:val="00E86D91"/>
    <w:rsid w:val="00E86F02"/>
    <w:rsid w:val="00E87202"/>
    <w:rsid w:val="00E87347"/>
    <w:rsid w:val="00E875C5"/>
    <w:rsid w:val="00E87B3F"/>
    <w:rsid w:val="00E87BF6"/>
    <w:rsid w:val="00E90569"/>
    <w:rsid w:val="00E9072E"/>
    <w:rsid w:val="00E90778"/>
    <w:rsid w:val="00E908B6"/>
    <w:rsid w:val="00E915BF"/>
    <w:rsid w:val="00E9176C"/>
    <w:rsid w:val="00E92193"/>
    <w:rsid w:val="00E921C5"/>
    <w:rsid w:val="00E92536"/>
    <w:rsid w:val="00E92B96"/>
    <w:rsid w:val="00E93203"/>
    <w:rsid w:val="00E935F4"/>
    <w:rsid w:val="00E9377C"/>
    <w:rsid w:val="00E9381A"/>
    <w:rsid w:val="00E938B6"/>
    <w:rsid w:val="00E93D98"/>
    <w:rsid w:val="00E93F72"/>
    <w:rsid w:val="00E9404C"/>
    <w:rsid w:val="00E949A5"/>
    <w:rsid w:val="00E94AC8"/>
    <w:rsid w:val="00E95025"/>
    <w:rsid w:val="00E95227"/>
    <w:rsid w:val="00E952AB"/>
    <w:rsid w:val="00E95576"/>
    <w:rsid w:val="00E96331"/>
    <w:rsid w:val="00E9636B"/>
    <w:rsid w:val="00E96576"/>
    <w:rsid w:val="00E9658B"/>
    <w:rsid w:val="00E96D09"/>
    <w:rsid w:val="00E96EF6"/>
    <w:rsid w:val="00E96FED"/>
    <w:rsid w:val="00E97686"/>
    <w:rsid w:val="00E97776"/>
    <w:rsid w:val="00E979FE"/>
    <w:rsid w:val="00EA00B4"/>
    <w:rsid w:val="00EA0268"/>
    <w:rsid w:val="00EA0292"/>
    <w:rsid w:val="00EA02FD"/>
    <w:rsid w:val="00EA036B"/>
    <w:rsid w:val="00EA08B3"/>
    <w:rsid w:val="00EA09C8"/>
    <w:rsid w:val="00EA0AC5"/>
    <w:rsid w:val="00EA0F13"/>
    <w:rsid w:val="00EA114B"/>
    <w:rsid w:val="00EA1178"/>
    <w:rsid w:val="00EA117A"/>
    <w:rsid w:val="00EA1449"/>
    <w:rsid w:val="00EA14A4"/>
    <w:rsid w:val="00EA1822"/>
    <w:rsid w:val="00EA182F"/>
    <w:rsid w:val="00EA19E3"/>
    <w:rsid w:val="00EA1ABC"/>
    <w:rsid w:val="00EA1AE4"/>
    <w:rsid w:val="00EA1D08"/>
    <w:rsid w:val="00EA2584"/>
    <w:rsid w:val="00EA2618"/>
    <w:rsid w:val="00EA265E"/>
    <w:rsid w:val="00EA276F"/>
    <w:rsid w:val="00EA2965"/>
    <w:rsid w:val="00EA29DF"/>
    <w:rsid w:val="00EA3163"/>
    <w:rsid w:val="00EA31C8"/>
    <w:rsid w:val="00EA339E"/>
    <w:rsid w:val="00EA3498"/>
    <w:rsid w:val="00EA397A"/>
    <w:rsid w:val="00EA397D"/>
    <w:rsid w:val="00EA3B3D"/>
    <w:rsid w:val="00EA3DD2"/>
    <w:rsid w:val="00EA3F5A"/>
    <w:rsid w:val="00EA4C44"/>
    <w:rsid w:val="00EA4D19"/>
    <w:rsid w:val="00EA4D25"/>
    <w:rsid w:val="00EA4F8A"/>
    <w:rsid w:val="00EA524E"/>
    <w:rsid w:val="00EA57A3"/>
    <w:rsid w:val="00EA5A7F"/>
    <w:rsid w:val="00EA5C9A"/>
    <w:rsid w:val="00EA62B1"/>
    <w:rsid w:val="00EA660E"/>
    <w:rsid w:val="00EA6703"/>
    <w:rsid w:val="00EA6C70"/>
    <w:rsid w:val="00EA741A"/>
    <w:rsid w:val="00EA7530"/>
    <w:rsid w:val="00EA79E9"/>
    <w:rsid w:val="00EA7BF6"/>
    <w:rsid w:val="00EA7C61"/>
    <w:rsid w:val="00EB0304"/>
    <w:rsid w:val="00EB0315"/>
    <w:rsid w:val="00EB04F6"/>
    <w:rsid w:val="00EB05F5"/>
    <w:rsid w:val="00EB1487"/>
    <w:rsid w:val="00EB1712"/>
    <w:rsid w:val="00EB1A1D"/>
    <w:rsid w:val="00EB1F97"/>
    <w:rsid w:val="00EB2495"/>
    <w:rsid w:val="00EB2962"/>
    <w:rsid w:val="00EB296D"/>
    <w:rsid w:val="00EB2B25"/>
    <w:rsid w:val="00EB33BC"/>
    <w:rsid w:val="00EB3564"/>
    <w:rsid w:val="00EB36BA"/>
    <w:rsid w:val="00EB38F4"/>
    <w:rsid w:val="00EB3C9C"/>
    <w:rsid w:val="00EB3DBF"/>
    <w:rsid w:val="00EB3EB1"/>
    <w:rsid w:val="00EB4036"/>
    <w:rsid w:val="00EB4178"/>
    <w:rsid w:val="00EB4C05"/>
    <w:rsid w:val="00EB5162"/>
    <w:rsid w:val="00EB52AF"/>
    <w:rsid w:val="00EB5405"/>
    <w:rsid w:val="00EB54B5"/>
    <w:rsid w:val="00EB5940"/>
    <w:rsid w:val="00EB5AC7"/>
    <w:rsid w:val="00EB5B50"/>
    <w:rsid w:val="00EB5B7E"/>
    <w:rsid w:val="00EB5C59"/>
    <w:rsid w:val="00EB5F11"/>
    <w:rsid w:val="00EB5F22"/>
    <w:rsid w:val="00EB651C"/>
    <w:rsid w:val="00EB65AC"/>
    <w:rsid w:val="00EB6757"/>
    <w:rsid w:val="00EB74D6"/>
    <w:rsid w:val="00EB7608"/>
    <w:rsid w:val="00EB760C"/>
    <w:rsid w:val="00EB7743"/>
    <w:rsid w:val="00EB794C"/>
    <w:rsid w:val="00EC00F7"/>
    <w:rsid w:val="00EC0386"/>
    <w:rsid w:val="00EC0612"/>
    <w:rsid w:val="00EC0724"/>
    <w:rsid w:val="00EC08F4"/>
    <w:rsid w:val="00EC0A69"/>
    <w:rsid w:val="00EC0D4A"/>
    <w:rsid w:val="00EC1044"/>
    <w:rsid w:val="00EC1484"/>
    <w:rsid w:val="00EC2328"/>
    <w:rsid w:val="00EC2929"/>
    <w:rsid w:val="00EC30A5"/>
    <w:rsid w:val="00EC3971"/>
    <w:rsid w:val="00EC39A2"/>
    <w:rsid w:val="00EC3C07"/>
    <w:rsid w:val="00EC3FA5"/>
    <w:rsid w:val="00EC4250"/>
    <w:rsid w:val="00EC42DC"/>
    <w:rsid w:val="00EC446D"/>
    <w:rsid w:val="00EC4911"/>
    <w:rsid w:val="00EC50C9"/>
    <w:rsid w:val="00EC50F0"/>
    <w:rsid w:val="00EC51B4"/>
    <w:rsid w:val="00EC5200"/>
    <w:rsid w:val="00EC5283"/>
    <w:rsid w:val="00EC5523"/>
    <w:rsid w:val="00EC5860"/>
    <w:rsid w:val="00EC5C13"/>
    <w:rsid w:val="00EC5C28"/>
    <w:rsid w:val="00EC5EE0"/>
    <w:rsid w:val="00EC6162"/>
    <w:rsid w:val="00EC61A3"/>
    <w:rsid w:val="00EC621C"/>
    <w:rsid w:val="00EC6270"/>
    <w:rsid w:val="00EC6615"/>
    <w:rsid w:val="00EC686D"/>
    <w:rsid w:val="00EC6AA7"/>
    <w:rsid w:val="00EC6BE4"/>
    <w:rsid w:val="00EC6D72"/>
    <w:rsid w:val="00EC6FF2"/>
    <w:rsid w:val="00EC7451"/>
    <w:rsid w:val="00EC77BC"/>
    <w:rsid w:val="00EC7833"/>
    <w:rsid w:val="00EC791B"/>
    <w:rsid w:val="00EC7A43"/>
    <w:rsid w:val="00EC7AAB"/>
    <w:rsid w:val="00ED00CE"/>
    <w:rsid w:val="00ED038F"/>
    <w:rsid w:val="00ED09D9"/>
    <w:rsid w:val="00ED09EA"/>
    <w:rsid w:val="00ED0EAE"/>
    <w:rsid w:val="00ED0F86"/>
    <w:rsid w:val="00ED1164"/>
    <w:rsid w:val="00ED1197"/>
    <w:rsid w:val="00ED12C1"/>
    <w:rsid w:val="00ED168A"/>
    <w:rsid w:val="00ED1DCE"/>
    <w:rsid w:val="00ED1FE7"/>
    <w:rsid w:val="00ED2096"/>
    <w:rsid w:val="00ED2290"/>
    <w:rsid w:val="00ED2496"/>
    <w:rsid w:val="00ED2657"/>
    <w:rsid w:val="00ED2B6C"/>
    <w:rsid w:val="00ED2EB8"/>
    <w:rsid w:val="00ED34F6"/>
    <w:rsid w:val="00ED35FD"/>
    <w:rsid w:val="00ED3811"/>
    <w:rsid w:val="00ED3911"/>
    <w:rsid w:val="00ED3BEC"/>
    <w:rsid w:val="00ED3C89"/>
    <w:rsid w:val="00ED3D9E"/>
    <w:rsid w:val="00ED3DA0"/>
    <w:rsid w:val="00ED42F0"/>
    <w:rsid w:val="00ED477D"/>
    <w:rsid w:val="00ED47B6"/>
    <w:rsid w:val="00ED4A13"/>
    <w:rsid w:val="00ED5115"/>
    <w:rsid w:val="00ED5179"/>
    <w:rsid w:val="00ED517B"/>
    <w:rsid w:val="00ED527B"/>
    <w:rsid w:val="00ED5589"/>
    <w:rsid w:val="00ED57CE"/>
    <w:rsid w:val="00ED5887"/>
    <w:rsid w:val="00ED5F50"/>
    <w:rsid w:val="00ED607E"/>
    <w:rsid w:val="00ED6202"/>
    <w:rsid w:val="00ED657F"/>
    <w:rsid w:val="00ED675E"/>
    <w:rsid w:val="00ED6A0C"/>
    <w:rsid w:val="00ED6D45"/>
    <w:rsid w:val="00ED6EC4"/>
    <w:rsid w:val="00ED6FA5"/>
    <w:rsid w:val="00ED744E"/>
    <w:rsid w:val="00ED75A5"/>
    <w:rsid w:val="00ED7884"/>
    <w:rsid w:val="00EE081C"/>
    <w:rsid w:val="00EE0BDC"/>
    <w:rsid w:val="00EE0CC9"/>
    <w:rsid w:val="00EE0F85"/>
    <w:rsid w:val="00EE101F"/>
    <w:rsid w:val="00EE10E5"/>
    <w:rsid w:val="00EE1603"/>
    <w:rsid w:val="00EE2072"/>
    <w:rsid w:val="00EE2153"/>
    <w:rsid w:val="00EE2A74"/>
    <w:rsid w:val="00EE3097"/>
    <w:rsid w:val="00EE31BE"/>
    <w:rsid w:val="00EE3A69"/>
    <w:rsid w:val="00EE3D13"/>
    <w:rsid w:val="00EE3D35"/>
    <w:rsid w:val="00EE3EBB"/>
    <w:rsid w:val="00EE4997"/>
    <w:rsid w:val="00EE49BF"/>
    <w:rsid w:val="00EE4AFC"/>
    <w:rsid w:val="00EE5528"/>
    <w:rsid w:val="00EE5532"/>
    <w:rsid w:val="00EE591B"/>
    <w:rsid w:val="00EE5C7B"/>
    <w:rsid w:val="00EE5D6B"/>
    <w:rsid w:val="00EE61AD"/>
    <w:rsid w:val="00EE6A67"/>
    <w:rsid w:val="00EE6E5F"/>
    <w:rsid w:val="00EE6EF4"/>
    <w:rsid w:val="00EE76F0"/>
    <w:rsid w:val="00EE78DF"/>
    <w:rsid w:val="00EE7A0B"/>
    <w:rsid w:val="00EE7CAB"/>
    <w:rsid w:val="00EF00BE"/>
    <w:rsid w:val="00EF0168"/>
    <w:rsid w:val="00EF034B"/>
    <w:rsid w:val="00EF044A"/>
    <w:rsid w:val="00EF08BA"/>
    <w:rsid w:val="00EF0C8E"/>
    <w:rsid w:val="00EF0D1B"/>
    <w:rsid w:val="00EF0D5E"/>
    <w:rsid w:val="00EF0F35"/>
    <w:rsid w:val="00EF10CF"/>
    <w:rsid w:val="00EF110A"/>
    <w:rsid w:val="00EF123C"/>
    <w:rsid w:val="00EF14F8"/>
    <w:rsid w:val="00EF1840"/>
    <w:rsid w:val="00EF1B1D"/>
    <w:rsid w:val="00EF1BF6"/>
    <w:rsid w:val="00EF224B"/>
    <w:rsid w:val="00EF2FC9"/>
    <w:rsid w:val="00EF3458"/>
    <w:rsid w:val="00EF373E"/>
    <w:rsid w:val="00EF3D3F"/>
    <w:rsid w:val="00EF3F56"/>
    <w:rsid w:val="00EF430B"/>
    <w:rsid w:val="00EF460B"/>
    <w:rsid w:val="00EF563F"/>
    <w:rsid w:val="00EF5823"/>
    <w:rsid w:val="00EF5DD8"/>
    <w:rsid w:val="00EF62E7"/>
    <w:rsid w:val="00EF6341"/>
    <w:rsid w:val="00EF6562"/>
    <w:rsid w:val="00EF658E"/>
    <w:rsid w:val="00EF66D9"/>
    <w:rsid w:val="00EF695D"/>
    <w:rsid w:val="00EF6BBE"/>
    <w:rsid w:val="00EF6CF2"/>
    <w:rsid w:val="00EF724D"/>
    <w:rsid w:val="00EF75FE"/>
    <w:rsid w:val="00EF768C"/>
    <w:rsid w:val="00EF778B"/>
    <w:rsid w:val="00EF7A5F"/>
    <w:rsid w:val="00EF7AAB"/>
    <w:rsid w:val="00EF7E45"/>
    <w:rsid w:val="00EF7E8E"/>
    <w:rsid w:val="00EF7E9B"/>
    <w:rsid w:val="00F001FD"/>
    <w:rsid w:val="00F004EB"/>
    <w:rsid w:val="00F00518"/>
    <w:rsid w:val="00F0072E"/>
    <w:rsid w:val="00F009B0"/>
    <w:rsid w:val="00F016C8"/>
    <w:rsid w:val="00F018EC"/>
    <w:rsid w:val="00F01C9C"/>
    <w:rsid w:val="00F01E57"/>
    <w:rsid w:val="00F01E88"/>
    <w:rsid w:val="00F01F96"/>
    <w:rsid w:val="00F020A5"/>
    <w:rsid w:val="00F0277B"/>
    <w:rsid w:val="00F028E1"/>
    <w:rsid w:val="00F02C33"/>
    <w:rsid w:val="00F02D86"/>
    <w:rsid w:val="00F031E4"/>
    <w:rsid w:val="00F03856"/>
    <w:rsid w:val="00F038E2"/>
    <w:rsid w:val="00F03BAE"/>
    <w:rsid w:val="00F04016"/>
    <w:rsid w:val="00F04172"/>
    <w:rsid w:val="00F041BD"/>
    <w:rsid w:val="00F043F9"/>
    <w:rsid w:val="00F048BD"/>
    <w:rsid w:val="00F04D17"/>
    <w:rsid w:val="00F050C7"/>
    <w:rsid w:val="00F056C8"/>
    <w:rsid w:val="00F0589F"/>
    <w:rsid w:val="00F05C62"/>
    <w:rsid w:val="00F05E7B"/>
    <w:rsid w:val="00F05EE8"/>
    <w:rsid w:val="00F06508"/>
    <w:rsid w:val="00F0669A"/>
    <w:rsid w:val="00F067DC"/>
    <w:rsid w:val="00F068E6"/>
    <w:rsid w:val="00F06CA0"/>
    <w:rsid w:val="00F06E66"/>
    <w:rsid w:val="00F07639"/>
    <w:rsid w:val="00F076EE"/>
    <w:rsid w:val="00F078A2"/>
    <w:rsid w:val="00F078CD"/>
    <w:rsid w:val="00F07A4A"/>
    <w:rsid w:val="00F07ADB"/>
    <w:rsid w:val="00F07BCF"/>
    <w:rsid w:val="00F07CE0"/>
    <w:rsid w:val="00F10288"/>
    <w:rsid w:val="00F10954"/>
    <w:rsid w:val="00F11097"/>
    <w:rsid w:val="00F110E7"/>
    <w:rsid w:val="00F11189"/>
    <w:rsid w:val="00F11349"/>
    <w:rsid w:val="00F116CF"/>
    <w:rsid w:val="00F11738"/>
    <w:rsid w:val="00F11CCD"/>
    <w:rsid w:val="00F12416"/>
    <w:rsid w:val="00F128E3"/>
    <w:rsid w:val="00F12FE6"/>
    <w:rsid w:val="00F1306F"/>
    <w:rsid w:val="00F130F5"/>
    <w:rsid w:val="00F1334D"/>
    <w:rsid w:val="00F13416"/>
    <w:rsid w:val="00F13590"/>
    <w:rsid w:val="00F1363C"/>
    <w:rsid w:val="00F13B6C"/>
    <w:rsid w:val="00F13E57"/>
    <w:rsid w:val="00F13EF6"/>
    <w:rsid w:val="00F13F1F"/>
    <w:rsid w:val="00F14445"/>
    <w:rsid w:val="00F1473E"/>
    <w:rsid w:val="00F15021"/>
    <w:rsid w:val="00F1511A"/>
    <w:rsid w:val="00F15559"/>
    <w:rsid w:val="00F158D0"/>
    <w:rsid w:val="00F159B8"/>
    <w:rsid w:val="00F16146"/>
    <w:rsid w:val="00F165E6"/>
    <w:rsid w:val="00F169D7"/>
    <w:rsid w:val="00F16A5D"/>
    <w:rsid w:val="00F16A64"/>
    <w:rsid w:val="00F1756F"/>
    <w:rsid w:val="00F17B89"/>
    <w:rsid w:val="00F204AA"/>
    <w:rsid w:val="00F208CA"/>
    <w:rsid w:val="00F20DF0"/>
    <w:rsid w:val="00F210A1"/>
    <w:rsid w:val="00F21378"/>
    <w:rsid w:val="00F21940"/>
    <w:rsid w:val="00F21A36"/>
    <w:rsid w:val="00F21F1B"/>
    <w:rsid w:val="00F2284B"/>
    <w:rsid w:val="00F22851"/>
    <w:rsid w:val="00F22900"/>
    <w:rsid w:val="00F2299D"/>
    <w:rsid w:val="00F229EB"/>
    <w:rsid w:val="00F22AD8"/>
    <w:rsid w:val="00F22B23"/>
    <w:rsid w:val="00F233FC"/>
    <w:rsid w:val="00F23B59"/>
    <w:rsid w:val="00F23E78"/>
    <w:rsid w:val="00F23EA0"/>
    <w:rsid w:val="00F24177"/>
    <w:rsid w:val="00F24799"/>
    <w:rsid w:val="00F248B9"/>
    <w:rsid w:val="00F24944"/>
    <w:rsid w:val="00F24B1A"/>
    <w:rsid w:val="00F24C06"/>
    <w:rsid w:val="00F24CF6"/>
    <w:rsid w:val="00F24DDE"/>
    <w:rsid w:val="00F25616"/>
    <w:rsid w:val="00F257CA"/>
    <w:rsid w:val="00F25B09"/>
    <w:rsid w:val="00F25B26"/>
    <w:rsid w:val="00F25B71"/>
    <w:rsid w:val="00F2606F"/>
    <w:rsid w:val="00F261AD"/>
    <w:rsid w:val="00F26603"/>
    <w:rsid w:val="00F267B3"/>
    <w:rsid w:val="00F267DB"/>
    <w:rsid w:val="00F269A3"/>
    <w:rsid w:val="00F26DF9"/>
    <w:rsid w:val="00F271BB"/>
    <w:rsid w:val="00F272C0"/>
    <w:rsid w:val="00F27780"/>
    <w:rsid w:val="00F277A6"/>
    <w:rsid w:val="00F27A37"/>
    <w:rsid w:val="00F27A3F"/>
    <w:rsid w:val="00F27AB5"/>
    <w:rsid w:val="00F27AE0"/>
    <w:rsid w:val="00F301CC"/>
    <w:rsid w:val="00F303A1"/>
    <w:rsid w:val="00F304DF"/>
    <w:rsid w:val="00F30C81"/>
    <w:rsid w:val="00F30CDF"/>
    <w:rsid w:val="00F30F65"/>
    <w:rsid w:val="00F3104E"/>
    <w:rsid w:val="00F312B4"/>
    <w:rsid w:val="00F312B5"/>
    <w:rsid w:val="00F312C1"/>
    <w:rsid w:val="00F313F5"/>
    <w:rsid w:val="00F31A5B"/>
    <w:rsid w:val="00F31C91"/>
    <w:rsid w:val="00F31D19"/>
    <w:rsid w:val="00F31E3E"/>
    <w:rsid w:val="00F31E97"/>
    <w:rsid w:val="00F32008"/>
    <w:rsid w:val="00F3204F"/>
    <w:rsid w:val="00F327AA"/>
    <w:rsid w:val="00F33048"/>
    <w:rsid w:val="00F3304D"/>
    <w:rsid w:val="00F331DA"/>
    <w:rsid w:val="00F33227"/>
    <w:rsid w:val="00F3383D"/>
    <w:rsid w:val="00F3389D"/>
    <w:rsid w:val="00F33E93"/>
    <w:rsid w:val="00F34047"/>
    <w:rsid w:val="00F3420C"/>
    <w:rsid w:val="00F3465B"/>
    <w:rsid w:val="00F34EAC"/>
    <w:rsid w:val="00F3523F"/>
    <w:rsid w:val="00F35979"/>
    <w:rsid w:val="00F35D9B"/>
    <w:rsid w:val="00F35FDF"/>
    <w:rsid w:val="00F36093"/>
    <w:rsid w:val="00F362CA"/>
    <w:rsid w:val="00F36622"/>
    <w:rsid w:val="00F366C1"/>
    <w:rsid w:val="00F3676C"/>
    <w:rsid w:val="00F368D7"/>
    <w:rsid w:val="00F36C78"/>
    <w:rsid w:val="00F375AE"/>
    <w:rsid w:val="00F37B01"/>
    <w:rsid w:val="00F37E74"/>
    <w:rsid w:val="00F40403"/>
    <w:rsid w:val="00F4047D"/>
    <w:rsid w:val="00F40AB4"/>
    <w:rsid w:val="00F41112"/>
    <w:rsid w:val="00F411B4"/>
    <w:rsid w:val="00F4185B"/>
    <w:rsid w:val="00F418D3"/>
    <w:rsid w:val="00F42107"/>
    <w:rsid w:val="00F4260A"/>
    <w:rsid w:val="00F42A49"/>
    <w:rsid w:val="00F42A75"/>
    <w:rsid w:val="00F42A7A"/>
    <w:rsid w:val="00F42EFD"/>
    <w:rsid w:val="00F44062"/>
    <w:rsid w:val="00F4441C"/>
    <w:rsid w:val="00F44818"/>
    <w:rsid w:val="00F44C58"/>
    <w:rsid w:val="00F4541A"/>
    <w:rsid w:val="00F45720"/>
    <w:rsid w:val="00F457B1"/>
    <w:rsid w:val="00F45C9E"/>
    <w:rsid w:val="00F45CA1"/>
    <w:rsid w:val="00F45F50"/>
    <w:rsid w:val="00F468B7"/>
    <w:rsid w:val="00F47012"/>
    <w:rsid w:val="00F471B0"/>
    <w:rsid w:val="00F47307"/>
    <w:rsid w:val="00F4763B"/>
    <w:rsid w:val="00F4765A"/>
    <w:rsid w:val="00F47BCB"/>
    <w:rsid w:val="00F47D69"/>
    <w:rsid w:val="00F47F5A"/>
    <w:rsid w:val="00F47FD5"/>
    <w:rsid w:val="00F501F3"/>
    <w:rsid w:val="00F5023D"/>
    <w:rsid w:val="00F50B94"/>
    <w:rsid w:val="00F50C6C"/>
    <w:rsid w:val="00F50D09"/>
    <w:rsid w:val="00F50EDB"/>
    <w:rsid w:val="00F50F92"/>
    <w:rsid w:val="00F51056"/>
    <w:rsid w:val="00F51676"/>
    <w:rsid w:val="00F520F7"/>
    <w:rsid w:val="00F520FE"/>
    <w:rsid w:val="00F52672"/>
    <w:rsid w:val="00F52A74"/>
    <w:rsid w:val="00F52E42"/>
    <w:rsid w:val="00F530ED"/>
    <w:rsid w:val="00F531E0"/>
    <w:rsid w:val="00F5331E"/>
    <w:rsid w:val="00F534CD"/>
    <w:rsid w:val="00F536DF"/>
    <w:rsid w:val="00F53818"/>
    <w:rsid w:val="00F538E5"/>
    <w:rsid w:val="00F53A6C"/>
    <w:rsid w:val="00F53D55"/>
    <w:rsid w:val="00F54252"/>
    <w:rsid w:val="00F54320"/>
    <w:rsid w:val="00F549FB"/>
    <w:rsid w:val="00F54ACF"/>
    <w:rsid w:val="00F54D7B"/>
    <w:rsid w:val="00F55384"/>
    <w:rsid w:val="00F55CAD"/>
    <w:rsid w:val="00F55EC3"/>
    <w:rsid w:val="00F560C2"/>
    <w:rsid w:val="00F560F9"/>
    <w:rsid w:val="00F562A4"/>
    <w:rsid w:val="00F56360"/>
    <w:rsid w:val="00F568C1"/>
    <w:rsid w:val="00F569C8"/>
    <w:rsid w:val="00F56DE0"/>
    <w:rsid w:val="00F56FD2"/>
    <w:rsid w:val="00F57133"/>
    <w:rsid w:val="00F5713F"/>
    <w:rsid w:val="00F57931"/>
    <w:rsid w:val="00F57EDB"/>
    <w:rsid w:val="00F60202"/>
    <w:rsid w:val="00F606C1"/>
    <w:rsid w:val="00F60818"/>
    <w:rsid w:val="00F6092F"/>
    <w:rsid w:val="00F60940"/>
    <w:rsid w:val="00F60AB8"/>
    <w:rsid w:val="00F6141B"/>
    <w:rsid w:val="00F619F6"/>
    <w:rsid w:val="00F61ADE"/>
    <w:rsid w:val="00F61DAA"/>
    <w:rsid w:val="00F61FC8"/>
    <w:rsid w:val="00F62154"/>
    <w:rsid w:val="00F62269"/>
    <w:rsid w:val="00F62809"/>
    <w:rsid w:val="00F63172"/>
    <w:rsid w:val="00F634BB"/>
    <w:rsid w:val="00F63E68"/>
    <w:rsid w:val="00F63EC8"/>
    <w:rsid w:val="00F6440A"/>
    <w:rsid w:val="00F64B58"/>
    <w:rsid w:val="00F64D45"/>
    <w:rsid w:val="00F64D52"/>
    <w:rsid w:val="00F64F51"/>
    <w:rsid w:val="00F65061"/>
    <w:rsid w:val="00F652DA"/>
    <w:rsid w:val="00F65345"/>
    <w:rsid w:val="00F655CD"/>
    <w:rsid w:val="00F65622"/>
    <w:rsid w:val="00F658D1"/>
    <w:rsid w:val="00F658E4"/>
    <w:rsid w:val="00F65936"/>
    <w:rsid w:val="00F65A37"/>
    <w:rsid w:val="00F65AD5"/>
    <w:rsid w:val="00F65C86"/>
    <w:rsid w:val="00F65DD7"/>
    <w:rsid w:val="00F66384"/>
    <w:rsid w:val="00F663C4"/>
    <w:rsid w:val="00F6666A"/>
    <w:rsid w:val="00F66782"/>
    <w:rsid w:val="00F667EF"/>
    <w:rsid w:val="00F66AC1"/>
    <w:rsid w:val="00F67155"/>
    <w:rsid w:val="00F672D7"/>
    <w:rsid w:val="00F674E3"/>
    <w:rsid w:val="00F6751D"/>
    <w:rsid w:val="00F67C84"/>
    <w:rsid w:val="00F700B6"/>
    <w:rsid w:val="00F7012D"/>
    <w:rsid w:val="00F70286"/>
    <w:rsid w:val="00F7061C"/>
    <w:rsid w:val="00F7081B"/>
    <w:rsid w:val="00F70890"/>
    <w:rsid w:val="00F71580"/>
    <w:rsid w:val="00F71EDC"/>
    <w:rsid w:val="00F7215C"/>
    <w:rsid w:val="00F72813"/>
    <w:rsid w:val="00F72868"/>
    <w:rsid w:val="00F72873"/>
    <w:rsid w:val="00F72A89"/>
    <w:rsid w:val="00F72DC1"/>
    <w:rsid w:val="00F731FF"/>
    <w:rsid w:val="00F733F4"/>
    <w:rsid w:val="00F73802"/>
    <w:rsid w:val="00F7399E"/>
    <w:rsid w:val="00F73B13"/>
    <w:rsid w:val="00F73DF8"/>
    <w:rsid w:val="00F73F66"/>
    <w:rsid w:val="00F7438C"/>
    <w:rsid w:val="00F74CA7"/>
    <w:rsid w:val="00F74D16"/>
    <w:rsid w:val="00F751BE"/>
    <w:rsid w:val="00F75223"/>
    <w:rsid w:val="00F760EE"/>
    <w:rsid w:val="00F76223"/>
    <w:rsid w:val="00F7653C"/>
    <w:rsid w:val="00F76B07"/>
    <w:rsid w:val="00F77306"/>
    <w:rsid w:val="00F77896"/>
    <w:rsid w:val="00F77BB3"/>
    <w:rsid w:val="00F805AB"/>
    <w:rsid w:val="00F80770"/>
    <w:rsid w:val="00F8097E"/>
    <w:rsid w:val="00F8149A"/>
    <w:rsid w:val="00F816B7"/>
    <w:rsid w:val="00F8178C"/>
    <w:rsid w:val="00F81E14"/>
    <w:rsid w:val="00F82092"/>
    <w:rsid w:val="00F824E8"/>
    <w:rsid w:val="00F8258C"/>
    <w:rsid w:val="00F8333D"/>
    <w:rsid w:val="00F836D5"/>
    <w:rsid w:val="00F837E2"/>
    <w:rsid w:val="00F83C7B"/>
    <w:rsid w:val="00F84106"/>
    <w:rsid w:val="00F842BF"/>
    <w:rsid w:val="00F842CB"/>
    <w:rsid w:val="00F84520"/>
    <w:rsid w:val="00F849FF"/>
    <w:rsid w:val="00F84D4A"/>
    <w:rsid w:val="00F84F59"/>
    <w:rsid w:val="00F85101"/>
    <w:rsid w:val="00F851AE"/>
    <w:rsid w:val="00F858E0"/>
    <w:rsid w:val="00F85F58"/>
    <w:rsid w:val="00F86066"/>
    <w:rsid w:val="00F864E7"/>
    <w:rsid w:val="00F8670F"/>
    <w:rsid w:val="00F86963"/>
    <w:rsid w:val="00F87086"/>
    <w:rsid w:val="00F8709B"/>
    <w:rsid w:val="00F871B0"/>
    <w:rsid w:val="00F90134"/>
    <w:rsid w:val="00F905B1"/>
    <w:rsid w:val="00F90753"/>
    <w:rsid w:val="00F90776"/>
    <w:rsid w:val="00F907C7"/>
    <w:rsid w:val="00F90805"/>
    <w:rsid w:val="00F9198D"/>
    <w:rsid w:val="00F91B7E"/>
    <w:rsid w:val="00F91E64"/>
    <w:rsid w:val="00F92016"/>
    <w:rsid w:val="00F9243E"/>
    <w:rsid w:val="00F92528"/>
    <w:rsid w:val="00F925F6"/>
    <w:rsid w:val="00F92728"/>
    <w:rsid w:val="00F93AA3"/>
    <w:rsid w:val="00F93AD2"/>
    <w:rsid w:val="00F9443B"/>
    <w:rsid w:val="00F94AA7"/>
    <w:rsid w:val="00F94C33"/>
    <w:rsid w:val="00F952C5"/>
    <w:rsid w:val="00F953FE"/>
    <w:rsid w:val="00F956EF"/>
    <w:rsid w:val="00F95A2B"/>
    <w:rsid w:val="00F95BDD"/>
    <w:rsid w:val="00F96183"/>
    <w:rsid w:val="00F96463"/>
    <w:rsid w:val="00F96A41"/>
    <w:rsid w:val="00F96B15"/>
    <w:rsid w:val="00F97198"/>
    <w:rsid w:val="00F97540"/>
    <w:rsid w:val="00F9777B"/>
    <w:rsid w:val="00F979B0"/>
    <w:rsid w:val="00F97F0B"/>
    <w:rsid w:val="00F97FB0"/>
    <w:rsid w:val="00FA055C"/>
    <w:rsid w:val="00FA05F6"/>
    <w:rsid w:val="00FA0937"/>
    <w:rsid w:val="00FA0BCC"/>
    <w:rsid w:val="00FA0C2E"/>
    <w:rsid w:val="00FA0F46"/>
    <w:rsid w:val="00FA1070"/>
    <w:rsid w:val="00FA1189"/>
    <w:rsid w:val="00FA164F"/>
    <w:rsid w:val="00FA165E"/>
    <w:rsid w:val="00FA1A25"/>
    <w:rsid w:val="00FA1ACB"/>
    <w:rsid w:val="00FA1BB5"/>
    <w:rsid w:val="00FA1FDF"/>
    <w:rsid w:val="00FA21C9"/>
    <w:rsid w:val="00FA21F4"/>
    <w:rsid w:val="00FA2F3A"/>
    <w:rsid w:val="00FA304B"/>
    <w:rsid w:val="00FA3214"/>
    <w:rsid w:val="00FA3AD1"/>
    <w:rsid w:val="00FA4C7D"/>
    <w:rsid w:val="00FA4ED6"/>
    <w:rsid w:val="00FA4FAE"/>
    <w:rsid w:val="00FA4FD7"/>
    <w:rsid w:val="00FA5874"/>
    <w:rsid w:val="00FA5BDA"/>
    <w:rsid w:val="00FA6341"/>
    <w:rsid w:val="00FA6476"/>
    <w:rsid w:val="00FA66CF"/>
    <w:rsid w:val="00FA6915"/>
    <w:rsid w:val="00FA6A95"/>
    <w:rsid w:val="00FA6E13"/>
    <w:rsid w:val="00FA6E57"/>
    <w:rsid w:val="00FA70CC"/>
    <w:rsid w:val="00FA77D4"/>
    <w:rsid w:val="00FA798A"/>
    <w:rsid w:val="00FB0173"/>
    <w:rsid w:val="00FB0ED6"/>
    <w:rsid w:val="00FB0FF2"/>
    <w:rsid w:val="00FB167F"/>
    <w:rsid w:val="00FB18B5"/>
    <w:rsid w:val="00FB197F"/>
    <w:rsid w:val="00FB22DC"/>
    <w:rsid w:val="00FB23DD"/>
    <w:rsid w:val="00FB2707"/>
    <w:rsid w:val="00FB2EBC"/>
    <w:rsid w:val="00FB312F"/>
    <w:rsid w:val="00FB3299"/>
    <w:rsid w:val="00FB3FE1"/>
    <w:rsid w:val="00FB409D"/>
    <w:rsid w:val="00FB4172"/>
    <w:rsid w:val="00FB4272"/>
    <w:rsid w:val="00FB493A"/>
    <w:rsid w:val="00FB512D"/>
    <w:rsid w:val="00FB546C"/>
    <w:rsid w:val="00FB580C"/>
    <w:rsid w:val="00FB5EF1"/>
    <w:rsid w:val="00FB61BB"/>
    <w:rsid w:val="00FB6343"/>
    <w:rsid w:val="00FB6578"/>
    <w:rsid w:val="00FB65EC"/>
    <w:rsid w:val="00FB6A75"/>
    <w:rsid w:val="00FB6BF7"/>
    <w:rsid w:val="00FB746B"/>
    <w:rsid w:val="00FB74A0"/>
    <w:rsid w:val="00FB7BFD"/>
    <w:rsid w:val="00FC0142"/>
    <w:rsid w:val="00FC03A1"/>
    <w:rsid w:val="00FC042F"/>
    <w:rsid w:val="00FC1215"/>
    <w:rsid w:val="00FC12E5"/>
    <w:rsid w:val="00FC1B1E"/>
    <w:rsid w:val="00FC1D06"/>
    <w:rsid w:val="00FC1FB3"/>
    <w:rsid w:val="00FC2855"/>
    <w:rsid w:val="00FC3001"/>
    <w:rsid w:val="00FC317B"/>
    <w:rsid w:val="00FC34C2"/>
    <w:rsid w:val="00FC3623"/>
    <w:rsid w:val="00FC3C61"/>
    <w:rsid w:val="00FC3C67"/>
    <w:rsid w:val="00FC3CCA"/>
    <w:rsid w:val="00FC42C3"/>
    <w:rsid w:val="00FC47DE"/>
    <w:rsid w:val="00FC48B4"/>
    <w:rsid w:val="00FC4A9E"/>
    <w:rsid w:val="00FC4BAB"/>
    <w:rsid w:val="00FC4DDB"/>
    <w:rsid w:val="00FC51A3"/>
    <w:rsid w:val="00FC5353"/>
    <w:rsid w:val="00FC539A"/>
    <w:rsid w:val="00FC5DF3"/>
    <w:rsid w:val="00FC6049"/>
    <w:rsid w:val="00FC65FC"/>
    <w:rsid w:val="00FC66C1"/>
    <w:rsid w:val="00FC6703"/>
    <w:rsid w:val="00FC6922"/>
    <w:rsid w:val="00FC6984"/>
    <w:rsid w:val="00FC6BA8"/>
    <w:rsid w:val="00FC6FBD"/>
    <w:rsid w:val="00FC76C0"/>
    <w:rsid w:val="00FD067F"/>
    <w:rsid w:val="00FD0AD2"/>
    <w:rsid w:val="00FD0DC2"/>
    <w:rsid w:val="00FD0E81"/>
    <w:rsid w:val="00FD0F80"/>
    <w:rsid w:val="00FD19A1"/>
    <w:rsid w:val="00FD1B35"/>
    <w:rsid w:val="00FD245D"/>
    <w:rsid w:val="00FD296C"/>
    <w:rsid w:val="00FD3406"/>
    <w:rsid w:val="00FD3499"/>
    <w:rsid w:val="00FD358A"/>
    <w:rsid w:val="00FD3644"/>
    <w:rsid w:val="00FD376D"/>
    <w:rsid w:val="00FD3BEE"/>
    <w:rsid w:val="00FD3D3D"/>
    <w:rsid w:val="00FD40D1"/>
    <w:rsid w:val="00FD415C"/>
    <w:rsid w:val="00FD49B4"/>
    <w:rsid w:val="00FD4B4C"/>
    <w:rsid w:val="00FD4B84"/>
    <w:rsid w:val="00FD5F8B"/>
    <w:rsid w:val="00FD5FFD"/>
    <w:rsid w:val="00FD61DA"/>
    <w:rsid w:val="00FD61E3"/>
    <w:rsid w:val="00FD6281"/>
    <w:rsid w:val="00FD6541"/>
    <w:rsid w:val="00FD6751"/>
    <w:rsid w:val="00FD6980"/>
    <w:rsid w:val="00FD6AAB"/>
    <w:rsid w:val="00FD6D30"/>
    <w:rsid w:val="00FD7001"/>
    <w:rsid w:val="00FD701C"/>
    <w:rsid w:val="00FD726B"/>
    <w:rsid w:val="00FD755A"/>
    <w:rsid w:val="00FD76D9"/>
    <w:rsid w:val="00FD7C64"/>
    <w:rsid w:val="00FD7DCF"/>
    <w:rsid w:val="00FD7F1A"/>
    <w:rsid w:val="00FE00DF"/>
    <w:rsid w:val="00FE01E9"/>
    <w:rsid w:val="00FE0398"/>
    <w:rsid w:val="00FE0888"/>
    <w:rsid w:val="00FE0C08"/>
    <w:rsid w:val="00FE1448"/>
    <w:rsid w:val="00FE156E"/>
    <w:rsid w:val="00FE1855"/>
    <w:rsid w:val="00FE1B15"/>
    <w:rsid w:val="00FE1C44"/>
    <w:rsid w:val="00FE21FE"/>
    <w:rsid w:val="00FE222A"/>
    <w:rsid w:val="00FE22B4"/>
    <w:rsid w:val="00FE22B8"/>
    <w:rsid w:val="00FE2FD4"/>
    <w:rsid w:val="00FE31B9"/>
    <w:rsid w:val="00FE32BC"/>
    <w:rsid w:val="00FE3716"/>
    <w:rsid w:val="00FE37FF"/>
    <w:rsid w:val="00FE389E"/>
    <w:rsid w:val="00FE423A"/>
    <w:rsid w:val="00FE449D"/>
    <w:rsid w:val="00FE4949"/>
    <w:rsid w:val="00FE4B78"/>
    <w:rsid w:val="00FE55DF"/>
    <w:rsid w:val="00FE5641"/>
    <w:rsid w:val="00FE5A58"/>
    <w:rsid w:val="00FE5CAA"/>
    <w:rsid w:val="00FE68C3"/>
    <w:rsid w:val="00FE6915"/>
    <w:rsid w:val="00FE692B"/>
    <w:rsid w:val="00FE6B67"/>
    <w:rsid w:val="00FE72AE"/>
    <w:rsid w:val="00FE75ED"/>
    <w:rsid w:val="00FE79DD"/>
    <w:rsid w:val="00FE7BC4"/>
    <w:rsid w:val="00FF0038"/>
    <w:rsid w:val="00FF0A09"/>
    <w:rsid w:val="00FF0BE3"/>
    <w:rsid w:val="00FF0BF3"/>
    <w:rsid w:val="00FF11C6"/>
    <w:rsid w:val="00FF1384"/>
    <w:rsid w:val="00FF2495"/>
    <w:rsid w:val="00FF289D"/>
    <w:rsid w:val="00FF28E2"/>
    <w:rsid w:val="00FF2AC3"/>
    <w:rsid w:val="00FF2EC4"/>
    <w:rsid w:val="00FF2FD4"/>
    <w:rsid w:val="00FF2FDF"/>
    <w:rsid w:val="00FF32EE"/>
    <w:rsid w:val="00FF36AA"/>
    <w:rsid w:val="00FF37A7"/>
    <w:rsid w:val="00FF3C3C"/>
    <w:rsid w:val="00FF3D9F"/>
    <w:rsid w:val="00FF3EE1"/>
    <w:rsid w:val="00FF4055"/>
    <w:rsid w:val="00FF4786"/>
    <w:rsid w:val="00FF4BA5"/>
    <w:rsid w:val="00FF5328"/>
    <w:rsid w:val="00FF5399"/>
    <w:rsid w:val="00FF5654"/>
    <w:rsid w:val="00FF58CC"/>
    <w:rsid w:val="00FF69BA"/>
    <w:rsid w:val="00FF6A50"/>
    <w:rsid w:val="00FF70E3"/>
    <w:rsid w:val="00FF74EF"/>
    <w:rsid w:val="00FF75AF"/>
    <w:rsid w:val="00FF75FD"/>
    <w:rsid w:val="00FF786F"/>
    <w:rsid w:val="00FF7896"/>
    <w:rsid w:val="00FF79BD"/>
    <w:rsid w:val="00FF7C50"/>
    <w:rsid w:val="00FF7F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4293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000000" w:themeColor="text1"/>
        <w:sz w:val="22"/>
        <w:szCs w:val="22"/>
        <w:lang w:val="en-AU" w:eastAsia="en-AU" w:bidi="ar-SA"/>
      </w:rPr>
    </w:rPrDefault>
    <w:pPrDefault>
      <w:pPr>
        <w:spacing w:before="200" w:after="200"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2"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3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39" w:unhideWhenUsed="1"/>
    <w:lsdException w:name="Plain Text" w:semiHidden="1" w:uiPriority="3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F3B"/>
  </w:style>
  <w:style w:type="paragraph" w:styleId="Heading1">
    <w:name w:val="heading 1"/>
    <w:basedOn w:val="Normal"/>
    <w:next w:val="BodyText"/>
    <w:link w:val="Heading1Char"/>
    <w:qFormat/>
    <w:rsid w:val="0091654B"/>
    <w:pPr>
      <w:keepNext/>
      <w:keepLines/>
      <w:pageBreakBefore/>
      <w:numPr>
        <w:numId w:val="16"/>
      </w:numPr>
      <w:spacing w:after="240" w:line="240" w:lineRule="auto"/>
      <w:outlineLvl w:val="0"/>
    </w:pPr>
    <w:rPr>
      <w:rFonts w:ascii="Arial Bold" w:eastAsiaTheme="majorEastAsia" w:hAnsi="Arial Bold" w:cstheme="majorBidi"/>
      <w:bCs/>
      <w:color w:val="auto"/>
      <w:sz w:val="40"/>
      <w:szCs w:val="28"/>
    </w:rPr>
  </w:style>
  <w:style w:type="paragraph" w:styleId="Heading2">
    <w:name w:val="heading 2"/>
    <w:basedOn w:val="Normal"/>
    <w:next w:val="BodyText"/>
    <w:link w:val="Heading2Char"/>
    <w:qFormat/>
    <w:rsid w:val="00C33739"/>
    <w:pPr>
      <w:keepNext/>
      <w:keepLines/>
      <w:numPr>
        <w:ilvl w:val="1"/>
        <w:numId w:val="16"/>
      </w:numPr>
      <w:spacing w:before="240" w:after="120" w:line="320" w:lineRule="atLeast"/>
      <w:outlineLvl w:val="1"/>
    </w:pPr>
    <w:rPr>
      <w:rFonts w:ascii="Arial Bold" w:eastAsiaTheme="majorEastAsia" w:hAnsi="Arial Bold" w:cstheme="majorBidi"/>
      <w:bCs/>
      <w:color w:val="auto"/>
      <w:sz w:val="26"/>
      <w:szCs w:val="26"/>
    </w:rPr>
  </w:style>
  <w:style w:type="paragraph" w:styleId="Heading3">
    <w:name w:val="heading 3"/>
    <w:basedOn w:val="Normal"/>
    <w:next w:val="BodyText"/>
    <w:link w:val="Heading3Char"/>
    <w:qFormat/>
    <w:rsid w:val="009C456B"/>
    <w:pPr>
      <w:keepNext/>
      <w:keepLines/>
      <w:spacing w:before="240" w:after="120" w:line="320" w:lineRule="atLeast"/>
      <w:outlineLvl w:val="2"/>
    </w:pPr>
    <w:rPr>
      <w:rFonts w:ascii="Arial Bold" w:eastAsiaTheme="majorEastAsia" w:hAnsi="Arial Bold" w:cstheme="majorBidi"/>
      <w:bCs/>
      <w:color w:val="auto"/>
      <w:sz w:val="24"/>
    </w:rPr>
  </w:style>
  <w:style w:type="paragraph" w:styleId="Heading4">
    <w:name w:val="heading 4"/>
    <w:basedOn w:val="Normal"/>
    <w:next w:val="BodyText"/>
    <w:link w:val="Heading4Char"/>
    <w:qFormat/>
    <w:rsid w:val="009C456B"/>
    <w:pPr>
      <w:keepNext/>
      <w:keepLines/>
      <w:spacing w:before="240" w:after="120"/>
      <w:outlineLvl w:val="3"/>
    </w:pPr>
    <w:rPr>
      <w:rFonts w:ascii="Arial Bold" w:hAnsi="Arial Bold" w:cs="Times New Roman"/>
      <w:bCs/>
      <w:iCs/>
      <w:color w:val="auto"/>
    </w:rPr>
  </w:style>
  <w:style w:type="paragraph" w:styleId="Heading5">
    <w:name w:val="heading 5"/>
    <w:basedOn w:val="Normal"/>
    <w:next w:val="BodyText"/>
    <w:link w:val="Heading5Char"/>
    <w:qFormat/>
    <w:rsid w:val="00BC1B8F"/>
    <w:pPr>
      <w:keepNext/>
      <w:keepLines/>
      <w:spacing w:before="120" w:after="120"/>
      <w:outlineLvl w:val="4"/>
    </w:pPr>
    <w:rPr>
      <w:rFonts w:ascii="Arial Bold" w:eastAsiaTheme="majorEastAsia" w:hAnsi="Arial Bold" w:cstheme="majorBidi"/>
      <w:color w:val="auto"/>
      <w:sz w:val="20"/>
    </w:rPr>
  </w:style>
  <w:style w:type="paragraph" w:styleId="Heading6">
    <w:name w:val="heading 6"/>
    <w:basedOn w:val="Normal"/>
    <w:next w:val="BodyText"/>
    <w:link w:val="Heading6Char"/>
    <w:qFormat/>
    <w:rsid w:val="009C6EFB"/>
    <w:pPr>
      <w:keepNext/>
      <w:keepLines/>
      <w:spacing w:before="120" w:after="120"/>
      <w:outlineLvl w:val="5"/>
    </w:pPr>
    <w:rPr>
      <w:rFonts w:asciiTheme="majorHAnsi" w:eastAsiaTheme="majorEastAsia" w:hAnsiTheme="majorHAnsi" w:cstheme="majorBidi"/>
      <w:i/>
      <w:iCs/>
      <w:color w:val="auto"/>
    </w:rPr>
  </w:style>
  <w:style w:type="paragraph" w:styleId="Heading7">
    <w:name w:val="heading 7"/>
    <w:basedOn w:val="Normal"/>
    <w:next w:val="Normal"/>
    <w:link w:val="Heading7Char"/>
    <w:semiHidden/>
    <w:rsid w:val="00E61CAF"/>
    <w:pPr>
      <w:keepNext/>
      <w:keepLines/>
      <w:spacing w:before="120" w:after="60"/>
      <w:outlineLvl w:val="6"/>
    </w:pPr>
    <w:rPr>
      <w:rFonts w:asciiTheme="majorHAnsi" w:eastAsiaTheme="majorEastAsia" w:hAnsiTheme="majorHAnsi" w:cstheme="majorBidi"/>
      <w:i/>
      <w:iCs/>
    </w:rPr>
  </w:style>
  <w:style w:type="paragraph" w:styleId="Heading8">
    <w:name w:val="heading 8"/>
    <w:basedOn w:val="Normal"/>
    <w:next w:val="BodyText"/>
    <w:link w:val="Heading8Char"/>
    <w:uiPriority w:val="2"/>
    <w:semiHidden/>
    <w:rsid w:val="00EE5532"/>
    <w:pPr>
      <w:outlineLvl w:val="7"/>
    </w:pPr>
  </w:style>
  <w:style w:type="paragraph" w:styleId="Heading9">
    <w:name w:val="heading 9"/>
    <w:basedOn w:val="Heading8"/>
    <w:next w:val="BodyText"/>
    <w:link w:val="Heading9Char"/>
    <w:uiPriority w:val="2"/>
    <w:semiHidden/>
    <w:rsid w:val="00EE55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ccessibleTableNumerical">
    <w:name w:val="Accessible Table Numerical"/>
    <w:basedOn w:val="TableNormal"/>
    <w:uiPriority w:val="99"/>
    <w:rsid w:val="005123D2"/>
    <w:pPr>
      <w:spacing w:before="40" w:after="40" w:line="240" w:lineRule="auto"/>
      <w:jc w:val="right"/>
    </w:pPr>
    <w:tblPr>
      <w:tblBorders>
        <w:top w:val="single" w:sz="4" w:space="0" w:color="auto"/>
        <w:bottom w:val="single" w:sz="4" w:space="0" w:color="auto"/>
      </w:tblBorders>
      <w:tblCellMar>
        <w:left w:w="28" w:type="dxa"/>
        <w:right w:w="28" w:type="dxa"/>
      </w:tblCellMar>
    </w:tblPr>
    <w:tblStylePr w:type="firstRow">
      <w:pPr>
        <w:keepNext w:val="0"/>
        <w:wordWrap/>
        <w:jc w:val="right"/>
      </w:pPr>
      <w:rPr>
        <w:rFonts w:ascii="Arial Bold" w:hAnsi="Arial Bold"/>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Pr/>
      <w:tcPr>
        <w:vAlign w:val="bottom"/>
      </w:tcPr>
    </w:tblStylePr>
  </w:style>
  <w:style w:type="paragraph" w:styleId="Footer">
    <w:name w:val="footer"/>
    <w:basedOn w:val="Normal"/>
    <w:link w:val="FooterChar"/>
    <w:uiPriority w:val="99"/>
    <w:rsid w:val="00575F3B"/>
    <w:pPr>
      <w:tabs>
        <w:tab w:val="right" w:pos="7938"/>
      </w:tabs>
      <w:spacing w:before="0" w:after="0" w:line="160" w:lineRule="atLeast"/>
      <w:jc w:val="right"/>
    </w:pPr>
    <w:rPr>
      <w:noProof/>
    </w:rPr>
  </w:style>
  <w:style w:type="character" w:styleId="PageNumber">
    <w:name w:val="page number"/>
    <w:basedOn w:val="DefaultParagraphFont"/>
    <w:semiHidden/>
    <w:rsid w:val="003C3BC2"/>
    <w:rPr>
      <w:rFonts w:ascii="Arial" w:hAnsi="Arial"/>
      <w:b/>
      <w:color w:val="auto"/>
      <w:sz w:val="16"/>
    </w:rPr>
  </w:style>
  <w:style w:type="table" w:styleId="TableGrid">
    <w:name w:val="Table Grid"/>
    <w:basedOn w:val="TableNormal"/>
    <w:uiPriority w:val="59"/>
    <w:rsid w:val="0091654B"/>
    <w:pPr>
      <w:spacing w:before="60" w:after="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Pr>
    <w:trPr>
      <w:cantSplit/>
    </w:trPr>
    <w:tblStylePr w:type="firstRow">
      <w:rPr>
        <w:rFonts w:ascii="Arial Bold" w:hAnsi="Arial Bold"/>
      </w:rPr>
      <w:tblPr/>
      <w:trPr>
        <w:tblHeader/>
      </w:trPr>
    </w:tblStylePr>
  </w:style>
  <w:style w:type="character" w:customStyle="1" w:styleId="FooterChar">
    <w:name w:val="Footer Char"/>
    <w:basedOn w:val="DefaultParagraphFont"/>
    <w:link w:val="Footer"/>
    <w:uiPriority w:val="99"/>
    <w:rsid w:val="00575F3B"/>
    <w:rPr>
      <w:noProof/>
    </w:rPr>
  </w:style>
  <w:style w:type="paragraph" w:customStyle="1" w:styleId="FootnoteSeparator">
    <w:name w:val="Footnote Separator"/>
    <w:basedOn w:val="Normal"/>
    <w:uiPriority w:val="99"/>
    <w:unhideWhenUsed/>
    <w:rsid w:val="00C448BB"/>
    <w:pPr>
      <w:pBdr>
        <w:top w:val="single" w:sz="4" w:space="1" w:color="000000" w:themeColor="text1"/>
      </w:pBdr>
      <w:spacing w:before="180" w:line="80" w:lineRule="exact"/>
    </w:pPr>
    <w:rPr>
      <w:sz w:val="16"/>
      <w:szCs w:val="16"/>
    </w:rPr>
  </w:style>
  <w:style w:type="paragraph" w:customStyle="1" w:styleId="Emailaddress">
    <w:name w:val="Email address"/>
    <w:basedOn w:val="Normal"/>
    <w:semiHidden/>
    <w:rsid w:val="00606818"/>
    <w:rPr>
      <w:sz w:val="16"/>
      <w:szCs w:val="16"/>
    </w:rPr>
  </w:style>
  <w:style w:type="paragraph" w:styleId="ListContinue">
    <w:name w:val="List Continue"/>
    <w:basedOn w:val="Normal"/>
    <w:qFormat/>
    <w:rsid w:val="005257D2"/>
    <w:pPr>
      <w:spacing w:before="100" w:after="100"/>
      <w:ind w:left="454"/>
    </w:pPr>
  </w:style>
  <w:style w:type="paragraph" w:styleId="ListContinue2">
    <w:name w:val="List Continue 2"/>
    <w:basedOn w:val="Normal"/>
    <w:qFormat/>
    <w:rsid w:val="005257D2"/>
    <w:pPr>
      <w:spacing w:before="100" w:after="100"/>
      <w:ind w:left="907"/>
    </w:pPr>
  </w:style>
  <w:style w:type="paragraph" w:styleId="ListNumber">
    <w:name w:val="List Number"/>
    <w:basedOn w:val="Normal"/>
    <w:qFormat/>
    <w:rsid w:val="003F1938"/>
    <w:pPr>
      <w:numPr>
        <w:numId w:val="6"/>
      </w:numPr>
      <w:spacing w:after="100"/>
    </w:pPr>
    <w:rPr>
      <w:rFonts w:eastAsia="Arial" w:cs="Times New Roman"/>
    </w:rPr>
  </w:style>
  <w:style w:type="paragraph" w:styleId="ListNumber2">
    <w:name w:val="List Number 2"/>
    <w:basedOn w:val="Normal"/>
    <w:rsid w:val="00720DE9"/>
    <w:pPr>
      <w:numPr>
        <w:ilvl w:val="1"/>
        <w:numId w:val="6"/>
      </w:numPr>
      <w:spacing w:before="100" w:after="100"/>
    </w:pPr>
    <w:rPr>
      <w:rFonts w:eastAsia="Arial" w:cs="Times New Roman"/>
    </w:rPr>
  </w:style>
  <w:style w:type="paragraph" w:styleId="ListNumber3">
    <w:name w:val="List Number 3"/>
    <w:basedOn w:val="Normal"/>
    <w:unhideWhenUsed/>
    <w:rsid w:val="00720DE9"/>
    <w:pPr>
      <w:numPr>
        <w:ilvl w:val="2"/>
        <w:numId w:val="6"/>
      </w:numPr>
      <w:spacing w:before="100" w:after="100"/>
    </w:pPr>
    <w:rPr>
      <w:rFonts w:eastAsia="Arial" w:cs="Times New Roman"/>
    </w:rPr>
  </w:style>
  <w:style w:type="numbering" w:styleId="1ai">
    <w:name w:val="Outline List 1"/>
    <w:basedOn w:val="NoList"/>
    <w:rsid w:val="00606818"/>
    <w:pPr>
      <w:numPr>
        <w:numId w:val="1"/>
      </w:numPr>
    </w:pPr>
  </w:style>
  <w:style w:type="paragraph" w:styleId="Header">
    <w:name w:val="header"/>
    <w:basedOn w:val="Normal"/>
    <w:link w:val="HeaderChar"/>
    <w:uiPriority w:val="99"/>
    <w:unhideWhenUsed/>
    <w:rsid w:val="00B21199"/>
    <w:pPr>
      <w:tabs>
        <w:tab w:val="center" w:pos="4513"/>
        <w:tab w:val="right" w:pos="9026"/>
      </w:tabs>
      <w:spacing w:before="0" w:after="0" w:line="240" w:lineRule="auto"/>
    </w:pPr>
  </w:style>
  <w:style w:type="paragraph" w:styleId="BodyText">
    <w:name w:val="Body Text"/>
    <w:basedOn w:val="Normal"/>
    <w:link w:val="BodyTextChar"/>
    <w:qFormat/>
    <w:rsid w:val="00793F32"/>
  </w:style>
  <w:style w:type="character" w:customStyle="1" w:styleId="BodyTextChar">
    <w:name w:val="Body Text Char"/>
    <w:basedOn w:val="DefaultParagraphFont"/>
    <w:link w:val="BodyText"/>
    <w:rsid w:val="00793F32"/>
  </w:style>
  <w:style w:type="character" w:styleId="Hyperlink">
    <w:name w:val="Hyperlink"/>
    <w:basedOn w:val="DefaultParagraphFont"/>
    <w:uiPriority w:val="99"/>
    <w:rsid w:val="005243A7"/>
    <w:rPr>
      <w:color w:val="0000FF"/>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qFormat/>
    <w:rsid w:val="0091654B"/>
    <w:pPr>
      <w:keepNext/>
      <w:tabs>
        <w:tab w:val="left" w:pos="1134"/>
      </w:tabs>
      <w:spacing w:after="120" w:line="240" w:lineRule="auto"/>
    </w:pPr>
    <w:rPr>
      <w:bCs/>
      <w:color w:val="auto"/>
      <w:sz w:val="20"/>
    </w:rPr>
  </w:style>
  <w:style w:type="character" w:styleId="FootnoteReference">
    <w:name w:val="footnote reference"/>
    <w:basedOn w:val="DefaultParagraphFont"/>
    <w:uiPriority w:val="99"/>
    <w:rsid w:val="00791E42"/>
    <w:rPr>
      <w:color w:val="000000" w:themeColor="text1"/>
      <w:vertAlign w:val="superscript"/>
    </w:rPr>
  </w:style>
  <w:style w:type="paragraph" w:styleId="FootnoteText">
    <w:name w:val="footnote text"/>
    <w:basedOn w:val="Normal"/>
    <w:link w:val="FootnoteTextChar"/>
    <w:uiPriority w:val="99"/>
    <w:rsid w:val="000C7EC1"/>
    <w:pPr>
      <w:tabs>
        <w:tab w:val="left" w:pos="426"/>
      </w:tabs>
      <w:spacing w:before="100" w:after="100" w:line="240" w:lineRule="auto"/>
      <w:ind w:left="425" w:hanging="425"/>
      <w:contextualSpacing/>
    </w:pPr>
    <w:rPr>
      <w:kern w:val="16"/>
      <w:sz w:val="16"/>
    </w:rPr>
  </w:style>
  <w:style w:type="character" w:customStyle="1" w:styleId="FootnoteTextChar">
    <w:name w:val="Footnote Text Char"/>
    <w:basedOn w:val="DefaultParagraphFont"/>
    <w:link w:val="FootnoteText"/>
    <w:uiPriority w:val="99"/>
    <w:rsid w:val="000C7EC1"/>
    <w:rPr>
      <w:kern w:val="16"/>
      <w:sz w:val="16"/>
    </w:rPr>
  </w:style>
  <w:style w:type="paragraph" w:styleId="ListBullet">
    <w:name w:val="List Bullet"/>
    <w:basedOn w:val="Normal"/>
    <w:qFormat/>
    <w:rsid w:val="00B36596"/>
    <w:pPr>
      <w:numPr>
        <w:numId w:val="4"/>
      </w:numPr>
      <w:spacing w:before="110" w:after="110"/>
    </w:pPr>
    <w:rPr>
      <w:rFonts w:eastAsia="Arial" w:cs="Times New Roman"/>
    </w:rPr>
  </w:style>
  <w:style w:type="paragraph" w:styleId="ListBullet2">
    <w:name w:val="List Bullet 2"/>
    <w:basedOn w:val="Normal"/>
    <w:unhideWhenUsed/>
    <w:rsid w:val="00255F65"/>
    <w:pPr>
      <w:numPr>
        <w:ilvl w:val="1"/>
        <w:numId w:val="4"/>
      </w:numPr>
      <w:spacing w:before="110" w:after="120"/>
    </w:pPr>
    <w:rPr>
      <w:rFonts w:eastAsia="Arial" w:cs="Times New Roman"/>
    </w:rPr>
  </w:style>
  <w:style w:type="paragraph" w:styleId="ListBullet3">
    <w:name w:val="List Bullet 3"/>
    <w:basedOn w:val="Normal"/>
    <w:rsid w:val="00255F65"/>
    <w:pPr>
      <w:numPr>
        <w:ilvl w:val="2"/>
        <w:numId w:val="4"/>
      </w:numPr>
      <w:spacing w:before="110" w:after="120"/>
    </w:pPr>
    <w:rPr>
      <w:rFonts w:eastAsia="Arial" w:cs="Times New Roman"/>
    </w:rPr>
  </w:style>
  <w:style w:type="paragraph" w:styleId="Subtitle">
    <w:name w:val="Subtitle"/>
    <w:basedOn w:val="Normal"/>
    <w:next w:val="Normal"/>
    <w:link w:val="SubtitleChar"/>
    <w:rsid w:val="00A11BA2"/>
    <w:pPr>
      <w:numPr>
        <w:ilvl w:val="1"/>
      </w:numPr>
    </w:pPr>
    <w:rPr>
      <w:rFonts w:asciiTheme="majorHAnsi" w:eastAsiaTheme="majorEastAsia" w:hAnsiTheme="majorHAnsi" w:cstheme="majorBidi"/>
      <w:iCs/>
      <w:sz w:val="32"/>
    </w:rPr>
  </w:style>
  <w:style w:type="character" w:customStyle="1" w:styleId="SubtitleChar">
    <w:name w:val="Subtitle Char"/>
    <w:basedOn w:val="DefaultParagraphFont"/>
    <w:link w:val="Subtitle"/>
    <w:rsid w:val="00A11BA2"/>
    <w:rPr>
      <w:rFonts w:asciiTheme="majorHAnsi" w:eastAsiaTheme="majorEastAsia" w:hAnsiTheme="majorHAnsi" w:cstheme="majorBidi"/>
      <w:iCs/>
      <w:sz w:val="32"/>
    </w:rPr>
  </w:style>
  <w:style w:type="paragraph" w:customStyle="1" w:styleId="TableText">
    <w:name w:val="Table Text"/>
    <w:basedOn w:val="Normal"/>
    <w:qFormat/>
    <w:rsid w:val="00793F32"/>
    <w:pPr>
      <w:spacing w:before="70" w:after="70" w:line="260" w:lineRule="atLeast"/>
    </w:pPr>
    <w:rPr>
      <w:sz w:val="20"/>
    </w:rPr>
  </w:style>
  <w:style w:type="character" w:styleId="PlaceholderText">
    <w:name w:val="Placeholder Text"/>
    <w:basedOn w:val="DefaultParagraphFont"/>
    <w:uiPriority w:val="99"/>
    <w:rsid w:val="0040102D"/>
    <w:rPr>
      <w:color w:val="808080"/>
    </w:rPr>
  </w:style>
  <w:style w:type="character" w:customStyle="1" w:styleId="Heading4Char">
    <w:name w:val="Heading 4 Char"/>
    <w:basedOn w:val="DefaultParagraphFont"/>
    <w:link w:val="Heading4"/>
    <w:rsid w:val="009C456B"/>
    <w:rPr>
      <w:rFonts w:ascii="Arial Bold" w:hAnsi="Arial Bold" w:cs="Times New Roman"/>
      <w:bCs/>
      <w:iCs/>
      <w:color w:val="auto"/>
    </w:rPr>
  </w:style>
  <w:style w:type="paragraph" w:styleId="Title">
    <w:name w:val="Title"/>
    <w:basedOn w:val="Normal"/>
    <w:next w:val="Normal"/>
    <w:link w:val="TitleChar"/>
    <w:rsid w:val="00A11BA2"/>
    <w:pPr>
      <w:spacing w:line="720" w:lineRule="atLeast"/>
      <w:ind w:right="283"/>
    </w:pPr>
    <w:rPr>
      <w:rFonts w:ascii="Arial Bold" w:eastAsiaTheme="majorEastAsia" w:hAnsi="Arial Bold" w:cstheme="majorBidi"/>
      <w:color w:val="auto"/>
      <w:sz w:val="52"/>
      <w:szCs w:val="52"/>
    </w:rPr>
  </w:style>
  <w:style w:type="character" w:customStyle="1" w:styleId="TitleChar">
    <w:name w:val="Title Char"/>
    <w:basedOn w:val="DefaultParagraphFont"/>
    <w:link w:val="Title"/>
    <w:rsid w:val="00A11BA2"/>
    <w:rPr>
      <w:rFonts w:ascii="Arial Bold" w:eastAsiaTheme="majorEastAsia" w:hAnsi="Arial Bold" w:cstheme="majorBidi"/>
      <w:color w:val="auto"/>
      <w:sz w:val="52"/>
      <w:szCs w:val="52"/>
    </w:rPr>
  </w:style>
  <w:style w:type="table" w:customStyle="1" w:styleId="TableAsPlaceholder">
    <w:name w:val="Table As Placeholder"/>
    <w:basedOn w:val="TableNormal"/>
    <w:uiPriority w:val="99"/>
    <w:rsid w:val="00DC3267"/>
    <w:pPr>
      <w:spacing w:line="240" w:lineRule="auto"/>
    </w:pPr>
    <w:tblPr>
      <w:tblCellMar>
        <w:top w:w="28" w:type="dxa"/>
        <w:left w:w="0" w:type="dxa"/>
        <w:bottom w:w="255" w:type="dxa"/>
        <w:right w:w="85" w:type="dxa"/>
      </w:tblCellMar>
    </w:tblPr>
  </w:style>
  <w:style w:type="paragraph" w:styleId="TOC1">
    <w:name w:val="toc 1"/>
    <w:basedOn w:val="Normal"/>
    <w:next w:val="Normal"/>
    <w:uiPriority w:val="39"/>
    <w:rsid w:val="00BA2C4A"/>
    <w:pPr>
      <w:tabs>
        <w:tab w:val="right" w:leader="dot" w:pos="9638"/>
      </w:tabs>
      <w:spacing w:before="100" w:after="60" w:line="240" w:lineRule="auto"/>
      <w:ind w:left="454" w:right="851" w:hanging="454"/>
    </w:pPr>
    <w:rPr>
      <w:rFonts w:eastAsia="Arial" w:cs="Times New Roman"/>
      <w:noProof/>
    </w:rPr>
  </w:style>
  <w:style w:type="paragraph" w:styleId="TOCHeading">
    <w:name w:val="TOC Heading"/>
    <w:basedOn w:val="Normal"/>
    <w:rsid w:val="00C45D79"/>
    <w:pPr>
      <w:keepNext/>
      <w:pageBreakBefore/>
      <w:tabs>
        <w:tab w:val="left" w:pos="1134"/>
        <w:tab w:val="left" w:pos="2268"/>
        <w:tab w:val="left" w:pos="3402"/>
        <w:tab w:val="left" w:pos="4536"/>
        <w:tab w:val="left" w:pos="5103"/>
      </w:tabs>
      <w:spacing w:after="360" w:line="240" w:lineRule="auto"/>
    </w:pPr>
    <w:rPr>
      <w:rFonts w:ascii="Arial Bold" w:hAnsi="Arial Bold" w:cstheme="majorHAnsi"/>
      <w:sz w:val="44"/>
      <w:szCs w:val="26"/>
    </w:rPr>
  </w:style>
  <w:style w:type="paragraph" w:styleId="TOC2">
    <w:name w:val="toc 2"/>
    <w:basedOn w:val="Normal"/>
    <w:next w:val="Normal"/>
    <w:uiPriority w:val="39"/>
    <w:rsid w:val="00BA2C4A"/>
    <w:pPr>
      <w:tabs>
        <w:tab w:val="right" w:leader="dot" w:pos="9638"/>
      </w:tabs>
      <w:spacing w:before="120" w:after="60" w:line="228" w:lineRule="auto"/>
      <w:ind w:left="454" w:right="851"/>
    </w:pPr>
    <w:rPr>
      <w:rFonts w:eastAsia="Arial" w:cs="Times New Roman"/>
      <w:noProof/>
    </w:rPr>
  </w:style>
  <w:style w:type="paragraph" w:styleId="TOC3">
    <w:name w:val="toc 3"/>
    <w:basedOn w:val="TOC2"/>
    <w:next w:val="Normal"/>
    <w:uiPriority w:val="39"/>
    <w:semiHidden/>
    <w:rsid w:val="00B47097"/>
    <w:pPr>
      <w:ind w:left="1984" w:hanging="907"/>
    </w:pPr>
  </w:style>
  <w:style w:type="paragraph" w:styleId="TOC4">
    <w:name w:val="toc 4"/>
    <w:basedOn w:val="Normal"/>
    <w:uiPriority w:val="39"/>
    <w:semiHidden/>
    <w:rsid w:val="008107C7"/>
    <w:pPr>
      <w:spacing w:before="100" w:after="60"/>
      <w:ind w:right="680"/>
    </w:pPr>
    <w:rPr>
      <w:b/>
    </w:rPr>
  </w:style>
  <w:style w:type="paragraph" w:styleId="TableofFigures">
    <w:name w:val="table of figures"/>
    <w:basedOn w:val="Normal"/>
    <w:next w:val="Normal"/>
    <w:uiPriority w:val="99"/>
    <w:rsid w:val="003B4DF4"/>
    <w:pPr>
      <w:tabs>
        <w:tab w:val="left" w:pos="1134"/>
        <w:tab w:val="right" w:leader="dot" w:pos="9639"/>
      </w:tabs>
      <w:spacing w:before="60" w:after="60" w:line="228" w:lineRule="auto"/>
      <w:ind w:left="1134" w:right="851" w:hanging="1134"/>
    </w:pPr>
    <w:rPr>
      <w:noProof/>
    </w:rPr>
  </w:style>
  <w:style w:type="character" w:customStyle="1" w:styleId="Heading7Char">
    <w:name w:val="Heading 7 Char"/>
    <w:basedOn w:val="DefaultParagraphFont"/>
    <w:link w:val="Heading7"/>
    <w:semiHidden/>
    <w:rsid w:val="00E61CAF"/>
    <w:rPr>
      <w:rFonts w:asciiTheme="majorHAnsi" w:eastAsiaTheme="majorEastAsia" w:hAnsiTheme="majorHAnsi" w:cstheme="majorBidi"/>
      <w:i/>
      <w:iCs/>
    </w:rPr>
  </w:style>
  <w:style w:type="character" w:customStyle="1" w:styleId="Heading9Char">
    <w:name w:val="Heading 9 Char"/>
    <w:basedOn w:val="DefaultParagraphFont"/>
    <w:link w:val="Heading9"/>
    <w:uiPriority w:val="2"/>
    <w:semiHidden/>
    <w:rsid w:val="00EE5532"/>
  </w:style>
  <w:style w:type="paragraph" w:styleId="TOC5">
    <w:name w:val="toc 5"/>
    <w:basedOn w:val="Normal"/>
    <w:next w:val="Normal"/>
    <w:autoRedefine/>
    <w:uiPriority w:val="39"/>
    <w:semiHidden/>
    <w:rsid w:val="00EE5532"/>
    <w:pPr>
      <w:tabs>
        <w:tab w:val="right" w:leader="dot" w:pos="9629"/>
      </w:tabs>
      <w:spacing w:before="180"/>
      <w:ind w:right="851"/>
    </w:pPr>
    <w:rPr>
      <w:noProof/>
      <w:color w:val="auto"/>
    </w:rPr>
  </w:style>
  <w:style w:type="paragraph" w:styleId="TOC6">
    <w:name w:val="toc 6"/>
    <w:basedOn w:val="Normal"/>
    <w:next w:val="Normal"/>
    <w:autoRedefine/>
    <w:uiPriority w:val="39"/>
    <w:semiHidden/>
    <w:rsid w:val="00DE27B9"/>
    <w:pPr>
      <w:spacing w:after="100"/>
      <w:ind w:left="1000"/>
    </w:pPr>
  </w:style>
  <w:style w:type="paragraph" w:styleId="TOC7">
    <w:name w:val="toc 7"/>
    <w:basedOn w:val="Normal"/>
    <w:next w:val="Normal"/>
    <w:autoRedefine/>
    <w:uiPriority w:val="39"/>
    <w:semiHidden/>
    <w:rsid w:val="00DE27B9"/>
    <w:pPr>
      <w:spacing w:after="100"/>
      <w:ind w:left="1200"/>
    </w:pPr>
  </w:style>
  <w:style w:type="paragraph" w:styleId="TOC8">
    <w:name w:val="toc 8"/>
    <w:basedOn w:val="Normal"/>
    <w:next w:val="Normal"/>
    <w:autoRedefine/>
    <w:uiPriority w:val="39"/>
    <w:semiHidden/>
    <w:rsid w:val="00DE27B9"/>
    <w:pPr>
      <w:spacing w:after="100"/>
      <w:ind w:left="1400"/>
    </w:pPr>
  </w:style>
  <w:style w:type="paragraph" w:styleId="TOC9">
    <w:name w:val="toc 9"/>
    <w:basedOn w:val="Normal"/>
    <w:next w:val="Normal"/>
    <w:autoRedefine/>
    <w:uiPriority w:val="39"/>
    <w:semiHidden/>
    <w:rsid w:val="00DE27B9"/>
    <w:pPr>
      <w:spacing w:after="100"/>
      <w:ind w:left="1600"/>
    </w:pPr>
  </w:style>
  <w:style w:type="character" w:customStyle="1" w:styleId="Heading8Char">
    <w:name w:val="Heading 8 Char"/>
    <w:basedOn w:val="DefaultParagraphFont"/>
    <w:link w:val="Heading8"/>
    <w:uiPriority w:val="2"/>
    <w:semiHidden/>
    <w:rsid w:val="00EE5532"/>
  </w:style>
  <w:style w:type="paragraph" w:styleId="Quote">
    <w:name w:val="Quote"/>
    <w:basedOn w:val="Normal"/>
    <w:link w:val="QuoteChar"/>
    <w:qFormat/>
    <w:rsid w:val="007E5AD9"/>
    <w:pPr>
      <w:tabs>
        <w:tab w:val="left" w:pos="1134"/>
        <w:tab w:val="left" w:pos="1701"/>
        <w:tab w:val="left" w:pos="2268"/>
        <w:tab w:val="left" w:pos="2835"/>
        <w:tab w:val="left" w:pos="3402"/>
        <w:tab w:val="left" w:pos="3969"/>
        <w:tab w:val="left" w:pos="4536"/>
      </w:tabs>
      <w:spacing w:before="120" w:after="120"/>
      <w:ind w:left="567" w:right="567"/>
    </w:pPr>
    <w:rPr>
      <w:i/>
      <w:iCs/>
    </w:rPr>
  </w:style>
  <w:style w:type="character" w:customStyle="1" w:styleId="QuoteChar">
    <w:name w:val="Quote Char"/>
    <w:basedOn w:val="DefaultParagraphFont"/>
    <w:link w:val="Quote"/>
    <w:rsid w:val="007E5AD9"/>
    <w:rPr>
      <w:i/>
      <w:iCs/>
      <w:color w:val="000000" w:themeColor="text1"/>
      <w:spacing w:val="1"/>
    </w:rPr>
  </w:style>
  <w:style w:type="character" w:customStyle="1" w:styleId="Heading6Char">
    <w:name w:val="Heading 6 Char"/>
    <w:basedOn w:val="DefaultParagraphFont"/>
    <w:link w:val="Heading6"/>
    <w:rsid w:val="009C6EFB"/>
    <w:rPr>
      <w:rFonts w:asciiTheme="majorHAnsi" w:eastAsiaTheme="majorEastAsia" w:hAnsiTheme="majorHAnsi" w:cstheme="majorBidi"/>
      <w:i/>
      <w:iCs/>
      <w:color w:val="auto"/>
    </w:rPr>
  </w:style>
  <w:style w:type="character" w:customStyle="1" w:styleId="Heading5Char">
    <w:name w:val="Heading 5 Char"/>
    <w:basedOn w:val="DefaultParagraphFont"/>
    <w:link w:val="Heading5"/>
    <w:rsid w:val="00BC1B8F"/>
    <w:rPr>
      <w:rFonts w:ascii="Arial Bold" w:eastAsiaTheme="majorEastAsia" w:hAnsi="Arial Bold" w:cstheme="majorBidi"/>
      <w:color w:val="auto"/>
      <w:sz w:val="20"/>
    </w:rPr>
  </w:style>
  <w:style w:type="paragraph" w:styleId="BlockText">
    <w:name w:val="Block Text"/>
    <w:basedOn w:val="Normal"/>
    <w:semiHidden/>
    <w:unhideWhenUsed/>
    <w:rsid w:val="0049165E"/>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cstheme="minorBidi"/>
      <w:i/>
      <w:iCs/>
      <w:color w:val="44546A" w:themeColor="text2"/>
    </w:rPr>
  </w:style>
  <w:style w:type="paragraph" w:customStyle="1" w:styleId="PullOutBoxBodyText">
    <w:name w:val="Pull Out Box Body Text"/>
    <w:basedOn w:val="Normal"/>
    <w:qFormat/>
    <w:rsid w:val="00455290"/>
    <w:pPr>
      <w:pBdr>
        <w:top w:val="single" w:sz="4" w:space="10" w:color="auto"/>
        <w:left w:val="single" w:sz="4" w:space="12" w:color="auto"/>
        <w:bottom w:val="single" w:sz="4" w:space="10" w:color="auto"/>
        <w:right w:val="single" w:sz="4" w:space="12" w:color="auto"/>
      </w:pBdr>
      <w:spacing w:before="120" w:after="120"/>
      <w:ind w:left="284" w:right="284"/>
    </w:pPr>
  </w:style>
  <w:style w:type="paragraph" w:customStyle="1" w:styleId="PullOutBoxHeading">
    <w:name w:val="Pull Out Box Heading"/>
    <w:basedOn w:val="PullOutBoxBodyText"/>
    <w:qFormat/>
    <w:rsid w:val="009C6EFB"/>
    <w:rPr>
      <w:rFonts w:ascii="Arial Bold" w:hAnsi="Arial Bold"/>
    </w:rPr>
  </w:style>
  <w:style w:type="paragraph" w:customStyle="1" w:styleId="PullOutBoxBullet">
    <w:name w:val="Pull Out Box Bullet"/>
    <w:basedOn w:val="PullOutBoxBodyText"/>
    <w:qFormat/>
    <w:rsid w:val="009C6EFB"/>
    <w:pPr>
      <w:numPr>
        <w:numId w:val="9"/>
      </w:numPr>
    </w:pPr>
  </w:style>
  <w:style w:type="paragraph" w:customStyle="1" w:styleId="Source">
    <w:name w:val="Source"/>
    <w:basedOn w:val="Normal"/>
    <w:next w:val="BodyText"/>
    <w:rsid w:val="00A15DCB"/>
    <w:pPr>
      <w:spacing w:before="120" w:after="300" w:line="210" w:lineRule="atLeast"/>
    </w:pPr>
    <w:rPr>
      <w:sz w:val="18"/>
    </w:rPr>
  </w:style>
  <w:style w:type="paragraph" w:styleId="NoSpacing">
    <w:name w:val="No Spacing"/>
    <w:basedOn w:val="Normal"/>
    <w:qFormat/>
    <w:rsid w:val="0032480B"/>
    <w:pPr>
      <w:spacing w:before="0" w:after="0"/>
    </w:pPr>
  </w:style>
  <w:style w:type="paragraph" w:customStyle="1" w:styleId="PullOutBoxNumbered">
    <w:name w:val="Pull Out Box Numbered"/>
    <w:basedOn w:val="PullOutBoxBodyText"/>
    <w:qFormat/>
    <w:rsid w:val="009C6EFB"/>
    <w:pPr>
      <w:numPr>
        <w:numId w:val="3"/>
      </w:numPr>
    </w:pPr>
  </w:style>
  <w:style w:type="paragraph" w:styleId="NormalWeb">
    <w:name w:val="Normal (Web)"/>
    <w:basedOn w:val="Normal"/>
    <w:uiPriority w:val="99"/>
    <w:unhideWhenUsed/>
    <w:rsid w:val="00E3556F"/>
  </w:style>
  <w:style w:type="paragraph" w:styleId="ListBullet4">
    <w:name w:val="List Bullet 4"/>
    <w:basedOn w:val="Normal"/>
    <w:rsid w:val="00255F65"/>
    <w:pPr>
      <w:numPr>
        <w:ilvl w:val="3"/>
        <w:numId w:val="4"/>
      </w:numPr>
      <w:spacing w:before="110" w:after="120"/>
    </w:pPr>
  </w:style>
  <w:style w:type="paragraph" w:styleId="ListBullet5">
    <w:name w:val="List Bullet 5"/>
    <w:basedOn w:val="Normal"/>
    <w:rsid w:val="00255F65"/>
    <w:pPr>
      <w:numPr>
        <w:ilvl w:val="4"/>
        <w:numId w:val="4"/>
      </w:numPr>
      <w:spacing w:before="110" w:after="120"/>
    </w:pPr>
  </w:style>
  <w:style w:type="character" w:customStyle="1" w:styleId="Heading1Char">
    <w:name w:val="Heading 1 Char"/>
    <w:basedOn w:val="DefaultParagraphFont"/>
    <w:link w:val="Heading1"/>
    <w:rsid w:val="0091654B"/>
    <w:rPr>
      <w:rFonts w:ascii="Arial Bold" w:eastAsiaTheme="majorEastAsia" w:hAnsi="Arial Bold" w:cstheme="majorBidi"/>
      <w:bCs/>
      <w:color w:val="auto"/>
      <w:sz w:val="40"/>
      <w:szCs w:val="28"/>
    </w:rPr>
  </w:style>
  <w:style w:type="character" w:customStyle="1" w:styleId="Heading2Char">
    <w:name w:val="Heading 2 Char"/>
    <w:basedOn w:val="DefaultParagraphFont"/>
    <w:link w:val="Heading2"/>
    <w:rsid w:val="00C33739"/>
    <w:rPr>
      <w:rFonts w:ascii="Arial Bold" w:eastAsiaTheme="majorEastAsia" w:hAnsi="Arial Bold" w:cstheme="majorBidi"/>
      <w:bCs/>
      <w:color w:val="auto"/>
      <w:sz w:val="26"/>
      <w:szCs w:val="26"/>
    </w:rPr>
  </w:style>
  <w:style w:type="character" w:customStyle="1" w:styleId="Heading3Char">
    <w:name w:val="Heading 3 Char"/>
    <w:basedOn w:val="DefaultParagraphFont"/>
    <w:link w:val="Heading3"/>
    <w:rsid w:val="009C456B"/>
    <w:rPr>
      <w:rFonts w:ascii="Arial Bold" w:eastAsiaTheme="majorEastAsia" w:hAnsi="Arial Bold" w:cstheme="majorBidi"/>
      <w:bCs/>
      <w:color w:val="auto"/>
      <w:sz w:val="24"/>
    </w:rPr>
  </w:style>
  <w:style w:type="paragraph" w:styleId="ListNumber4">
    <w:name w:val="List Number 4"/>
    <w:basedOn w:val="Normal"/>
    <w:unhideWhenUsed/>
    <w:rsid w:val="00720DE9"/>
    <w:pPr>
      <w:numPr>
        <w:ilvl w:val="3"/>
        <w:numId w:val="6"/>
      </w:numPr>
      <w:spacing w:before="100" w:after="100"/>
    </w:pPr>
    <w:rPr>
      <w:rFonts w:eastAsia="Arial" w:cs="Times New Roman"/>
    </w:rPr>
  </w:style>
  <w:style w:type="paragraph" w:styleId="ListNumber5">
    <w:name w:val="List Number 5"/>
    <w:basedOn w:val="Normal"/>
    <w:unhideWhenUsed/>
    <w:rsid w:val="00720DE9"/>
    <w:pPr>
      <w:numPr>
        <w:ilvl w:val="4"/>
        <w:numId w:val="6"/>
      </w:numPr>
      <w:spacing w:before="100" w:after="100"/>
    </w:pPr>
    <w:rPr>
      <w:rFonts w:eastAsia="Arial" w:cs="Times New Roman"/>
    </w:rPr>
  </w:style>
  <w:style w:type="paragraph" w:styleId="ListContinue3">
    <w:name w:val="List Continue 3"/>
    <w:basedOn w:val="Normal"/>
    <w:rsid w:val="005257D2"/>
    <w:pPr>
      <w:spacing w:before="100" w:after="100"/>
      <w:ind w:left="1361"/>
    </w:pPr>
  </w:style>
  <w:style w:type="paragraph" w:styleId="ListContinue4">
    <w:name w:val="List Continue 4"/>
    <w:basedOn w:val="Normal"/>
    <w:rsid w:val="005257D2"/>
    <w:pPr>
      <w:spacing w:before="100" w:after="100"/>
      <w:ind w:left="1814"/>
    </w:pPr>
  </w:style>
  <w:style w:type="paragraph" w:styleId="ListContinue5">
    <w:name w:val="List Continue 5"/>
    <w:basedOn w:val="Normal"/>
    <w:rsid w:val="005257D2"/>
    <w:pPr>
      <w:spacing w:before="100" w:after="100"/>
      <w:ind w:left="2268"/>
    </w:pPr>
  </w:style>
  <w:style w:type="table" w:styleId="ColorfulGrid">
    <w:name w:val="Colorful Grid"/>
    <w:basedOn w:val="TableNormal"/>
    <w:uiPriority w:val="73"/>
    <w:semiHidden/>
    <w:rsid w:val="0095131B"/>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5131B"/>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rsid w:val="0095131B"/>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95131B"/>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95131B"/>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95131B"/>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rsid w:val="0095131B"/>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95131B"/>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5131B"/>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rsid w:val="0095131B"/>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95131B"/>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95131B"/>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95131B"/>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rsid w:val="0095131B"/>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95131B"/>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5131B"/>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5131B"/>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5131B"/>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95131B"/>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5131B"/>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5131B"/>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5131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5131B"/>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rsid w:val="0095131B"/>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95131B"/>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95131B"/>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95131B"/>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rsid w:val="0095131B"/>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rsid w:val="0095131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5131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5131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5131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5131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5131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5131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5131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5131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95131B"/>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95131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95131B"/>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95131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95131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95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5131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9513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95131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95131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95131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95131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95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5131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9513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95131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95131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95131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95131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95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5131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95131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95131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95131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95131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95131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95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5131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95131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95131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95131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95131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95131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
    <w:name w:val="Light Grid"/>
    <w:basedOn w:val="TableNormal"/>
    <w:uiPriority w:val="62"/>
    <w:semiHidden/>
    <w:rsid w:val="009513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5131B"/>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rsid w:val="0095131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95131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95131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95131B"/>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rsid w:val="0095131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9513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5131B"/>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rsid w:val="0095131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95131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95131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95131B"/>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rsid w:val="0095131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9513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5131B"/>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rsid w:val="0095131B"/>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95131B"/>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95131B"/>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95131B"/>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rsid w:val="0095131B"/>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rsid w:val="0095131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5131B"/>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95131B"/>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95131B"/>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95131B"/>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95131B"/>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95131B"/>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95131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5131B"/>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95131B"/>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95131B"/>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95131B"/>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95131B"/>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95131B"/>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95131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5131B"/>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95131B"/>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95131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95131B"/>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95131B"/>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95131B"/>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95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5131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9513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95131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95131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95131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95131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95131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5131B"/>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5131B"/>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5131B"/>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5131B"/>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5131B"/>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5131B"/>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5131B"/>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5131B"/>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95131B"/>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95131B"/>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95131B"/>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95131B"/>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95131B"/>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95131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5131B"/>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5131B"/>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5131B"/>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5131B"/>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5131B"/>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5131B"/>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9513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5131B"/>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rsid w:val="0095131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95131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95131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95131B"/>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rsid w:val="0095131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95131B"/>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5131B"/>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rsid w:val="0095131B"/>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95131B"/>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95131B"/>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95131B"/>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rsid w:val="0095131B"/>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513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5131B"/>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5131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5131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5131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5131B"/>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5131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rsid w:val="009513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513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5131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513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5131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istAlpha1">
    <w:name w:val="List Alpha 1"/>
    <w:basedOn w:val="BodyText"/>
    <w:qFormat/>
    <w:rsid w:val="001F0C8C"/>
    <w:pPr>
      <w:numPr>
        <w:numId w:val="7"/>
      </w:numPr>
      <w:spacing w:before="100"/>
    </w:pPr>
  </w:style>
  <w:style w:type="paragraph" w:customStyle="1" w:styleId="ListAlpha2">
    <w:name w:val="List Alpha 2"/>
    <w:basedOn w:val="BodyText"/>
    <w:qFormat/>
    <w:rsid w:val="001F0C8C"/>
    <w:pPr>
      <w:numPr>
        <w:ilvl w:val="1"/>
        <w:numId w:val="7"/>
      </w:numPr>
      <w:spacing w:before="100"/>
    </w:pPr>
  </w:style>
  <w:style w:type="paragraph" w:customStyle="1" w:styleId="ListAlpha3">
    <w:name w:val="List Alpha 3"/>
    <w:basedOn w:val="BodyText"/>
    <w:qFormat/>
    <w:rsid w:val="001F0C8C"/>
    <w:pPr>
      <w:numPr>
        <w:ilvl w:val="2"/>
        <w:numId w:val="7"/>
      </w:numPr>
      <w:spacing w:before="100"/>
    </w:pPr>
  </w:style>
  <w:style w:type="paragraph" w:customStyle="1" w:styleId="ListAlpha4">
    <w:name w:val="List Alpha 4"/>
    <w:basedOn w:val="BodyText"/>
    <w:qFormat/>
    <w:rsid w:val="00451413"/>
    <w:pPr>
      <w:numPr>
        <w:ilvl w:val="3"/>
        <w:numId w:val="7"/>
      </w:numPr>
    </w:pPr>
  </w:style>
  <w:style w:type="paragraph" w:styleId="EndnoteText">
    <w:name w:val="endnote text"/>
    <w:basedOn w:val="Normal"/>
    <w:link w:val="EndnoteTextChar"/>
    <w:semiHidden/>
    <w:unhideWhenUsed/>
    <w:rsid w:val="00C71635"/>
    <w:pPr>
      <w:spacing w:line="240" w:lineRule="auto"/>
    </w:pPr>
  </w:style>
  <w:style w:type="character" w:customStyle="1" w:styleId="EndnoteTextChar">
    <w:name w:val="Endnote Text Char"/>
    <w:basedOn w:val="DefaultParagraphFont"/>
    <w:link w:val="EndnoteText"/>
    <w:semiHidden/>
    <w:rsid w:val="00C71635"/>
    <w:rPr>
      <w:sz w:val="20"/>
      <w:szCs w:val="20"/>
    </w:rPr>
  </w:style>
  <w:style w:type="character" w:styleId="EndnoteReference">
    <w:name w:val="endnote reference"/>
    <w:basedOn w:val="DefaultParagraphFont"/>
    <w:semiHidden/>
    <w:unhideWhenUsed/>
    <w:rsid w:val="00C71635"/>
    <w:rPr>
      <w:vertAlign w:val="superscript"/>
    </w:rPr>
  </w:style>
  <w:style w:type="character" w:customStyle="1" w:styleId="HeaderChar">
    <w:name w:val="Header Char"/>
    <w:basedOn w:val="DefaultParagraphFont"/>
    <w:link w:val="Header"/>
    <w:uiPriority w:val="99"/>
    <w:rsid w:val="00B21199"/>
  </w:style>
  <w:style w:type="table" w:customStyle="1" w:styleId="AccessibleTableNormal">
    <w:name w:val="Accessible Table Normal"/>
    <w:basedOn w:val="TableNormal"/>
    <w:uiPriority w:val="99"/>
    <w:rsid w:val="002F6100"/>
    <w:pPr>
      <w:spacing w:before="70" w:after="70"/>
    </w:pPr>
    <w:tblPr>
      <w:tblCellMar>
        <w:top w:w="11" w:type="dxa"/>
        <w:left w:w="113" w:type="dxa"/>
        <w:bottom w:w="11" w:type="dxa"/>
        <w:right w:w="113" w:type="dxa"/>
      </w:tblCellMar>
    </w:tblPr>
    <w:tblStylePr w:type="firstRow">
      <w:rPr>
        <w:sz w:val="22"/>
      </w:rPr>
    </w:tblStylePr>
  </w:style>
  <w:style w:type="character" w:customStyle="1" w:styleId="UnresolvedMention1">
    <w:name w:val="Unresolved Mention1"/>
    <w:basedOn w:val="DefaultParagraphFont"/>
    <w:uiPriority w:val="99"/>
    <w:semiHidden/>
    <w:unhideWhenUsed/>
    <w:rsid w:val="003907CF"/>
    <w:rPr>
      <w:color w:val="605E5C"/>
      <w:shd w:val="clear" w:color="auto" w:fill="E1DFDD"/>
    </w:rPr>
  </w:style>
  <w:style w:type="paragraph" w:styleId="CommentText">
    <w:name w:val="annotation text"/>
    <w:basedOn w:val="Normal"/>
    <w:link w:val="CommentTextChar"/>
    <w:uiPriority w:val="39"/>
    <w:semiHidden/>
    <w:unhideWhenUsed/>
    <w:rsid w:val="004B6BAC"/>
    <w:pPr>
      <w:spacing w:line="240" w:lineRule="auto"/>
    </w:pPr>
    <w:rPr>
      <w:sz w:val="20"/>
      <w:szCs w:val="20"/>
    </w:rPr>
  </w:style>
  <w:style w:type="character" w:customStyle="1" w:styleId="CommentTextChar">
    <w:name w:val="Comment Text Char"/>
    <w:basedOn w:val="DefaultParagraphFont"/>
    <w:link w:val="CommentText"/>
    <w:uiPriority w:val="39"/>
    <w:semiHidden/>
    <w:rsid w:val="004B6BAC"/>
    <w:rPr>
      <w:sz w:val="20"/>
      <w:szCs w:val="20"/>
    </w:rPr>
  </w:style>
  <w:style w:type="paragraph" w:styleId="CommentSubject">
    <w:name w:val="annotation subject"/>
    <w:basedOn w:val="CommentText"/>
    <w:next w:val="CommentText"/>
    <w:link w:val="CommentSubjectChar"/>
    <w:uiPriority w:val="39"/>
    <w:semiHidden/>
    <w:unhideWhenUsed/>
    <w:rsid w:val="004B6BAC"/>
    <w:rPr>
      <w:b/>
      <w:bCs/>
    </w:rPr>
  </w:style>
  <w:style w:type="character" w:customStyle="1" w:styleId="CommentSubjectChar">
    <w:name w:val="Comment Subject Char"/>
    <w:basedOn w:val="CommentTextChar"/>
    <w:link w:val="CommentSubject"/>
    <w:uiPriority w:val="39"/>
    <w:semiHidden/>
    <w:rsid w:val="004B6BAC"/>
    <w:rPr>
      <w:b/>
      <w:bCs/>
      <w:sz w:val="20"/>
      <w:szCs w:val="20"/>
    </w:rPr>
  </w:style>
  <w:style w:type="character" w:styleId="CommentReference">
    <w:name w:val="annotation reference"/>
    <w:basedOn w:val="DefaultParagraphFont"/>
    <w:uiPriority w:val="39"/>
    <w:semiHidden/>
    <w:unhideWhenUsed/>
    <w:rsid w:val="004B6BAC"/>
    <w:rPr>
      <w:sz w:val="16"/>
      <w:szCs w:val="16"/>
    </w:rPr>
  </w:style>
  <w:style w:type="paragraph" w:styleId="DocumentMap">
    <w:name w:val="Document Map"/>
    <w:basedOn w:val="Normal"/>
    <w:link w:val="DocumentMapChar"/>
    <w:uiPriority w:val="39"/>
    <w:semiHidden/>
    <w:unhideWhenUsed/>
    <w:rsid w:val="004B6BA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39"/>
    <w:semiHidden/>
    <w:rsid w:val="004B6BAC"/>
    <w:rPr>
      <w:rFonts w:ascii="Segoe UI" w:hAnsi="Segoe UI" w:cs="Segoe UI"/>
      <w:sz w:val="16"/>
      <w:szCs w:val="16"/>
    </w:rPr>
  </w:style>
  <w:style w:type="paragraph" w:styleId="PlainText">
    <w:name w:val="Plain Text"/>
    <w:basedOn w:val="Normal"/>
    <w:link w:val="PlainTextChar"/>
    <w:uiPriority w:val="39"/>
    <w:semiHidden/>
    <w:unhideWhenUsed/>
    <w:rsid w:val="004B6BA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39"/>
    <w:semiHidden/>
    <w:rsid w:val="004B6BAC"/>
    <w:rPr>
      <w:rFonts w:ascii="Consolas" w:hAnsi="Consolas"/>
      <w:sz w:val="21"/>
      <w:szCs w:val="21"/>
    </w:rPr>
  </w:style>
  <w:style w:type="paragraph" w:customStyle="1" w:styleId="ListBulletContinue">
    <w:name w:val="List Bullet Continue"/>
    <w:basedOn w:val="ListContinue"/>
    <w:qFormat/>
    <w:rsid w:val="009F62B5"/>
    <w:pPr>
      <w:ind w:left="227"/>
    </w:pPr>
  </w:style>
  <w:style w:type="character" w:customStyle="1" w:styleId="Bold">
    <w:name w:val="Bold"/>
    <w:qFormat/>
    <w:rsid w:val="00D23179"/>
    <w:rPr>
      <w:rFonts w:ascii="Arial Bold" w:hAnsi="Arial Bold"/>
    </w:rPr>
  </w:style>
  <w:style w:type="numbering" w:customStyle="1" w:styleId="ListNumbers">
    <w:name w:val="ListNumbers"/>
    <w:uiPriority w:val="99"/>
    <w:rsid w:val="009D43BD"/>
    <w:pPr>
      <w:numPr>
        <w:numId w:val="11"/>
      </w:numPr>
    </w:pPr>
  </w:style>
  <w:style w:type="character" w:customStyle="1" w:styleId="UnresolvedMention10">
    <w:name w:val="Unresolved Mention1"/>
    <w:basedOn w:val="DefaultParagraphFont"/>
    <w:uiPriority w:val="99"/>
    <w:semiHidden/>
    <w:unhideWhenUsed/>
    <w:rsid w:val="00417B1B"/>
    <w:rPr>
      <w:color w:val="605E5C"/>
      <w:shd w:val="clear" w:color="auto" w:fill="E1DFDD"/>
    </w:rPr>
  </w:style>
  <w:style w:type="character" w:styleId="UnresolvedMention">
    <w:name w:val="Unresolved Mention"/>
    <w:basedOn w:val="DefaultParagraphFont"/>
    <w:uiPriority w:val="99"/>
    <w:semiHidden/>
    <w:unhideWhenUsed/>
    <w:rsid w:val="004E222A"/>
    <w:rPr>
      <w:color w:val="605E5C"/>
      <w:shd w:val="clear" w:color="auto" w:fill="E1DFDD"/>
    </w:rPr>
  </w:style>
  <w:style w:type="character" w:styleId="FollowedHyperlink">
    <w:name w:val="FollowedHyperlink"/>
    <w:basedOn w:val="DefaultParagraphFont"/>
    <w:semiHidden/>
    <w:unhideWhenUsed/>
    <w:rsid w:val="005B36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3829">
      <w:bodyDiv w:val="1"/>
      <w:marLeft w:val="0"/>
      <w:marRight w:val="0"/>
      <w:marTop w:val="0"/>
      <w:marBottom w:val="0"/>
      <w:divBdr>
        <w:top w:val="none" w:sz="0" w:space="0" w:color="auto"/>
        <w:left w:val="none" w:sz="0" w:space="0" w:color="auto"/>
        <w:bottom w:val="none" w:sz="0" w:space="0" w:color="auto"/>
        <w:right w:val="none" w:sz="0" w:space="0" w:color="auto"/>
      </w:divBdr>
    </w:div>
    <w:div w:id="1401951282">
      <w:bodyDiv w:val="1"/>
      <w:marLeft w:val="0"/>
      <w:marRight w:val="0"/>
      <w:marTop w:val="0"/>
      <w:marBottom w:val="0"/>
      <w:divBdr>
        <w:top w:val="none" w:sz="0" w:space="0" w:color="auto"/>
        <w:left w:val="none" w:sz="0" w:space="0" w:color="auto"/>
        <w:bottom w:val="none" w:sz="0" w:space="0" w:color="auto"/>
        <w:right w:val="none" w:sz="0" w:space="0" w:color="auto"/>
      </w:divBdr>
    </w:div>
    <w:div w:id="1720518016">
      <w:bodyDiv w:val="1"/>
      <w:marLeft w:val="0"/>
      <w:marRight w:val="0"/>
      <w:marTop w:val="0"/>
      <w:marBottom w:val="0"/>
      <w:divBdr>
        <w:top w:val="none" w:sz="0" w:space="0" w:color="auto"/>
        <w:left w:val="none" w:sz="0" w:space="0" w:color="auto"/>
        <w:bottom w:val="none" w:sz="0" w:space="0" w:color="auto"/>
        <w:right w:val="none" w:sz="0" w:space="0" w:color="auto"/>
      </w:divBdr>
    </w:div>
    <w:div w:id="20275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edback@courts.vic.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vpsc.vic.gov.au/resources/anzsco&#8209;coding&#8209;guides/" TargetMode="External"/><Relationship Id="rId1" Type="http://schemas.openxmlformats.org/officeDocument/2006/relationships/hyperlink" Target="http://the100percentproject.com.au/what&#8209;we&#8209;do/research/2021&#8209;breaking&#8209;d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572B108AC84C4DBA090C94C083F8EB"/>
        <w:category>
          <w:name w:val="General"/>
          <w:gallery w:val="placeholder"/>
        </w:category>
        <w:types>
          <w:type w:val="bbPlcHdr"/>
        </w:types>
        <w:behaviors>
          <w:behavior w:val="content"/>
        </w:behaviors>
        <w:guid w:val="{2CCD9081-EE2D-4A44-A9D9-16AD044D033E}"/>
      </w:docPartPr>
      <w:docPartBody>
        <w:p w:rsidR="0044049B" w:rsidRDefault="00CB610E">
          <w:r w:rsidRPr="002567F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Biennale Book">
    <w:altName w:val="Calibri"/>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78"/>
    <w:rsid w:val="0044049B"/>
    <w:rsid w:val="00656D59"/>
    <w:rsid w:val="006C0C78"/>
    <w:rsid w:val="00CB610E"/>
    <w:rsid w:val="00E520DA"/>
    <w:rsid w:val="00FA5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B61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Western Power">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6b68b1-b79e-4120-8c2d-262d412808a0">
      <UserInfo>
        <DisplayName>Fiona Durante</DisplayName>
        <AccountId>12</AccountId>
        <AccountType/>
      </UserInfo>
    </SharedWithUsers>
    <lcf76f155ced4ddcb4097134ff3c332f xmlns="028d6c07-48eb-4923-958f-1b96176d44b6">
      <Terms xmlns="http://schemas.microsoft.com/office/infopath/2007/PartnerControls"/>
    </lcf76f155ced4ddcb4097134ff3c332f>
    <TaxCatchAll xmlns="1b6b68b1-b79e-4120-8c2d-262d412808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CBFDEA46B5E4BB2066E4B7DECA515" ma:contentTypeVersion="14" ma:contentTypeDescription="Create a new document." ma:contentTypeScope="" ma:versionID="21bb3b0cc088851191a63e513f5855f8">
  <xsd:schema xmlns:xsd="http://www.w3.org/2001/XMLSchema" xmlns:xs="http://www.w3.org/2001/XMLSchema" xmlns:p="http://schemas.microsoft.com/office/2006/metadata/properties" xmlns:ns2="028d6c07-48eb-4923-958f-1b96176d44b6" xmlns:ns3="1b6b68b1-b79e-4120-8c2d-262d412808a0" targetNamespace="http://schemas.microsoft.com/office/2006/metadata/properties" ma:root="true" ma:fieldsID="d97146ce7b11f521a5f94e1bb8ddc854" ns2:_="" ns3:_="">
    <xsd:import namespace="028d6c07-48eb-4923-958f-1b96176d44b6"/>
    <xsd:import namespace="1b6b68b1-b79e-4120-8c2d-262d412808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6c07-48eb-4923-958f-1b96176d4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6b68b1-b79e-4120-8c2d-262d412808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3b15159-ca6e-4c89-b56f-868dc971f7ba}" ma:internalName="TaxCatchAll" ma:showField="CatchAllData" ma:web="1b6b68b1-b79e-4120-8c2d-262d412808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6A172-9822-4A2F-A8F4-A8C4AD463A01}">
  <ds:schemaRefs>
    <ds:schemaRef ds:uri="http://schemas.microsoft.com/office/2006/metadata/properties"/>
    <ds:schemaRef ds:uri="http://schemas.microsoft.com/office/infopath/2007/PartnerControls"/>
    <ds:schemaRef ds:uri="73d83999-3925-4a8c-8d71-3418e815230e"/>
    <ds:schemaRef ds:uri="14b199b6-5bb1-471a-bba6-9fa51ea13b5a"/>
  </ds:schemaRefs>
</ds:datastoreItem>
</file>

<file path=customXml/itemProps2.xml><?xml version="1.0" encoding="utf-8"?>
<ds:datastoreItem xmlns:ds="http://schemas.openxmlformats.org/officeDocument/2006/customXml" ds:itemID="{8A743166-C9B4-486A-B2C7-35D253EA30A0}">
  <ds:schemaRefs>
    <ds:schemaRef ds:uri="http://schemas.microsoft.com/sharepoint/v3/contenttype/forms"/>
  </ds:schemaRefs>
</ds:datastoreItem>
</file>

<file path=customXml/itemProps3.xml><?xml version="1.0" encoding="utf-8"?>
<ds:datastoreItem xmlns:ds="http://schemas.openxmlformats.org/officeDocument/2006/customXml" ds:itemID="{5F2FAE25-00B2-44AA-B381-96F61B69BAED}"/>
</file>

<file path=docProps/app.xml><?xml version="1.0" encoding="utf-8"?>
<Properties xmlns="http://schemas.openxmlformats.org/officeDocument/2006/extended-properties" xmlns:vt="http://schemas.openxmlformats.org/officeDocument/2006/docPropsVTypes">
  <Template>Normal.dotm</Template>
  <TotalTime>0</TotalTime>
  <Pages>38</Pages>
  <Words>10164</Words>
  <Characters>61990</Characters>
  <Application>Microsoft Office Word</Application>
  <DocSecurity>0</DocSecurity>
  <Lines>516</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Equality Action Plan</dc:title>
  <dc:subject/>
  <dc:creator/>
  <cp:keywords/>
  <cp:lastModifiedBy/>
  <cp:revision>1</cp:revision>
  <dcterms:created xsi:type="dcterms:W3CDTF">2022-08-04T02:46:00Z</dcterms:created>
  <dcterms:modified xsi:type="dcterms:W3CDTF">2022-08-04T03:24:00Z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0x01010091D62A8291AC574281C201B771815F2E</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BorderAboveAndBelow_1" visible="true" label="TemplateProject.modFormatting.BorderAboveAndBelow" imageMso="SelectionPaneHidden" onAction="BorderAboveAndBelow"/>
        <mso:button idQ="doc:BoldChrs_1" visible="true" label="TemplateProject.modFormatting.BoldChrs" imageMso="MagicEightBall" onAction="BoldChrs"/>
        <mso:button idQ="doc:SixPointsAbove_1" visible="true" label="TemplateProject.modFormatting.SixPointsAbove" imageMso="OutlineMoveUp" onAction="SixPointsAbove"/>
        <mso:control idQ="mso:TableStyleTotalRowWord" visible="true"/>
      </mso:documentControls>
    </mso:qat>
  </mso:ribbon>
</mso:customUI>
</file>