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09EF5E" w14:textId="6109063E" w:rsidR="006473E4" w:rsidRDefault="006473E4" w:rsidP="006473E4">
      <w:pPr>
        <w:pStyle w:val="Title"/>
      </w:pPr>
      <w:r>
        <w:t>Court Service</w:t>
      </w:r>
      <w:r w:rsidR="00760243">
        <w:t>s</w:t>
      </w:r>
      <w:r>
        <w:t xml:space="preserve"> Victoria</w:t>
      </w:r>
    </w:p>
    <w:p w14:paraId="0C30A1F3" w14:textId="77777777" w:rsidR="006473E4" w:rsidRDefault="006473E4" w:rsidP="006473E4">
      <w:pPr>
        <w:pStyle w:val="Title"/>
      </w:pPr>
      <w:r>
        <w:t>Annual Report 2015-16</w:t>
      </w:r>
    </w:p>
    <w:p w14:paraId="40C18E9D" w14:textId="77777777" w:rsidR="006473E4" w:rsidRDefault="006473E4" w:rsidP="006473E4"/>
    <w:p w14:paraId="5C8904BC" w14:textId="77777777" w:rsidR="00802F0B" w:rsidRDefault="00802F0B" w:rsidP="006473E4"/>
    <w:p w14:paraId="0F878920" w14:textId="77777777" w:rsidR="00802F0B" w:rsidRDefault="00802F0B" w:rsidP="006473E4"/>
    <w:p w14:paraId="5DA44885" w14:textId="77777777" w:rsidR="00802F0B" w:rsidRDefault="00802F0B" w:rsidP="006473E4"/>
    <w:p w14:paraId="027F037E" w14:textId="77777777" w:rsidR="00802F0B" w:rsidRDefault="00802F0B" w:rsidP="006473E4"/>
    <w:p w14:paraId="5DB59ED6" w14:textId="77777777" w:rsidR="00802F0B" w:rsidRDefault="00802F0B" w:rsidP="006473E4"/>
    <w:p w14:paraId="1B9B5C13" w14:textId="77777777" w:rsidR="00802F0B" w:rsidRDefault="00802F0B" w:rsidP="006473E4"/>
    <w:p w14:paraId="4F24C547" w14:textId="572FF821" w:rsidR="006473E4" w:rsidRPr="00525810" w:rsidRDefault="006473E4" w:rsidP="0003770C">
      <w:pPr>
        <w:pStyle w:val="Imprint"/>
      </w:pPr>
      <w:r>
        <w:br w:type="page"/>
      </w:r>
      <w:r w:rsidRPr="00525810">
        <w:lastRenderedPageBreak/>
        <w:t xml:space="preserve">Court Services Victoria acknowledges </w:t>
      </w:r>
      <w:r w:rsidR="00F373D4">
        <w:t xml:space="preserve">the </w:t>
      </w:r>
      <w:r w:rsidRPr="00525810">
        <w:t>Aboriginal and Torres Strait Islander people as the Traditional Custodians of the land. Court Services Victoria also acknowledges and pays respect to their Elders, past and present.</w:t>
      </w:r>
    </w:p>
    <w:p w14:paraId="50B12170" w14:textId="77777777" w:rsidR="006473E4" w:rsidRPr="00525810" w:rsidRDefault="006473E4" w:rsidP="0003770C">
      <w:pPr>
        <w:pStyle w:val="Imprint"/>
      </w:pPr>
    </w:p>
    <w:p w14:paraId="365CAE10" w14:textId="77777777" w:rsidR="006473E4" w:rsidRPr="00525810" w:rsidRDefault="006473E4" w:rsidP="0003770C">
      <w:pPr>
        <w:pStyle w:val="Imprint"/>
      </w:pPr>
      <w:r w:rsidRPr="00525810">
        <w:t xml:space="preserve">This report is protected by copyright. Apart from any use permitted under the </w:t>
      </w:r>
      <w:r w:rsidRPr="00C60580">
        <w:rPr>
          <w:i/>
        </w:rPr>
        <w:t>Copyright Act 1968</w:t>
      </w:r>
      <w:r w:rsidRPr="00525810">
        <w:t xml:space="preserve"> (Cth), all rights are  reserved.</w:t>
      </w:r>
    </w:p>
    <w:p w14:paraId="1C8E76A1" w14:textId="77777777" w:rsidR="006473E4" w:rsidRPr="00525810" w:rsidRDefault="006473E4" w:rsidP="0003770C">
      <w:pPr>
        <w:pStyle w:val="Imprint"/>
      </w:pPr>
    </w:p>
    <w:p w14:paraId="2069B7A9" w14:textId="77777777" w:rsidR="006473E4" w:rsidRPr="00525810" w:rsidRDefault="006473E4" w:rsidP="0003770C">
      <w:pPr>
        <w:pStyle w:val="Imprint"/>
      </w:pPr>
      <w:r w:rsidRPr="00525810">
        <w:t>Court Services Victoria</w:t>
      </w:r>
    </w:p>
    <w:p w14:paraId="12B79894" w14:textId="77777777" w:rsidR="006473E4" w:rsidRPr="00525810" w:rsidRDefault="006473E4" w:rsidP="0003770C">
      <w:pPr>
        <w:pStyle w:val="Imprint"/>
      </w:pPr>
    </w:p>
    <w:p w14:paraId="28651280" w14:textId="77777777" w:rsidR="006473E4" w:rsidRPr="00525810" w:rsidRDefault="006473E4" w:rsidP="0003770C">
      <w:pPr>
        <w:pStyle w:val="Imprint"/>
      </w:pPr>
      <w:r w:rsidRPr="00525810">
        <w:t>ISSN 2205-1090 (Print)</w:t>
      </w:r>
    </w:p>
    <w:p w14:paraId="48837CD6" w14:textId="77777777" w:rsidR="006473E4" w:rsidRPr="00525810" w:rsidRDefault="006473E4" w:rsidP="0003770C">
      <w:pPr>
        <w:pStyle w:val="Imprint"/>
      </w:pPr>
    </w:p>
    <w:p w14:paraId="7758EA64" w14:textId="77777777" w:rsidR="006473E4" w:rsidRPr="00525810" w:rsidRDefault="006473E4" w:rsidP="0003770C">
      <w:pPr>
        <w:pStyle w:val="Imprint"/>
      </w:pPr>
      <w:r w:rsidRPr="00525810">
        <w:t>Published by Court Services Victoria</w:t>
      </w:r>
    </w:p>
    <w:p w14:paraId="2924F790" w14:textId="77777777" w:rsidR="006473E4" w:rsidRPr="00525810" w:rsidRDefault="006473E4" w:rsidP="0003770C">
      <w:pPr>
        <w:pStyle w:val="Imprint"/>
      </w:pPr>
      <w:r w:rsidRPr="00525810">
        <w:t xml:space="preserve">Design: Celsius Design </w:t>
      </w:r>
    </w:p>
    <w:p w14:paraId="0A3A2542" w14:textId="7D51E0C4" w:rsidR="006473E4" w:rsidRPr="00525810" w:rsidRDefault="00F86112" w:rsidP="0003770C">
      <w:pPr>
        <w:pStyle w:val="Imprint"/>
      </w:pPr>
      <w:r>
        <w:t xml:space="preserve">Photography: Bonnie </w:t>
      </w:r>
      <w:r w:rsidR="006473E4" w:rsidRPr="00525810">
        <w:t xml:space="preserve">Savage </w:t>
      </w:r>
      <w:r>
        <w:t>and William Hung</w:t>
      </w:r>
    </w:p>
    <w:p w14:paraId="73B41590" w14:textId="70CD873C" w:rsidR="006473E4" w:rsidRPr="00525810" w:rsidRDefault="00F73D3B" w:rsidP="0003770C">
      <w:pPr>
        <w:pStyle w:val="Imprint"/>
      </w:pPr>
      <w:r>
        <w:t>November 2016</w:t>
      </w:r>
    </w:p>
    <w:p w14:paraId="5EAC252E" w14:textId="77777777" w:rsidR="006473E4" w:rsidRPr="00525810" w:rsidRDefault="006473E4" w:rsidP="0003770C">
      <w:pPr>
        <w:pStyle w:val="Imprint"/>
      </w:pPr>
    </w:p>
    <w:p w14:paraId="0D1B36E5" w14:textId="77777777" w:rsidR="006473E4" w:rsidRPr="00525810" w:rsidRDefault="006473E4" w:rsidP="0003770C">
      <w:pPr>
        <w:pStyle w:val="Imprint"/>
      </w:pPr>
    </w:p>
    <w:p w14:paraId="6815B938" w14:textId="77777777" w:rsidR="006473E4" w:rsidRPr="00525810" w:rsidRDefault="006473E4" w:rsidP="0003770C">
      <w:pPr>
        <w:pStyle w:val="Imprint"/>
      </w:pPr>
      <w:r w:rsidRPr="00525810">
        <w:t>This report may also be downloaded from the Court Services Victoria website www.courts.vic.gov.au</w:t>
      </w:r>
    </w:p>
    <w:p w14:paraId="246F84DE" w14:textId="77777777" w:rsidR="006473E4" w:rsidRPr="00525810" w:rsidRDefault="006473E4" w:rsidP="0003770C">
      <w:pPr>
        <w:pStyle w:val="Imprint"/>
      </w:pPr>
    </w:p>
    <w:p w14:paraId="65490539" w14:textId="77777777" w:rsidR="006473E4" w:rsidRPr="00525810" w:rsidRDefault="006473E4" w:rsidP="0003770C">
      <w:pPr>
        <w:pStyle w:val="Imprint"/>
      </w:pPr>
      <w:r w:rsidRPr="00525810">
        <w:t>Accessibility</w:t>
      </w:r>
    </w:p>
    <w:p w14:paraId="3D5A4DF9" w14:textId="77777777" w:rsidR="006473E4" w:rsidRPr="00525810" w:rsidRDefault="006473E4" w:rsidP="0003770C">
      <w:pPr>
        <w:pStyle w:val="Imprint"/>
      </w:pPr>
      <w:r w:rsidRPr="00525810">
        <w:t>If you would like to receive a printed copy of this publication, please email feedback@courts.vic.gov.au</w:t>
      </w:r>
    </w:p>
    <w:p w14:paraId="4C6E235F" w14:textId="77777777" w:rsidR="006473E4" w:rsidRPr="00525810" w:rsidRDefault="006473E4" w:rsidP="0003770C">
      <w:pPr>
        <w:pStyle w:val="Imprint"/>
      </w:pPr>
    </w:p>
    <w:p w14:paraId="384FCC27" w14:textId="77777777" w:rsidR="006473E4" w:rsidRPr="00525810" w:rsidRDefault="006473E4" w:rsidP="0003770C">
      <w:pPr>
        <w:pStyle w:val="Imprint"/>
      </w:pPr>
      <w:r w:rsidRPr="00525810">
        <w:t>Enquires:</w:t>
      </w:r>
    </w:p>
    <w:p w14:paraId="6857C96F" w14:textId="77777777" w:rsidR="006473E4" w:rsidRPr="00525810" w:rsidRDefault="006473E4" w:rsidP="0003770C">
      <w:pPr>
        <w:pStyle w:val="Imprint"/>
      </w:pPr>
      <w:r w:rsidRPr="00525810">
        <w:t>Court Services Victoria</w:t>
      </w:r>
    </w:p>
    <w:p w14:paraId="0AD79C4A" w14:textId="77777777" w:rsidR="006473E4" w:rsidRPr="00525810" w:rsidRDefault="006473E4" w:rsidP="0003770C">
      <w:pPr>
        <w:pStyle w:val="Imprint"/>
      </w:pPr>
      <w:r w:rsidRPr="00525810">
        <w:t>223 William Street</w:t>
      </w:r>
    </w:p>
    <w:p w14:paraId="0C938B1E" w14:textId="77777777" w:rsidR="006473E4" w:rsidRPr="00525810" w:rsidRDefault="006473E4" w:rsidP="0003770C">
      <w:pPr>
        <w:pStyle w:val="Imprint"/>
      </w:pPr>
      <w:r w:rsidRPr="00525810">
        <w:t>Melbourne Vic 3000</w:t>
      </w:r>
    </w:p>
    <w:p w14:paraId="134CB546" w14:textId="77777777" w:rsidR="006473E4" w:rsidRPr="00525810" w:rsidRDefault="006473E4" w:rsidP="0003770C">
      <w:pPr>
        <w:pStyle w:val="Imprint"/>
      </w:pPr>
      <w:r w:rsidRPr="00525810">
        <w:t>Email: feedback@courts.vic.gov.au</w:t>
      </w:r>
    </w:p>
    <w:p w14:paraId="428C6001" w14:textId="77777777" w:rsidR="006304E2" w:rsidRDefault="006473E4" w:rsidP="006304E2">
      <w:pPr>
        <w:pStyle w:val="TOC2"/>
        <w:rPr>
          <w:noProof/>
        </w:rPr>
      </w:pPr>
      <w:r>
        <w:br w:type="page"/>
      </w:r>
      <w:r w:rsidR="006304E2">
        <w:fldChar w:fldCharType="begin"/>
      </w:r>
      <w:r w:rsidR="006304E2">
        <w:instrText xml:space="preserve"> TOC \h \z \t "Heading 1,1,Heading 2,2" </w:instrText>
      </w:r>
      <w:r w:rsidR="006304E2">
        <w:fldChar w:fldCharType="separate"/>
      </w:r>
    </w:p>
    <w:p w14:paraId="1E4BEAB2" w14:textId="77777777" w:rsidR="006304E2" w:rsidRDefault="006304E2">
      <w:pPr>
        <w:pStyle w:val="TOC2"/>
        <w:rPr>
          <w:rFonts w:asciiTheme="minorHAnsi" w:eastAsiaTheme="minorEastAsia" w:hAnsiTheme="minorHAnsi" w:cstheme="minorBidi"/>
          <w:noProof/>
        </w:rPr>
      </w:pPr>
      <w:hyperlink w:anchor="_Toc466381155" w:history="1">
        <w:r w:rsidRPr="0038326B">
          <w:rPr>
            <w:rStyle w:val="Hyperlink"/>
            <w:noProof/>
          </w:rPr>
          <w:t>Message from the Chair</w:t>
        </w:r>
        <w:r>
          <w:rPr>
            <w:noProof/>
            <w:webHidden/>
          </w:rPr>
          <w:tab/>
        </w:r>
        <w:r>
          <w:rPr>
            <w:noProof/>
            <w:webHidden/>
          </w:rPr>
          <w:fldChar w:fldCharType="begin"/>
        </w:r>
        <w:r>
          <w:rPr>
            <w:noProof/>
            <w:webHidden/>
          </w:rPr>
          <w:instrText xml:space="preserve"> PAGEREF _Toc466381155 \h </w:instrText>
        </w:r>
        <w:r>
          <w:rPr>
            <w:noProof/>
            <w:webHidden/>
          </w:rPr>
        </w:r>
        <w:r>
          <w:rPr>
            <w:noProof/>
            <w:webHidden/>
          </w:rPr>
          <w:fldChar w:fldCharType="separate"/>
        </w:r>
        <w:r w:rsidR="00EC488A">
          <w:rPr>
            <w:noProof/>
            <w:webHidden/>
          </w:rPr>
          <w:t>6</w:t>
        </w:r>
        <w:r>
          <w:rPr>
            <w:noProof/>
            <w:webHidden/>
          </w:rPr>
          <w:fldChar w:fldCharType="end"/>
        </w:r>
      </w:hyperlink>
    </w:p>
    <w:p w14:paraId="61776A75" w14:textId="77777777" w:rsidR="006304E2" w:rsidRDefault="006304E2">
      <w:pPr>
        <w:pStyle w:val="TOC2"/>
        <w:rPr>
          <w:rFonts w:asciiTheme="minorHAnsi" w:eastAsiaTheme="minorEastAsia" w:hAnsiTheme="minorHAnsi" w:cstheme="minorBidi"/>
          <w:noProof/>
        </w:rPr>
      </w:pPr>
      <w:hyperlink w:anchor="_Toc466381156" w:history="1">
        <w:r w:rsidRPr="0038326B">
          <w:rPr>
            <w:rStyle w:val="Hyperlink"/>
            <w:noProof/>
          </w:rPr>
          <w:t>Message from the Chief Executive Officer</w:t>
        </w:r>
        <w:r>
          <w:rPr>
            <w:noProof/>
            <w:webHidden/>
          </w:rPr>
          <w:tab/>
        </w:r>
        <w:r>
          <w:rPr>
            <w:noProof/>
            <w:webHidden/>
          </w:rPr>
          <w:fldChar w:fldCharType="begin"/>
        </w:r>
        <w:r>
          <w:rPr>
            <w:noProof/>
            <w:webHidden/>
          </w:rPr>
          <w:instrText xml:space="preserve"> PAGEREF _Toc466381156 \h </w:instrText>
        </w:r>
        <w:r>
          <w:rPr>
            <w:noProof/>
            <w:webHidden/>
          </w:rPr>
        </w:r>
        <w:r>
          <w:rPr>
            <w:noProof/>
            <w:webHidden/>
          </w:rPr>
          <w:fldChar w:fldCharType="separate"/>
        </w:r>
        <w:r w:rsidR="00EC488A">
          <w:rPr>
            <w:noProof/>
            <w:webHidden/>
          </w:rPr>
          <w:t>9</w:t>
        </w:r>
        <w:r>
          <w:rPr>
            <w:noProof/>
            <w:webHidden/>
          </w:rPr>
          <w:fldChar w:fldCharType="end"/>
        </w:r>
      </w:hyperlink>
    </w:p>
    <w:p w14:paraId="3D3BE265" w14:textId="77777777" w:rsidR="006304E2" w:rsidRDefault="006304E2">
      <w:pPr>
        <w:pStyle w:val="TOC1"/>
        <w:rPr>
          <w:rFonts w:asciiTheme="minorHAnsi" w:eastAsiaTheme="minorEastAsia" w:hAnsiTheme="minorHAnsi" w:cstheme="minorBidi"/>
          <w:noProof/>
        </w:rPr>
      </w:pPr>
      <w:hyperlink w:anchor="_Toc466381157" w:history="1">
        <w:r w:rsidRPr="0038326B">
          <w:rPr>
            <w:rStyle w:val="Hyperlink"/>
            <w:noProof/>
          </w:rPr>
          <w:t>SECTION 1: GOVERNANCE AND ORGANISATIONAL STRUCTURE</w:t>
        </w:r>
        <w:r>
          <w:rPr>
            <w:noProof/>
            <w:webHidden/>
          </w:rPr>
          <w:tab/>
        </w:r>
        <w:r>
          <w:rPr>
            <w:noProof/>
            <w:webHidden/>
          </w:rPr>
          <w:fldChar w:fldCharType="begin"/>
        </w:r>
        <w:r>
          <w:rPr>
            <w:noProof/>
            <w:webHidden/>
          </w:rPr>
          <w:instrText xml:space="preserve"> PAGEREF _Toc466381157 \h </w:instrText>
        </w:r>
        <w:r>
          <w:rPr>
            <w:noProof/>
            <w:webHidden/>
          </w:rPr>
        </w:r>
        <w:r>
          <w:rPr>
            <w:noProof/>
            <w:webHidden/>
          </w:rPr>
          <w:fldChar w:fldCharType="separate"/>
        </w:r>
        <w:r w:rsidR="00EC488A">
          <w:rPr>
            <w:noProof/>
            <w:webHidden/>
          </w:rPr>
          <w:t>11</w:t>
        </w:r>
        <w:r>
          <w:rPr>
            <w:noProof/>
            <w:webHidden/>
          </w:rPr>
          <w:fldChar w:fldCharType="end"/>
        </w:r>
      </w:hyperlink>
    </w:p>
    <w:p w14:paraId="3D691901" w14:textId="77777777" w:rsidR="006304E2" w:rsidRDefault="006304E2">
      <w:pPr>
        <w:pStyle w:val="TOC2"/>
        <w:rPr>
          <w:rFonts w:asciiTheme="minorHAnsi" w:eastAsiaTheme="minorEastAsia" w:hAnsiTheme="minorHAnsi" w:cstheme="minorBidi"/>
          <w:noProof/>
        </w:rPr>
      </w:pPr>
      <w:hyperlink w:anchor="_Toc466381158" w:history="1">
        <w:r w:rsidRPr="0038326B">
          <w:rPr>
            <w:rStyle w:val="Hyperlink"/>
            <w:noProof/>
          </w:rPr>
          <w:t>About Court Services Victoria</w:t>
        </w:r>
        <w:r>
          <w:rPr>
            <w:noProof/>
            <w:webHidden/>
          </w:rPr>
          <w:tab/>
        </w:r>
        <w:r>
          <w:rPr>
            <w:noProof/>
            <w:webHidden/>
          </w:rPr>
          <w:fldChar w:fldCharType="begin"/>
        </w:r>
        <w:r>
          <w:rPr>
            <w:noProof/>
            <w:webHidden/>
          </w:rPr>
          <w:instrText xml:space="preserve"> PAGEREF _Toc466381158 \h </w:instrText>
        </w:r>
        <w:r>
          <w:rPr>
            <w:noProof/>
            <w:webHidden/>
          </w:rPr>
        </w:r>
        <w:r>
          <w:rPr>
            <w:noProof/>
            <w:webHidden/>
          </w:rPr>
          <w:fldChar w:fldCharType="separate"/>
        </w:r>
        <w:r w:rsidR="00EC488A">
          <w:rPr>
            <w:noProof/>
            <w:webHidden/>
          </w:rPr>
          <w:t>11</w:t>
        </w:r>
        <w:r>
          <w:rPr>
            <w:noProof/>
            <w:webHidden/>
          </w:rPr>
          <w:fldChar w:fldCharType="end"/>
        </w:r>
      </w:hyperlink>
    </w:p>
    <w:p w14:paraId="03F10CD0" w14:textId="77777777" w:rsidR="006304E2" w:rsidRDefault="006304E2">
      <w:pPr>
        <w:pStyle w:val="TOC2"/>
        <w:rPr>
          <w:rFonts w:asciiTheme="minorHAnsi" w:eastAsiaTheme="minorEastAsia" w:hAnsiTheme="minorHAnsi" w:cstheme="minorBidi"/>
          <w:noProof/>
        </w:rPr>
      </w:pPr>
      <w:hyperlink w:anchor="_Toc466381159" w:history="1">
        <w:r w:rsidRPr="0038326B">
          <w:rPr>
            <w:rStyle w:val="Hyperlink"/>
            <w:noProof/>
          </w:rPr>
          <w:t>Organisational Structure and Corporate Governance Arrangements</w:t>
        </w:r>
        <w:r>
          <w:rPr>
            <w:noProof/>
            <w:webHidden/>
          </w:rPr>
          <w:tab/>
        </w:r>
        <w:r>
          <w:rPr>
            <w:noProof/>
            <w:webHidden/>
          </w:rPr>
          <w:fldChar w:fldCharType="begin"/>
        </w:r>
        <w:r>
          <w:rPr>
            <w:noProof/>
            <w:webHidden/>
          </w:rPr>
          <w:instrText xml:space="preserve"> PAGEREF _Toc466381159 \h </w:instrText>
        </w:r>
        <w:r>
          <w:rPr>
            <w:noProof/>
            <w:webHidden/>
          </w:rPr>
        </w:r>
        <w:r>
          <w:rPr>
            <w:noProof/>
            <w:webHidden/>
          </w:rPr>
          <w:fldChar w:fldCharType="separate"/>
        </w:r>
        <w:r w:rsidR="00EC488A">
          <w:rPr>
            <w:noProof/>
            <w:webHidden/>
          </w:rPr>
          <w:t>12</w:t>
        </w:r>
        <w:r>
          <w:rPr>
            <w:noProof/>
            <w:webHidden/>
          </w:rPr>
          <w:fldChar w:fldCharType="end"/>
        </w:r>
      </w:hyperlink>
    </w:p>
    <w:p w14:paraId="51854C0C" w14:textId="77777777" w:rsidR="006304E2" w:rsidRDefault="006304E2">
      <w:pPr>
        <w:pStyle w:val="TOC2"/>
        <w:rPr>
          <w:rFonts w:asciiTheme="minorHAnsi" w:eastAsiaTheme="minorEastAsia" w:hAnsiTheme="minorHAnsi" w:cstheme="minorBidi"/>
          <w:noProof/>
        </w:rPr>
      </w:pPr>
      <w:hyperlink w:anchor="_Toc466381160" w:history="1">
        <w:r w:rsidRPr="0038326B">
          <w:rPr>
            <w:rStyle w:val="Hyperlink"/>
            <w:noProof/>
          </w:rPr>
          <w:t>Governing Body</w:t>
        </w:r>
        <w:r>
          <w:rPr>
            <w:noProof/>
            <w:webHidden/>
          </w:rPr>
          <w:tab/>
        </w:r>
        <w:r>
          <w:rPr>
            <w:noProof/>
            <w:webHidden/>
          </w:rPr>
          <w:fldChar w:fldCharType="begin"/>
        </w:r>
        <w:r>
          <w:rPr>
            <w:noProof/>
            <w:webHidden/>
          </w:rPr>
          <w:instrText xml:space="preserve"> PAGEREF _Toc466381160 \h </w:instrText>
        </w:r>
        <w:r>
          <w:rPr>
            <w:noProof/>
            <w:webHidden/>
          </w:rPr>
        </w:r>
        <w:r>
          <w:rPr>
            <w:noProof/>
            <w:webHidden/>
          </w:rPr>
          <w:fldChar w:fldCharType="separate"/>
        </w:r>
        <w:r w:rsidR="00EC488A">
          <w:rPr>
            <w:noProof/>
            <w:webHidden/>
          </w:rPr>
          <w:t>13</w:t>
        </w:r>
        <w:r>
          <w:rPr>
            <w:noProof/>
            <w:webHidden/>
          </w:rPr>
          <w:fldChar w:fldCharType="end"/>
        </w:r>
      </w:hyperlink>
    </w:p>
    <w:p w14:paraId="01C342F4" w14:textId="77777777" w:rsidR="006304E2" w:rsidRDefault="006304E2">
      <w:pPr>
        <w:pStyle w:val="TOC2"/>
        <w:rPr>
          <w:rFonts w:asciiTheme="minorHAnsi" w:eastAsiaTheme="minorEastAsia" w:hAnsiTheme="minorHAnsi" w:cstheme="minorBidi"/>
          <w:noProof/>
        </w:rPr>
      </w:pPr>
      <w:hyperlink w:anchor="_Toc466381161" w:history="1">
        <w:r w:rsidRPr="0038326B">
          <w:rPr>
            <w:rStyle w:val="Hyperlink"/>
            <w:noProof/>
          </w:rPr>
          <w:t>Senior Executive</w:t>
        </w:r>
        <w:r>
          <w:rPr>
            <w:noProof/>
            <w:webHidden/>
          </w:rPr>
          <w:tab/>
        </w:r>
        <w:r>
          <w:rPr>
            <w:noProof/>
            <w:webHidden/>
          </w:rPr>
          <w:fldChar w:fldCharType="begin"/>
        </w:r>
        <w:r>
          <w:rPr>
            <w:noProof/>
            <w:webHidden/>
          </w:rPr>
          <w:instrText xml:space="preserve"> PAGEREF _Toc466381161 \h </w:instrText>
        </w:r>
        <w:r>
          <w:rPr>
            <w:noProof/>
            <w:webHidden/>
          </w:rPr>
        </w:r>
        <w:r>
          <w:rPr>
            <w:noProof/>
            <w:webHidden/>
          </w:rPr>
          <w:fldChar w:fldCharType="separate"/>
        </w:r>
        <w:r w:rsidR="00EC488A">
          <w:rPr>
            <w:noProof/>
            <w:webHidden/>
          </w:rPr>
          <w:t>15</w:t>
        </w:r>
        <w:r>
          <w:rPr>
            <w:noProof/>
            <w:webHidden/>
          </w:rPr>
          <w:fldChar w:fldCharType="end"/>
        </w:r>
      </w:hyperlink>
    </w:p>
    <w:p w14:paraId="3AEC2EE8" w14:textId="77777777" w:rsidR="006304E2" w:rsidRDefault="006304E2">
      <w:pPr>
        <w:pStyle w:val="TOC1"/>
        <w:rPr>
          <w:rFonts w:asciiTheme="minorHAnsi" w:eastAsiaTheme="minorEastAsia" w:hAnsiTheme="minorHAnsi" w:cstheme="minorBidi"/>
          <w:noProof/>
        </w:rPr>
      </w:pPr>
      <w:hyperlink w:anchor="_Toc466381162" w:history="1">
        <w:r w:rsidRPr="0038326B">
          <w:rPr>
            <w:rStyle w:val="Hyperlink"/>
            <w:noProof/>
          </w:rPr>
          <w:t>SECTION 2: YEAR IN REVIEW</w:t>
        </w:r>
        <w:r>
          <w:rPr>
            <w:noProof/>
            <w:webHidden/>
          </w:rPr>
          <w:tab/>
        </w:r>
        <w:r>
          <w:rPr>
            <w:noProof/>
            <w:webHidden/>
          </w:rPr>
          <w:fldChar w:fldCharType="begin"/>
        </w:r>
        <w:r>
          <w:rPr>
            <w:noProof/>
            <w:webHidden/>
          </w:rPr>
          <w:instrText xml:space="preserve"> PAGEREF _Toc466381162 \h </w:instrText>
        </w:r>
        <w:r>
          <w:rPr>
            <w:noProof/>
            <w:webHidden/>
          </w:rPr>
        </w:r>
        <w:r>
          <w:rPr>
            <w:noProof/>
            <w:webHidden/>
          </w:rPr>
          <w:fldChar w:fldCharType="separate"/>
        </w:r>
        <w:r w:rsidR="00EC488A">
          <w:rPr>
            <w:noProof/>
            <w:webHidden/>
          </w:rPr>
          <w:t>17</w:t>
        </w:r>
        <w:r>
          <w:rPr>
            <w:noProof/>
            <w:webHidden/>
          </w:rPr>
          <w:fldChar w:fldCharType="end"/>
        </w:r>
      </w:hyperlink>
      <w:bookmarkStart w:id="0" w:name="_GoBack"/>
      <w:bookmarkEnd w:id="0"/>
    </w:p>
    <w:p w14:paraId="11D050D4" w14:textId="77777777" w:rsidR="006304E2" w:rsidRDefault="006304E2">
      <w:pPr>
        <w:pStyle w:val="TOC2"/>
        <w:rPr>
          <w:rFonts w:asciiTheme="minorHAnsi" w:eastAsiaTheme="minorEastAsia" w:hAnsiTheme="minorHAnsi" w:cstheme="minorBidi"/>
          <w:noProof/>
        </w:rPr>
      </w:pPr>
      <w:hyperlink w:anchor="_Toc466381163" w:history="1">
        <w:r w:rsidRPr="0038326B">
          <w:rPr>
            <w:rStyle w:val="Hyperlink"/>
            <w:noProof/>
          </w:rPr>
          <w:t>Corporate Services Division</w:t>
        </w:r>
        <w:r>
          <w:rPr>
            <w:noProof/>
            <w:webHidden/>
          </w:rPr>
          <w:tab/>
        </w:r>
        <w:r>
          <w:rPr>
            <w:noProof/>
            <w:webHidden/>
          </w:rPr>
          <w:fldChar w:fldCharType="begin"/>
        </w:r>
        <w:r>
          <w:rPr>
            <w:noProof/>
            <w:webHidden/>
          </w:rPr>
          <w:instrText xml:space="preserve"> PAGEREF _Toc466381163 \h </w:instrText>
        </w:r>
        <w:r>
          <w:rPr>
            <w:noProof/>
            <w:webHidden/>
          </w:rPr>
        </w:r>
        <w:r>
          <w:rPr>
            <w:noProof/>
            <w:webHidden/>
          </w:rPr>
          <w:fldChar w:fldCharType="separate"/>
        </w:r>
        <w:r w:rsidR="00EC488A">
          <w:rPr>
            <w:noProof/>
            <w:webHidden/>
          </w:rPr>
          <w:t>17</w:t>
        </w:r>
        <w:r>
          <w:rPr>
            <w:noProof/>
            <w:webHidden/>
          </w:rPr>
          <w:fldChar w:fldCharType="end"/>
        </w:r>
      </w:hyperlink>
    </w:p>
    <w:p w14:paraId="7FB997A0" w14:textId="77777777" w:rsidR="006304E2" w:rsidRDefault="006304E2">
      <w:pPr>
        <w:pStyle w:val="TOC2"/>
        <w:rPr>
          <w:rFonts w:asciiTheme="minorHAnsi" w:eastAsiaTheme="minorEastAsia" w:hAnsiTheme="minorHAnsi" w:cstheme="minorBidi"/>
          <w:noProof/>
        </w:rPr>
      </w:pPr>
      <w:hyperlink w:anchor="_Toc466381164" w:history="1">
        <w:r w:rsidRPr="0038326B">
          <w:rPr>
            <w:rStyle w:val="Hyperlink"/>
            <w:noProof/>
          </w:rPr>
          <w:t>Financial Analysis, Planning and Reporting Division</w:t>
        </w:r>
        <w:r>
          <w:rPr>
            <w:noProof/>
            <w:webHidden/>
          </w:rPr>
          <w:tab/>
        </w:r>
        <w:r>
          <w:rPr>
            <w:noProof/>
            <w:webHidden/>
          </w:rPr>
          <w:fldChar w:fldCharType="begin"/>
        </w:r>
        <w:r>
          <w:rPr>
            <w:noProof/>
            <w:webHidden/>
          </w:rPr>
          <w:instrText xml:space="preserve"> PAGEREF _Toc466381164 \h </w:instrText>
        </w:r>
        <w:r>
          <w:rPr>
            <w:noProof/>
            <w:webHidden/>
          </w:rPr>
        </w:r>
        <w:r>
          <w:rPr>
            <w:noProof/>
            <w:webHidden/>
          </w:rPr>
          <w:fldChar w:fldCharType="separate"/>
        </w:r>
        <w:r w:rsidR="00EC488A">
          <w:rPr>
            <w:noProof/>
            <w:webHidden/>
          </w:rPr>
          <w:t>19</w:t>
        </w:r>
        <w:r>
          <w:rPr>
            <w:noProof/>
            <w:webHidden/>
          </w:rPr>
          <w:fldChar w:fldCharType="end"/>
        </w:r>
      </w:hyperlink>
    </w:p>
    <w:p w14:paraId="0DFAC153" w14:textId="77777777" w:rsidR="006304E2" w:rsidRDefault="006304E2">
      <w:pPr>
        <w:pStyle w:val="TOC2"/>
        <w:rPr>
          <w:rFonts w:asciiTheme="minorHAnsi" w:eastAsiaTheme="minorEastAsia" w:hAnsiTheme="minorHAnsi" w:cstheme="minorBidi"/>
          <w:noProof/>
        </w:rPr>
      </w:pPr>
      <w:hyperlink w:anchor="_Toc466381165" w:history="1">
        <w:r w:rsidRPr="0038326B">
          <w:rPr>
            <w:rStyle w:val="Hyperlink"/>
            <w:noProof/>
          </w:rPr>
          <w:t>Information Technology Services Division</w:t>
        </w:r>
        <w:r>
          <w:rPr>
            <w:noProof/>
            <w:webHidden/>
          </w:rPr>
          <w:tab/>
        </w:r>
        <w:r>
          <w:rPr>
            <w:noProof/>
            <w:webHidden/>
          </w:rPr>
          <w:fldChar w:fldCharType="begin"/>
        </w:r>
        <w:r>
          <w:rPr>
            <w:noProof/>
            <w:webHidden/>
          </w:rPr>
          <w:instrText xml:space="preserve"> PAGEREF _Toc466381165 \h </w:instrText>
        </w:r>
        <w:r>
          <w:rPr>
            <w:noProof/>
            <w:webHidden/>
          </w:rPr>
        </w:r>
        <w:r>
          <w:rPr>
            <w:noProof/>
            <w:webHidden/>
          </w:rPr>
          <w:fldChar w:fldCharType="separate"/>
        </w:r>
        <w:r w:rsidR="00EC488A">
          <w:rPr>
            <w:noProof/>
            <w:webHidden/>
          </w:rPr>
          <w:t>21</w:t>
        </w:r>
        <w:r>
          <w:rPr>
            <w:noProof/>
            <w:webHidden/>
          </w:rPr>
          <w:fldChar w:fldCharType="end"/>
        </w:r>
      </w:hyperlink>
    </w:p>
    <w:p w14:paraId="67D74BB7" w14:textId="77777777" w:rsidR="006304E2" w:rsidRDefault="006304E2">
      <w:pPr>
        <w:pStyle w:val="TOC2"/>
        <w:rPr>
          <w:rFonts w:asciiTheme="minorHAnsi" w:eastAsiaTheme="minorEastAsia" w:hAnsiTheme="minorHAnsi" w:cstheme="minorBidi"/>
          <w:noProof/>
        </w:rPr>
      </w:pPr>
      <w:hyperlink w:anchor="_Toc466381166" w:history="1">
        <w:r w:rsidRPr="0038326B">
          <w:rPr>
            <w:rStyle w:val="Hyperlink"/>
            <w:noProof/>
          </w:rPr>
          <w:t>Assets and Security Division</w:t>
        </w:r>
        <w:r>
          <w:rPr>
            <w:noProof/>
            <w:webHidden/>
          </w:rPr>
          <w:tab/>
        </w:r>
        <w:r>
          <w:rPr>
            <w:noProof/>
            <w:webHidden/>
          </w:rPr>
          <w:fldChar w:fldCharType="begin"/>
        </w:r>
        <w:r>
          <w:rPr>
            <w:noProof/>
            <w:webHidden/>
          </w:rPr>
          <w:instrText xml:space="preserve"> PAGEREF _Toc466381166 \h </w:instrText>
        </w:r>
        <w:r>
          <w:rPr>
            <w:noProof/>
            <w:webHidden/>
          </w:rPr>
        </w:r>
        <w:r>
          <w:rPr>
            <w:noProof/>
            <w:webHidden/>
          </w:rPr>
          <w:fldChar w:fldCharType="separate"/>
        </w:r>
        <w:r w:rsidR="00EC488A">
          <w:rPr>
            <w:noProof/>
            <w:webHidden/>
          </w:rPr>
          <w:t>22</w:t>
        </w:r>
        <w:r>
          <w:rPr>
            <w:noProof/>
            <w:webHidden/>
          </w:rPr>
          <w:fldChar w:fldCharType="end"/>
        </w:r>
      </w:hyperlink>
    </w:p>
    <w:p w14:paraId="49809F05" w14:textId="77777777" w:rsidR="006304E2" w:rsidRDefault="006304E2">
      <w:pPr>
        <w:pStyle w:val="TOC2"/>
        <w:rPr>
          <w:rFonts w:asciiTheme="minorHAnsi" w:eastAsiaTheme="minorEastAsia" w:hAnsiTheme="minorHAnsi" w:cstheme="minorBidi"/>
          <w:noProof/>
        </w:rPr>
      </w:pPr>
      <w:hyperlink w:anchor="_Toc466381167" w:history="1">
        <w:r w:rsidRPr="0038326B">
          <w:rPr>
            <w:rStyle w:val="Hyperlink"/>
            <w:noProof/>
          </w:rPr>
          <w:t>Capital Projects</w:t>
        </w:r>
        <w:r>
          <w:rPr>
            <w:noProof/>
            <w:webHidden/>
          </w:rPr>
          <w:tab/>
        </w:r>
        <w:r>
          <w:rPr>
            <w:noProof/>
            <w:webHidden/>
          </w:rPr>
          <w:fldChar w:fldCharType="begin"/>
        </w:r>
        <w:r>
          <w:rPr>
            <w:noProof/>
            <w:webHidden/>
          </w:rPr>
          <w:instrText xml:space="preserve"> PAGEREF _Toc466381167 \h </w:instrText>
        </w:r>
        <w:r>
          <w:rPr>
            <w:noProof/>
            <w:webHidden/>
          </w:rPr>
        </w:r>
        <w:r>
          <w:rPr>
            <w:noProof/>
            <w:webHidden/>
          </w:rPr>
          <w:fldChar w:fldCharType="separate"/>
        </w:r>
        <w:r w:rsidR="00EC488A">
          <w:rPr>
            <w:noProof/>
            <w:webHidden/>
          </w:rPr>
          <w:t>24</w:t>
        </w:r>
        <w:r>
          <w:rPr>
            <w:noProof/>
            <w:webHidden/>
          </w:rPr>
          <w:fldChar w:fldCharType="end"/>
        </w:r>
      </w:hyperlink>
    </w:p>
    <w:p w14:paraId="6661601A" w14:textId="77777777" w:rsidR="006304E2" w:rsidRDefault="006304E2">
      <w:pPr>
        <w:pStyle w:val="TOC2"/>
        <w:rPr>
          <w:rFonts w:asciiTheme="minorHAnsi" w:eastAsiaTheme="minorEastAsia" w:hAnsiTheme="minorHAnsi" w:cstheme="minorBidi"/>
          <w:noProof/>
        </w:rPr>
      </w:pPr>
      <w:hyperlink w:anchor="_Toc466381168" w:history="1">
        <w:r w:rsidRPr="0038326B">
          <w:rPr>
            <w:rStyle w:val="Hyperlink"/>
            <w:noProof/>
          </w:rPr>
          <w:t>Output performance</w:t>
        </w:r>
        <w:r>
          <w:rPr>
            <w:noProof/>
            <w:webHidden/>
          </w:rPr>
          <w:tab/>
        </w:r>
        <w:r>
          <w:rPr>
            <w:noProof/>
            <w:webHidden/>
          </w:rPr>
          <w:fldChar w:fldCharType="begin"/>
        </w:r>
        <w:r>
          <w:rPr>
            <w:noProof/>
            <w:webHidden/>
          </w:rPr>
          <w:instrText xml:space="preserve"> PAGEREF _Toc466381168 \h </w:instrText>
        </w:r>
        <w:r>
          <w:rPr>
            <w:noProof/>
            <w:webHidden/>
          </w:rPr>
        </w:r>
        <w:r>
          <w:rPr>
            <w:noProof/>
            <w:webHidden/>
          </w:rPr>
          <w:fldChar w:fldCharType="separate"/>
        </w:r>
        <w:r w:rsidR="00EC488A">
          <w:rPr>
            <w:noProof/>
            <w:webHidden/>
          </w:rPr>
          <w:t>25</w:t>
        </w:r>
        <w:r>
          <w:rPr>
            <w:noProof/>
            <w:webHidden/>
          </w:rPr>
          <w:fldChar w:fldCharType="end"/>
        </w:r>
      </w:hyperlink>
    </w:p>
    <w:p w14:paraId="40B0A4C1" w14:textId="77777777" w:rsidR="006304E2" w:rsidRDefault="006304E2">
      <w:pPr>
        <w:pStyle w:val="TOC2"/>
        <w:rPr>
          <w:rFonts w:asciiTheme="minorHAnsi" w:eastAsiaTheme="minorEastAsia" w:hAnsiTheme="minorHAnsi" w:cstheme="minorBidi"/>
          <w:noProof/>
        </w:rPr>
      </w:pPr>
      <w:hyperlink w:anchor="_Toc466381169" w:history="1">
        <w:r w:rsidRPr="0038326B">
          <w:rPr>
            <w:rStyle w:val="Hyperlink"/>
            <w:noProof/>
          </w:rPr>
          <w:t>Financial Summary and Review</w:t>
        </w:r>
        <w:r>
          <w:rPr>
            <w:noProof/>
            <w:webHidden/>
          </w:rPr>
          <w:tab/>
        </w:r>
        <w:r>
          <w:rPr>
            <w:noProof/>
            <w:webHidden/>
          </w:rPr>
          <w:fldChar w:fldCharType="begin"/>
        </w:r>
        <w:r>
          <w:rPr>
            <w:noProof/>
            <w:webHidden/>
          </w:rPr>
          <w:instrText xml:space="preserve"> PAGEREF _Toc466381169 \h </w:instrText>
        </w:r>
        <w:r>
          <w:rPr>
            <w:noProof/>
            <w:webHidden/>
          </w:rPr>
        </w:r>
        <w:r>
          <w:rPr>
            <w:noProof/>
            <w:webHidden/>
          </w:rPr>
          <w:fldChar w:fldCharType="separate"/>
        </w:r>
        <w:r w:rsidR="00EC488A">
          <w:rPr>
            <w:noProof/>
            <w:webHidden/>
          </w:rPr>
          <w:t>30</w:t>
        </w:r>
        <w:r>
          <w:rPr>
            <w:noProof/>
            <w:webHidden/>
          </w:rPr>
          <w:fldChar w:fldCharType="end"/>
        </w:r>
      </w:hyperlink>
    </w:p>
    <w:p w14:paraId="53AD5BC0" w14:textId="77777777" w:rsidR="006304E2" w:rsidRDefault="006304E2">
      <w:pPr>
        <w:pStyle w:val="TOC1"/>
        <w:rPr>
          <w:rFonts w:asciiTheme="minorHAnsi" w:eastAsiaTheme="minorEastAsia" w:hAnsiTheme="minorHAnsi" w:cstheme="minorBidi"/>
          <w:noProof/>
        </w:rPr>
      </w:pPr>
      <w:hyperlink w:anchor="_Toc466381170" w:history="1">
        <w:r w:rsidRPr="0038326B">
          <w:rPr>
            <w:rStyle w:val="Hyperlink"/>
            <w:noProof/>
          </w:rPr>
          <w:t>SECTION 3: WORKFORCE DATA</w:t>
        </w:r>
        <w:r>
          <w:rPr>
            <w:noProof/>
            <w:webHidden/>
          </w:rPr>
          <w:tab/>
        </w:r>
        <w:r>
          <w:rPr>
            <w:noProof/>
            <w:webHidden/>
          </w:rPr>
          <w:fldChar w:fldCharType="begin"/>
        </w:r>
        <w:r>
          <w:rPr>
            <w:noProof/>
            <w:webHidden/>
          </w:rPr>
          <w:instrText xml:space="preserve"> PAGEREF _Toc466381170 \h </w:instrText>
        </w:r>
        <w:r>
          <w:rPr>
            <w:noProof/>
            <w:webHidden/>
          </w:rPr>
        </w:r>
        <w:r>
          <w:rPr>
            <w:noProof/>
            <w:webHidden/>
          </w:rPr>
          <w:fldChar w:fldCharType="separate"/>
        </w:r>
        <w:r w:rsidR="00EC488A">
          <w:rPr>
            <w:noProof/>
            <w:webHidden/>
          </w:rPr>
          <w:t>33</w:t>
        </w:r>
        <w:r>
          <w:rPr>
            <w:noProof/>
            <w:webHidden/>
          </w:rPr>
          <w:fldChar w:fldCharType="end"/>
        </w:r>
      </w:hyperlink>
    </w:p>
    <w:p w14:paraId="3CA5B436" w14:textId="77777777" w:rsidR="006304E2" w:rsidRDefault="006304E2">
      <w:pPr>
        <w:pStyle w:val="TOC2"/>
        <w:rPr>
          <w:rFonts w:asciiTheme="minorHAnsi" w:eastAsiaTheme="minorEastAsia" w:hAnsiTheme="minorHAnsi" w:cstheme="minorBidi"/>
          <w:noProof/>
        </w:rPr>
      </w:pPr>
      <w:hyperlink w:anchor="_Toc466381171" w:history="1">
        <w:r w:rsidRPr="0038326B">
          <w:rPr>
            <w:rStyle w:val="Hyperlink"/>
            <w:noProof/>
          </w:rPr>
          <w:t>Workforce Data</w:t>
        </w:r>
        <w:r>
          <w:rPr>
            <w:noProof/>
            <w:webHidden/>
          </w:rPr>
          <w:tab/>
        </w:r>
        <w:r>
          <w:rPr>
            <w:noProof/>
            <w:webHidden/>
          </w:rPr>
          <w:fldChar w:fldCharType="begin"/>
        </w:r>
        <w:r>
          <w:rPr>
            <w:noProof/>
            <w:webHidden/>
          </w:rPr>
          <w:instrText xml:space="preserve"> PAGEREF _Toc466381171 \h </w:instrText>
        </w:r>
        <w:r>
          <w:rPr>
            <w:noProof/>
            <w:webHidden/>
          </w:rPr>
        </w:r>
        <w:r>
          <w:rPr>
            <w:noProof/>
            <w:webHidden/>
          </w:rPr>
          <w:fldChar w:fldCharType="separate"/>
        </w:r>
        <w:r w:rsidR="00EC488A">
          <w:rPr>
            <w:noProof/>
            <w:webHidden/>
          </w:rPr>
          <w:t>33</w:t>
        </w:r>
        <w:r>
          <w:rPr>
            <w:noProof/>
            <w:webHidden/>
          </w:rPr>
          <w:fldChar w:fldCharType="end"/>
        </w:r>
      </w:hyperlink>
    </w:p>
    <w:p w14:paraId="3BFF3ED4" w14:textId="77777777" w:rsidR="006304E2" w:rsidRDefault="006304E2">
      <w:pPr>
        <w:pStyle w:val="TOC2"/>
        <w:rPr>
          <w:rFonts w:asciiTheme="minorHAnsi" w:eastAsiaTheme="minorEastAsia" w:hAnsiTheme="minorHAnsi" w:cstheme="minorBidi"/>
          <w:noProof/>
        </w:rPr>
      </w:pPr>
      <w:hyperlink w:anchor="_Toc466381172" w:history="1">
        <w:r w:rsidRPr="0038326B">
          <w:rPr>
            <w:rStyle w:val="Hyperlink"/>
            <w:noProof/>
          </w:rPr>
          <w:t>Staff Health, Safety and Wellbeing</w:t>
        </w:r>
        <w:r>
          <w:rPr>
            <w:noProof/>
            <w:webHidden/>
          </w:rPr>
          <w:tab/>
        </w:r>
        <w:r>
          <w:rPr>
            <w:noProof/>
            <w:webHidden/>
          </w:rPr>
          <w:fldChar w:fldCharType="begin"/>
        </w:r>
        <w:r>
          <w:rPr>
            <w:noProof/>
            <w:webHidden/>
          </w:rPr>
          <w:instrText xml:space="preserve"> PAGEREF _Toc466381172 \h </w:instrText>
        </w:r>
        <w:r>
          <w:rPr>
            <w:noProof/>
            <w:webHidden/>
          </w:rPr>
        </w:r>
        <w:r>
          <w:rPr>
            <w:noProof/>
            <w:webHidden/>
          </w:rPr>
          <w:fldChar w:fldCharType="separate"/>
        </w:r>
        <w:r w:rsidR="00EC488A">
          <w:rPr>
            <w:noProof/>
            <w:webHidden/>
          </w:rPr>
          <w:t>36</w:t>
        </w:r>
        <w:r>
          <w:rPr>
            <w:noProof/>
            <w:webHidden/>
          </w:rPr>
          <w:fldChar w:fldCharType="end"/>
        </w:r>
      </w:hyperlink>
    </w:p>
    <w:p w14:paraId="4A1A223B" w14:textId="77777777" w:rsidR="006304E2" w:rsidRDefault="006304E2">
      <w:pPr>
        <w:pStyle w:val="TOC1"/>
        <w:rPr>
          <w:rFonts w:asciiTheme="minorHAnsi" w:eastAsiaTheme="minorEastAsia" w:hAnsiTheme="minorHAnsi" w:cstheme="minorBidi"/>
          <w:noProof/>
        </w:rPr>
      </w:pPr>
      <w:hyperlink w:anchor="_Toc466381173" w:history="1">
        <w:r w:rsidRPr="0038326B">
          <w:rPr>
            <w:rStyle w:val="Hyperlink"/>
            <w:noProof/>
          </w:rPr>
          <w:t>Section 4: Other disclosures</w:t>
        </w:r>
        <w:r>
          <w:rPr>
            <w:noProof/>
            <w:webHidden/>
          </w:rPr>
          <w:tab/>
        </w:r>
        <w:r>
          <w:rPr>
            <w:noProof/>
            <w:webHidden/>
          </w:rPr>
          <w:fldChar w:fldCharType="begin"/>
        </w:r>
        <w:r>
          <w:rPr>
            <w:noProof/>
            <w:webHidden/>
          </w:rPr>
          <w:instrText xml:space="preserve"> PAGEREF _Toc466381173 \h </w:instrText>
        </w:r>
        <w:r>
          <w:rPr>
            <w:noProof/>
            <w:webHidden/>
          </w:rPr>
        </w:r>
        <w:r>
          <w:rPr>
            <w:noProof/>
            <w:webHidden/>
          </w:rPr>
          <w:fldChar w:fldCharType="separate"/>
        </w:r>
        <w:r w:rsidR="00EC488A">
          <w:rPr>
            <w:noProof/>
            <w:webHidden/>
          </w:rPr>
          <w:t>38</w:t>
        </w:r>
        <w:r>
          <w:rPr>
            <w:noProof/>
            <w:webHidden/>
          </w:rPr>
          <w:fldChar w:fldCharType="end"/>
        </w:r>
      </w:hyperlink>
    </w:p>
    <w:p w14:paraId="67A01BC1" w14:textId="77777777" w:rsidR="006304E2" w:rsidRDefault="006304E2">
      <w:pPr>
        <w:pStyle w:val="TOC2"/>
        <w:rPr>
          <w:rFonts w:asciiTheme="minorHAnsi" w:eastAsiaTheme="minorEastAsia" w:hAnsiTheme="minorHAnsi" w:cstheme="minorBidi"/>
          <w:noProof/>
        </w:rPr>
      </w:pPr>
      <w:hyperlink w:anchor="_Toc466381174" w:history="1">
        <w:r w:rsidRPr="0038326B">
          <w:rPr>
            <w:rStyle w:val="Hyperlink"/>
            <w:noProof/>
          </w:rPr>
          <w:t>Victorian Industry Participation Policy</w:t>
        </w:r>
        <w:r>
          <w:rPr>
            <w:noProof/>
            <w:webHidden/>
          </w:rPr>
          <w:tab/>
        </w:r>
        <w:r>
          <w:rPr>
            <w:noProof/>
            <w:webHidden/>
          </w:rPr>
          <w:fldChar w:fldCharType="begin"/>
        </w:r>
        <w:r>
          <w:rPr>
            <w:noProof/>
            <w:webHidden/>
          </w:rPr>
          <w:instrText xml:space="preserve"> PAGEREF _Toc466381174 \h </w:instrText>
        </w:r>
        <w:r>
          <w:rPr>
            <w:noProof/>
            <w:webHidden/>
          </w:rPr>
        </w:r>
        <w:r>
          <w:rPr>
            <w:noProof/>
            <w:webHidden/>
          </w:rPr>
          <w:fldChar w:fldCharType="separate"/>
        </w:r>
        <w:r w:rsidR="00EC488A">
          <w:rPr>
            <w:noProof/>
            <w:webHidden/>
          </w:rPr>
          <w:t>38</w:t>
        </w:r>
        <w:r>
          <w:rPr>
            <w:noProof/>
            <w:webHidden/>
          </w:rPr>
          <w:fldChar w:fldCharType="end"/>
        </w:r>
      </w:hyperlink>
    </w:p>
    <w:p w14:paraId="0455B1A7" w14:textId="77777777" w:rsidR="006304E2" w:rsidRDefault="006304E2">
      <w:pPr>
        <w:pStyle w:val="TOC2"/>
        <w:rPr>
          <w:rFonts w:asciiTheme="minorHAnsi" w:eastAsiaTheme="minorEastAsia" w:hAnsiTheme="minorHAnsi" w:cstheme="minorBidi"/>
          <w:noProof/>
        </w:rPr>
      </w:pPr>
      <w:hyperlink w:anchor="_Toc466381175" w:history="1">
        <w:r w:rsidRPr="0038326B">
          <w:rPr>
            <w:rStyle w:val="Hyperlink"/>
            <w:noProof/>
          </w:rPr>
          <w:t>Consultancy Expenditure</w:t>
        </w:r>
        <w:r>
          <w:rPr>
            <w:noProof/>
            <w:webHidden/>
          </w:rPr>
          <w:tab/>
        </w:r>
        <w:r>
          <w:rPr>
            <w:noProof/>
            <w:webHidden/>
          </w:rPr>
          <w:fldChar w:fldCharType="begin"/>
        </w:r>
        <w:r>
          <w:rPr>
            <w:noProof/>
            <w:webHidden/>
          </w:rPr>
          <w:instrText xml:space="preserve"> PAGEREF _Toc466381175 \h </w:instrText>
        </w:r>
        <w:r>
          <w:rPr>
            <w:noProof/>
            <w:webHidden/>
          </w:rPr>
        </w:r>
        <w:r>
          <w:rPr>
            <w:noProof/>
            <w:webHidden/>
          </w:rPr>
          <w:fldChar w:fldCharType="separate"/>
        </w:r>
        <w:r w:rsidR="00EC488A">
          <w:rPr>
            <w:noProof/>
            <w:webHidden/>
          </w:rPr>
          <w:t>38</w:t>
        </w:r>
        <w:r>
          <w:rPr>
            <w:noProof/>
            <w:webHidden/>
          </w:rPr>
          <w:fldChar w:fldCharType="end"/>
        </w:r>
      </w:hyperlink>
    </w:p>
    <w:p w14:paraId="668D14C7" w14:textId="77777777" w:rsidR="006304E2" w:rsidRDefault="006304E2">
      <w:pPr>
        <w:pStyle w:val="TOC2"/>
        <w:rPr>
          <w:rFonts w:asciiTheme="minorHAnsi" w:eastAsiaTheme="minorEastAsia" w:hAnsiTheme="minorHAnsi" w:cstheme="minorBidi"/>
          <w:noProof/>
        </w:rPr>
      </w:pPr>
      <w:hyperlink w:anchor="_Toc466381176" w:history="1">
        <w:r w:rsidRPr="0038326B">
          <w:rPr>
            <w:rStyle w:val="Hyperlink"/>
            <w:noProof/>
          </w:rPr>
          <w:t>Information and Communication Technology Expenditure</w:t>
        </w:r>
        <w:r>
          <w:rPr>
            <w:noProof/>
            <w:webHidden/>
          </w:rPr>
          <w:tab/>
        </w:r>
        <w:r>
          <w:rPr>
            <w:noProof/>
            <w:webHidden/>
          </w:rPr>
          <w:fldChar w:fldCharType="begin"/>
        </w:r>
        <w:r>
          <w:rPr>
            <w:noProof/>
            <w:webHidden/>
          </w:rPr>
          <w:instrText xml:space="preserve"> PAGEREF _Toc466381176 \h </w:instrText>
        </w:r>
        <w:r>
          <w:rPr>
            <w:noProof/>
            <w:webHidden/>
          </w:rPr>
        </w:r>
        <w:r>
          <w:rPr>
            <w:noProof/>
            <w:webHidden/>
          </w:rPr>
          <w:fldChar w:fldCharType="separate"/>
        </w:r>
        <w:r w:rsidR="00EC488A">
          <w:rPr>
            <w:noProof/>
            <w:webHidden/>
          </w:rPr>
          <w:t>40</w:t>
        </w:r>
        <w:r>
          <w:rPr>
            <w:noProof/>
            <w:webHidden/>
          </w:rPr>
          <w:fldChar w:fldCharType="end"/>
        </w:r>
      </w:hyperlink>
    </w:p>
    <w:p w14:paraId="4D631093" w14:textId="77777777" w:rsidR="006304E2" w:rsidRDefault="006304E2">
      <w:pPr>
        <w:pStyle w:val="TOC2"/>
        <w:rPr>
          <w:rFonts w:asciiTheme="minorHAnsi" w:eastAsiaTheme="minorEastAsia" w:hAnsiTheme="minorHAnsi" w:cstheme="minorBidi"/>
          <w:noProof/>
        </w:rPr>
      </w:pPr>
      <w:hyperlink w:anchor="_Toc466381177" w:history="1">
        <w:r w:rsidRPr="0038326B">
          <w:rPr>
            <w:rStyle w:val="Hyperlink"/>
            <w:noProof/>
          </w:rPr>
          <w:t>Government Advertising Expenditure</w:t>
        </w:r>
        <w:r>
          <w:rPr>
            <w:noProof/>
            <w:webHidden/>
          </w:rPr>
          <w:tab/>
        </w:r>
        <w:r>
          <w:rPr>
            <w:noProof/>
            <w:webHidden/>
          </w:rPr>
          <w:fldChar w:fldCharType="begin"/>
        </w:r>
        <w:r>
          <w:rPr>
            <w:noProof/>
            <w:webHidden/>
          </w:rPr>
          <w:instrText xml:space="preserve"> PAGEREF _Toc466381177 \h </w:instrText>
        </w:r>
        <w:r>
          <w:rPr>
            <w:noProof/>
            <w:webHidden/>
          </w:rPr>
        </w:r>
        <w:r>
          <w:rPr>
            <w:noProof/>
            <w:webHidden/>
          </w:rPr>
          <w:fldChar w:fldCharType="separate"/>
        </w:r>
        <w:r w:rsidR="00EC488A">
          <w:rPr>
            <w:noProof/>
            <w:webHidden/>
          </w:rPr>
          <w:t>40</w:t>
        </w:r>
        <w:r>
          <w:rPr>
            <w:noProof/>
            <w:webHidden/>
          </w:rPr>
          <w:fldChar w:fldCharType="end"/>
        </w:r>
      </w:hyperlink>
    </w:p>
    <w:p w14:paraId="6C7FC206" w14:textId="77777777" w:rsidR="006304E2" w:rsidRDefault="006304E2">
      <w:pPr>
        <w:pStyle w:val="TOC2"/>
        <w:rPr>
          <w:rFonts w:asciiTheme="minorHAnsi" w:eastAsiaTheme="minorEastAsia" w:hAnsiTheme="minorHAnsi" w:cstheme="minorBidi"/>
          <w:noProof/>
        </w:rPr>
      </w:pPr>
      <w:hyperlink w:anchor="_Toc466381178" w:history="1">
        <w:r w:rsidRPr="0038326B">
          <w:rPr>
            <w:rStyle w:val="Hyperlink"/>
            <w:noProof/>
          </w:rPr>
          <w:t>Freedom of Information</w:t>
        </w:r>
        <w:r>
          <w:rPr>
            <w:noProof/>
            <w:webHidden/>
          </w:rPr>
          <w:tab/>
        </w:r>
        <w:r>
          <w:rPr>
            <w:noProof/>
            <w:webHidden/>
          </w:rPr>
          <w:fldChar w:fldCharType="begin"/>
        </w:r>
        <w:r>
          <w:rPr>
            <w:noProof/>
            <w:webHidden/>
          </w:rPr>
          <w:instrText xml:space="preserve"> PAGEREF _Toc466381178 \h </w:instrText>
        </w:r>
        <w:r>
          <w:rPr>
            <w:noProof/>
            <w:webHidden/>
          </w:rPr>
        </w:r>
        <w:r>
          <w:rPr>
            <w:noProof/>
            <w:webHidden/>
          </w:rPr>
          <w:fldChar w:fldCharType="separate"/>
        </w:r>
        <w:r w:rsidR="00EC488A">
          <w:rPr>
            <w:noProof/>
            <w:webHidden/>
          </w:rPr>
          <w:t>40</w:t>
        </w:r>
        <w:r>
          <w:rPr>
            <w:noProof/>
            <w:webHidden/>
          </w:rPr>
          <w:fldChar w:fldCharType="end"/>
        </w:r>
      </w:hyperlink>
    </w:p>
    <w:p w14:paraId="7C434C39" w14:textId="77777777" w:rsidR="006304E2" w:rsidRDefault="006304E2">
      <w:pPr>
        <w:pStyle w:val="TOC2"/>
        <w:rPr>
          <w:rFonts w:asciiTheme="minorHAnsi" w:eastAsiaTheme="minorEastAsia" w:hAnsiTheme="minorHAnsi" w:cstheme="minorBidi"/>
          <w:noProof/>
        </w:rPr>
      </w:pPr>
      <w:hyperlink w:anchor="_Toc466381179" w:history="1">
        <w:r w:rsidRPr="0038326B">
          <w:rPr>
            <w:rStyle w:val="Hyperlink"/>
            <w:noProof/>
          </w:rPr>
          <w:t>Compliance with Building Act 1993 (Vic)</w:t>
        </w:r>
        <w:r>
          <w:rPr>
            <w:noProof/>
            <w:webHidden/>
          </w:rPr>
          <w:tab/>
        </w:r>
        <w:r>
          <w:rPr>
            <w:noProof/>
            <w:webHidden/>
          </w:rPr>
          <w:fldChar w:fldCharType="begin"/>
        </w:r>
        <w:r>
          <w:rPr>
            <w:noProof/>
            <w:webHidden/>
          </w:rPr>
          <w:instrText xml:space="preserve"> PAGEREF _Toc466381179 \h </w:instrText>
        </w:r>
        <w:r>
          <w:rPr>
            <w:noProof/>
            <w:webHidden/>
          </w:rPr>
        </w:r>
        <w:r>
          <w:rPr>
            <w:noProof/>
            <w:webHidden/>
          </w:rPr>
          <w:fldChar w:fldCharType="separate"/>
        </w:r>
        <w:r w:rsidR="00EC488A">
          <w:rPr>
            <w:noProof/>
            <w:webHidden/>
          </w:rPr>
          <w:t>42</w:t>
        </w:r>
        <w:r>
          <w:rPr>
            <w:noProof/>
            <w:webHidden/>
          </w:rPr>
          <w:fldChar w:fldCharType="end"/>
        </w:r>
      </w:hyperlink>
    </w:p>
    <w:p w14:paraId="3CD02436" w14:textId="77777777" w:rsidR="006304E2" w:rsidRDefault="006304E2">
      <w:pPr>
        <w:pStyle w:val="TOC2"/>
        <w:rPr>
          <w:rFonts w:asciiTheme="minorHAnsi" w:eastAsiaTheme="minorEastAsia" w:hAnsiTheme="minorHAnsi" w:cstheme="minorBidi"/>
          <w:noProof/>
        </w:rPr>
      </w:pPr>
      <w:hyperlink w:anchor="_Toc466381180" w:history="1">
        <w:r w:rsidRPr="0038326B">
          <w:rPr>
            <w:rStyle w:val="Hyperlink"/>
            <w:noProof/>
          </w:rPr>
          <w:t>National Competition Policy</w:t>
        </w:r>
        <w:r>
          <w:rPr>
            <w:noProof/>
            <w:webHidden/>
          </w:rPr>
          <w:tab/>
        </w:r>
        <w:r>
          <w:rPr>
            <w:noProof/>
            <w:webHidden/>
          </w:rPr>
          <w:fldChar w:fldCharType="begin"/>
        </w:r>
        <w:r>
          <w:rPr>
            <w:noProof/>
            <w:webHidden/>
          </w:rPr>
          <w:instrText xml:space="preserve"> PAGEREF _Toc466381180 \h </w:instrText>
        </w:r>
        <w:r>
          <w:rPr>
            <w:noProof/>
            <w:webHidden/>
          </w:rPr>
        </w:r>
        <w:r>
          <w:rPr>
            <w:noProof/>
            <w:webHidden/>
          </w:rPr>
          <w:fldChar w:fldCharType="separate"/>
        </w:r>
        <w:r w:rsidR="00EC488A">
          <w:rPr>
            <w:noProof/>
            <w:webHidden/>
          </w:rPr>
          <w:t>42</w:t>
        </w:r>
        <w:r>
          <w:rPr>
            <w:noProof/>
            <w:webHidden/>
          </w:rPr>
          <w:fldChar w:fldCharType="end"/>
        </w:r>
      </w:hyperlink>
    </w:p>
    <w:p w14:paraId="180A0F0D" w14:textId="77777777" w:rsidR="006304E2" w:rsidRDefault="006304E2">
      <w:pPr>
        <w:pStyle w:val="TOC2"/>
        <w:rPr>
          <w:rFonts w:asciiTheme="minorHAnsi" w:eastAsiaTheme="minorEastAsia" w:hAnsiTheme="minorHAnsi" w:cstheme="minorBidi"/>
          <w:noProof/>
        </w:rPr>
      </w:pPr>
      <w:hyperlink w:anchor="_Toc466381181" w:history="1">
        <w:r w:rsidRPr="0038326B">
          <w:rPr>
            <w:rStyle w:val="Hyperlink"/>
            <w:noProof/>
          </w:rPr>
          <w:t>Compliance with the Protected Disclosure Act 2012 (Vic)</w:t>
        </w:r>
        <w:r>
          <w:rPr>
            <w:noProof/>
            <w:webHidden/>
          </w:rPr>
          <w:tab/>
        </w:r>
        <w:r>
          <w:rPr>
            <w:noProof/>
            <w:webHidden/>
          </w:rPr>
          <w:fldChar w:fldCharType="begin"/>
        </w:r>
        <w:r>
          <w:rPr>
            <w:noProof/>
            <w:webHidden/>
          </w:rPr>
          <w:instrText xml:space="preserve"> PAGEREF _Toc466381181 \h </w:instrText>
        </w:r>
        <w:r>
          <w:rPr>
            <w:noProof/>
            <w:webHidden/>
          </w:rPr>
        </w:r>
        <w:r>
          <w:rPr>
            <w:noProof/>
            <w:webHidden/>
          </w:rPr>
          <w:fldChar w:fldCharType="separate"/>
        </w:r>
        <w:r w:rsidR="00EC488A">
          <w:rPr>
            <w:noProof/>
            <w:webHidden/>
          </w:rPr>
          <w:t>42</w:t>
        </w:r>
        <w:r>
          <w:rPr>
            <w:noProof/>
            <w:webHidden/>
          </w:rPr>
          <w:fldChar w:fldCharType="end"/>
        </w:r>
      </w:hyperlink>
    </w:p>
    <w:p w14:paraId="54F01A9F" w14:textId="77777777" w:rsidR="006304E2" w:rsidRDefault="006304E2">
      <w:pPr>
        <w:pStyle w:val="TOC2"/>
        <w:rPr>
          <w:rFonts w:asciiTheme="minorHAnsi" w:eastAsiaTheme="minorEastAsia" w:hAnsiTheme="minorHAnsi" w:cstheme="minorBidi"/>
          <w:noProof/>
        </w:rPr>
      </w:pPr>
      <w:hyperlink w:anchor="_Toc466381182" w:history="1">
        <w:r w:rsidRPr="0038326B">
          <w:rPr>
            <w:rStyle w:val="Hyperlink"/>
            <w:noProof/>
          </w:rPr>
          <w:t>Compliance with the Carers Recognition Act 2012 (Vic)</w:t>
        </w:r>
        <w:r>
          <w:rPr>
            <w:noProof/>
            <w:webHidden/>
          </w:rPr>
          <w:tab/>
        </w:r>
        <w:r>
          <w:rPr>
            <w:noProof/>
            <w:webHidden/>
          </w:rPr>
          <w:fldChar w:fldCharType="begin"/>
        </w:r>
        <w:r>
          <w:rPr>
            <w:noProof/>
            <w:webHidden/>
          </w:rPr>
          <w:instrText xml:space="preserve"> PAGEREF _Toc466381182 \h </w:instrText>
        </w:r>
        <w:r>
          <w:rPr>
            <w:noProof/>
            <w:webHidden/>
          </w:rPr>
        </w:r>
        <w:r>
          <w:rPr>
            <w:noProof/>
            <w:webHidden/>
          </w:rPr>
          <w:fldChar w:fldCharType="separate"/>
        </w:r>
        <w:r w:rsidR="00EC488A">
          <w:rPr>
            <w:noProof/>
            <w:webHidden/>
          </w:rPr>
          <w:t>43</w:t>
        </w:r>
        <w:r>
          <w:rPr>
            <w:noProof/>
            <w:webHidden/>
          </w:rPr>
          <w:fldChar w:fldCharType="end"/>
        </w:r>
      </w:hyperlink>
    </w:p>
    <w:p w14:paraId="1A3A28BF" w14:textId="77777777" w:rsidR="006304E2" w:rsidRDefault="006304E2">
      <w:pPr>
        <w:pStyle w:val="TOC2"/>
        <w:rPr>
          <w:rFonts w:asciiTheme="minorHAnsi" w:eastAsiaTheme="minorEastAsia" w:hAnsiTheme="minorHAnsi" w:cstheme="minorBidi"/>
          <w:noProof/>
        </w:rPr>
      </w:pPr>
      <w:hyperlink w:anchor="_Toc466381183" w:history="1">
        <w:r w:rsidRPr="0038326B">
          <w:rPr>
            <w:rStyle w:val="Hyperlink"/>
            <w:noProof/>
          </w:rPr>
          <w:t>Office-based environmental impacts</w:t>
        </w:r>
        <w:r>
          <w:rPr>
            <w:noProof/>
            <w:webHidden/>
          </w:rPr>
          <w:tab/>
        </w:r>
        <w:r>
          <w:rPr>
            <w:noProof/>
            <w:webHidden/>
          </w:rPr>
          <w:fldChar w:fldCharType="begin"/>
        </w:r>
        <w:r>
          <w:rPr>
            <w:noProof/>
            <w:webHidden/>
          </w:rPr>
          <w:instrText xml:space="preserve"> PAGEREF _Toc466381183 \h </w:instrText>
        </w:r>
        <w:r>
          <w:rPr>
            <w:noProof/>
            <w:webHidden/>
          </w:rPr>
        </w:r>
        <w:r>
          <w:rPr>
            <w:noProof/>
            <w:webHidden/>
          </w:rPr>
          <w:fldChar w:fldCharType="separate"/>
        </w:r>
        <w:r w:rsidR="00EC488A">
          <w:rPr>
            <w:noProof/>
            <w:webHidden/>
          </w:rPr>
          <w:t>43</w:t>
        </w:r>
        <w:r>
          <w:rPr>
            <w:noProof/>
            <w:webHidden/>
          </w:rPr>
          <w:fldChar w:fldCharType="end"/>
        </w:r>
      </w:hyperlink>
    </w:p>
    <w:p w14:paraId="4439D8D7" w14:textId="77777777" w:rsidR="006304E2" w:rsidRDefault="006304E2">
      <w:pPr>
        <w:pStyle w:val="TOC2"/>
        <w:rPr>
          <w:rFonts w:asciiTheme="minorHAnsi" w:eastAsiaTheme="minorEastAsia" w:hAnsiTheme="minorHAnsi" w:cstheme="minorBidi"/>
          <w:noProof/>
        </w:rPr>
      </w:pPr>
      <w:hyperlink w:anchor="_Toc466381184" w:history="1">
        <w:r w:rsidRPr="0038326B">
          <w:rPr>
            <w:rStyle w:val="Hyperlink"/>
            <w:noProof/>
          </w:rPr>
          <w:t>Compliance with the DataVic Access Policy</w:t>
        </w:r>
        <w:r>
          <w:rPr>
            <w:noProof/>
            <w:webHidden/>
          </w:rPr>
          <w:tab/>
        </w:r>
        <w:r>
          <w:rPr>
            <w:noProof/>
            <w:webHidden/>
          </w:rPr>
          <w:fldChar w:fldCharType="begin"/>
        </w:r>
        <w:r>
          <w:rPr>
            <w:noProof/>
            <w:webHidden/>
          </w:rPr>
          <w:instrText xml:space="preserve"> PAGEREF _Toc466381184 \h </w:instrText>
        </w:r>
        <w:r>
          <w:rPr>
            <w:noProof/>
            <w:webHidden/>
          </w:rPr>
        </w:r>
        <w:r>
          <w:rPr>
            <w:noProof/>
            <w:webHidden/>
          </w:rPr>
          <w:fldChar w:fldCharType="separate"/>
        </w:r>
        <w:r w:rsidR="00EC488A">
          <w:rPr>
            <w:noProof/>
            <w:webHidden/>
          </w:rPr>
          <w:t>45</w:t>
        </w:r>
        <w:r>
          <w:rPr>
            <w:noProof/>
            <w:webHidden/>
          </w:rPr>
          <w:fldChar w:fldCharType="end"/>
        </w:r>
      </w:hyperlink>
    </w:p>
    <w:p w14:paraId="7A408572" w14:textId="77777777" w:rsidR="006304E2" w:rsidRDefault="006304E2">
      <w:pPr>
        <w:pStyle w:val="TOC2"/>
        <w:rPr>
          <w:rFonts w:asciiTheme="minorHAnsi" w:eastAsiaTheme="minorEastAsia" w:hAnsiTheme="minorHAnsi" w:cstheme="minorBidi"/>
          <w:noProof/>
        </w:rPr>
      </w:pPr>
      <w:hyperlink w:anchor="_Toc466381185" w:history="1">
        <w:r w:rsidRPr="0038326B">
          <w:rPr>
            <w:rStyle w:val="Hyperlink"/>
            <w:noProof/>
          </w:rPr>
          <w:t>Risk Management Attestation</w:t>
        </w:r>
        <w:r>
          <w:rPr>
            <w:noProof/>
            <w:webHidden/>
          </w:rPr>
          <w:tab/>
        </w:r>
        <w:r>
          <w:rPr>
            <w:noProof/>
            <w:webHidden/>
          </w:rPr>
          <w:fldChar w:fldCharType="begin"/>
        </w:r>
        <w:r>
          <w:rPr>
            <w:noProof/>
            <w:webHidden/>
          </w:rPr>
          <w:instrText xml:space="preserve"> PAGEREF _Toc466381185 \h </w:instrText>
        </w:r>
        <w:r>
          <w:rPr>
            <w:noProof/>
            <w:webHidden/>
          </w:rPr>
        </w:r>
        <w:r>
          <w:rPr>
            <w:noProof/>
            <w:webHidden/>
          </w:rPr>
          <w:fldChar w:fldCharType="separate"/>
        </w:r>
        <w:r w:rsidR="00EC488A">
          <w:rPr>
            <w:noProof/>
            <w:webHidden/>
          </w:rPr>
          <w:t>45</w:t>
        </w:r>
        <w:r>
          <w:rPr>
            <w:noProof/>
            <w:webHidden/>
          </w:rPr>
          <w:fldChar w:fldCharType="end"/>
        </w:r>
      </w:hyperlink>
    </w:p>
    <w:p w14:paraId="184C6259" w14:textId="77777777" w:rsidR="006304E2" w:rsidRDefault="006304E2">
      <w:pPr>
        <w:pStyle w:val="TOC2"/>
        <w:rPr>
          <w:rFonts w:asciiTheme="minorHAnsi" w:eastAsiaTheme="minorEastAsia" w:hAnsiTheme="minorHAnsi" w:cstheme="minorBidi"/>
          <w:noProof/>
        </w:rPr>
      </w:pPr>
      <w:hyperlink w:anchor="_Toc466381186" w:history="1">
        <w:r w:rsidRPr="0038326B">
          <w:rPr>
            <w:rStyle w:val="Hyperlink"/>
            <w:noProof/>
          </w:rPr>
          <w:t>Statement of availability of other information</w:t>
        </w:r>
        <w:r>
          <w:rPr>
            <w:noProof/>
            <w:webHidden/>
          </w:rPr>
          <w:tab/>
        </w:r>
        <w:r>
          <w:rPr>
            <w:noProof/>
            <w:webHidden/>
          </w:rPr>
          <w:fldChar w:fldCharType="begin"/>
        </w:r>
        <w:r>
          <w:rPr>
            <w:noProof/>
            <w:webHidden/>
          </w:rPr>
          <w:instrText xml:space="preserve"> PAGEREF _Toc466381186 \h </w:instrText>
        </w:r>
        <w:r>
          <w:rPr>
            <w:noProof/>
            <w:webHidden/>
          </w:rPr>
        </w:r>
        <w:r>
          <w:rPr>
            <w:noProof/>
            <w:webHidden/>
          </w:rPr>
          <w:fldChar w:fldCharType="separate"/>
        </w:r>
        <w:r w:rsidR="00EC488A">
          <w:rPr>
            <w:noProof/>
            <w:webHidden/>
          </w:rPr>
          <w:t>45</w:t>
        </w:r>
        <w:r>
          <w:rPr>
            <w:noProof/>
            <w:webHidden/>
          </w:rPr>
          <w:fldChar w:fldCharType="end"/>
        </w:r>
      </w:hyperlink>
    </w:p>
    <w:p w14:paraId="4565B497" w14:textId="77777777" w:rsidR="006304E2" w:rsidRDefault="006304E2">
      <w:pPr>
        <w:pStyle w:val="TOC2"/>
        <w:rPr>
          <w:rFonts w:asciiTheme="minorHAnsi" w:eastAsiaTheme="minorEastAsia" w:hAnsiTheme="minorHAnsi" w:cstheme="minorBidi"/>
          <w:noProof/>
        </w:rPr>
      </w:pPr>
      <w:hyperlink w:anchor="_Toc466381187" w:history="1">
        <w:r w:rsidRPr="0038326B">
          <w:rPr>
            <w:rStyle w:val="Hyperlink"/>
            <w:noProof/>
          </w:rPr>
          <w:t>Disclosure Index</w:t>
        </w:r>
        <w:r>
          <w:rPr>
            <w:noProof/>
            <w:webHidden/>
          </w:rPr>
          <w:tab/>
        </w:r>
        <w:r>
          <w:rPr>
            <w:noProof/>
            <w:webHidden/>
          </w:rPr>
          <w:fldChar w:fldCharType="begin"/>
        </w:r>
        <w:r>
          <w:rPr>
            <w:noProof/>
            <w:webHidden/>
          </w:rPr>
          <w:instrText xml:space="preserve"> PAGEREF _Toc466381187 \h </w:instrText>
        </w:r>
        <w:r>
          <w:rPr>
            <w:noProof/>
            <w:webHidden/>
          </w:rPr>
        </w:r>
        <w:r>
          <w:rPr>
            <w:noProof/>
            <w:webHidden/>
          </w:rPr>
          <w:fldChar w:fldCharType="separate"/>
        </w:r>
        <w:r w:rsidR="00EC488A">
          <w:rPr>
            <w:noProof/>
            <w:webHidden/>
          </w:rPr>
          <w:t>47</w:t>
        </w:r>
        <w:r>
          <w:rPr>
            <w:noProof/>
            <w:webHidden/>
          </w:rPr>
          <w:fldChar w:fldCharType="end"/>
        </w:r>
      </w:hyperlink>
    </w:p>
    <w:p w14:paraId="2D8024B6" w14:textId="03F31278" w:rsidR="007477E2" w:rsidRDefault="006304E2" w:rsidP="006304E2">
      <w:pPr>
        <w:pStyle w:val="TOC2"/>
      </w:pPr>
      <w:r>
        <w:fldChar w:fldCharType="end"/>
      </w:r>
    </w:p>
    <w:p w14:paraId="2A706432" w14:textId="77777777" w:rsidR="00EC488A" w:rsidRPr="00EC488A" w:rsidRDefault="00EC488A" w:rsidP="00EC488A"/>
    <w:p w14:paraId="280D1B62" w14:textId="250ACD3D" w:rsidR="00CF273E" w:rsidRPr="007C5F49" w:rsidRDefault="007477E2" w:rsidP="00E66B57">
      <w:pPr>
        <w:pStyle w:val="Heading3"/>
      </w:pPr>
      <w:r w:rsidRPr="007C5F49">
        <w:t>Responsible Body’s Declaration</w:t>
      </w:r>
    </w:p>
    <w:p w14:paraId="19E03A19" w14:textId="5ED9A953" w:rsidR="00CF273E" w:rsidRPr="007C5F49" w:rsidRDefault="007477E2" w:rsidP="007C5F49">
      <w:r w:rsidRPr="007C5F49">
        <w:t xml:space="preserve">In accordance </w:t>
      </w:r>
      <w:r w:rsidR="00CF273E" w:rsidRPr="007C5F49">
        <w:t>w</w:t>
      </w:r>
      <w:r w:rsidRPr="007C5F49">
        <w:t xml:space="preserve">ith the </w:t>
      </w:r>
      <w:r w:rsidRPr="00C60580">
        <w:rPr>
          <w:i/>
        </w:rPr>
        <w:t xml:space="preserve">Financial </w:t>
      </w:r>
      <w:r w:rsidR="00CF273E" w:rsidRPr="00C60580">
        <w:rPr>
          <w:i/>
        </w:rPr>
        <w:t>Management Act 1994</w:t>
      </w:r>
      <w:r w:rsidRPr="007C5F49">
        <w:t xml:space="preserve"> (Vic) and the </w:t>
      </w:r>
      <w:r w:rsidRPr="00C60580">
        <w:rPr>
          <w:i/>
        </w:rPr>
        <w:t xml:space="preserve">Court Services Victoria Act 2014 </w:t>
      </w:r>
      <w:r w:rsidRPr="007C5F49">
        <w:t>(Vic)</w:t>
      </w:r>
      <w:r w:rsidR="00C65C29" w:rsidRPr="007C5F49">
        <w:t xml:space="preserve">, I am pleased to present </w:t>
      </w:r>
      <w:r w:rsidR="00F373D4">
        <w:t xml:space="preserve">the </w:t>
      </w:r>
      <w:r w:rsidR="00C65C29" w:rsidRPr="007C5F49">
        <w:t xml:space="preserve">Court Services Victoria Annual Report </w:t>
      </w:r>
      <w:r w:rsidR="00525810">
        <w:t>for the year ending 30 June 2016</w:t>
      </w:r>
      <w:r w:rsidR="00C65C29" w:rsidRPr="007C5F49">
        <w:t>.</w:t>
      </w:r>
    </w:p>
    <w:p w14:paraId="4A218D19" w14:textId="77777777" w:rsidR="00C65C29" w:rsidRDefault="00C65C29" w:rsidP="007C5F49"/>
    <w:p w14:paraId="13D13BCD" w14:textId="77777777" w:rsidR="005562C5" w:rsidRPr="007C5F49" w:rsidRDefault="005562C5" w:rsidP="007C5F49"/>
    <w:p w14:paraId="042EE4E2" w14:textId="77777777" w:rsidR="00C65C29" w:rsidRPr="00C60580" w:rsidRDefault="00C65C29" w:rsidP="007C5F49">
      <w:pPr>
        <w:rPr>
          <w:b/>
        </w:rPr>
      </w:pPr>
      <w:r w:rsidRPr="00C60580">
        <w:rPr>
          <w:b/>
        </w:rPr>
        <w:t>The Honourable Chief Justice</w:t>
      </w:r>
    </w:p>
    <w:p w14:paraId="160F5BB1" w14:textId="77777777" w:rsidR="00C65C29" w:rsidRPr="00C60580" w:rsidRDefault="00C65C29" w:rsidP="007C5F49">
      <w:pPr>
        <w:rPr>
          <w:b/>
        </w:rPr>
      </w:pPr>
      <w:r w:rsidRPr="00C60580">
        <w:rPr>
          <w:b/>
        </w:rPr>
        <w:t>Marilyn Warren AC</w:t>
      </w:r>
    </w:p>
    <w:p w14:paraId="663D4182" w14:textId="77777777" w:rsidR="00C65C29" w:rsidRPr="00C60580" w:rsidRDefault="00C65C29" w:rsidP="007C5F49">
      <w:pPr>
        <w:rPr>
          <w:b/>
        </w:rPr>
      </w:pPr>
      <w:r w:rsidRPr="00C60580">
        <w:rPr>
          <w:b/>
        </w:rPr>
        <w:t>C</w:t>
      </w:r>
      <w:r w:rsidR="00847C1D" w:rsidRPr="00C60580">
        <w:rPr>
          <w:b/>
        </w:rPr>
        <w:t>h</w:t>
      </w:r>
      <w:r w:rsidRPr="00C60580">
        <w:rPr>
          <w:b/>
        </w:rPr>
        <w:t>air of the Courts Council</w:t>
      </w:r>
    </w:p>
    <w:p w14:paraId="5706F882" w14:textId="77777777" w:rsidR="00C65C29" w:rsidRPr="007C5F49" w:rsidRDefault="00C65C29" w:rsidP="007C5F49"/>
    <w:p w14:paraId="77FC0930" w14:textId="3410ED11" w:rsidR="00CF273E" w:rsidRPr="007C5F49" w:rsidRDefault="00CF273E" w:rsidP="007C5F49"/>
    <w:p w14:paraId="1AF95F31" w14:textId="77777777" w:rsidR="007C5F49" w:rsidRDefault="007C5F49" w:rsidP="007C5F49"/>
    <w:p w14:paraId="6BC58BE0" w14:textId="2BE66C2C" w:rsidR="00893C3F" w:rsidRPr="00CF273E" w:rsidRDefault="007C5F49" w:rsidP="00893C3F">
      <w:r>
        <w:br w:type="page"/>
      </w:r>
      <w:r w:rsidR="00893C3F" w:rsidRPr="00CF273E">
        <w:lastRenderedPageBreak/>
        <w:t xml:space="preserve">Court </w:t>
      </w:r>
      <w:r w:rsidR="00893C3F">
        <w:t xml:space="preserve">Services Victoria </w:t>
      </w:r>
      <w:r w:rsidR="00A972DD">
        <w:t xml:space="preserve">(CSV) </w:t>
      </w:r>
      <w:r w:rsidR="00893C3F" w:rsidRPr="00CF273E">
        <w:t>was estab</w:t>
      </w:r>
      <w:r w:rsidR="00893C3F">
        <w:t>lished on 1 July 2</w:t>
      </w:r>
      <w:r w:rsidR="00893C3F" w:rsidRPr="00CF273E">
        <w:t>014 as an indepen</w:t>
      </w:r>
      <w:r w:rsidR="00893C3F">
        <w:t xml:space="preserve">dent statutory body to provide </w:t>
      </w:r>
      <w:r w:rsidR="00893C3F" w:rsidRPr="00CF273E">
        <w:t>administrative services and facilities to su</w:t>
      </w:r>
      <w:r w:rsidR="00893C3F">
        <w:t>pport Victorian courts, the Victorian</w:t>
      </w:r>
      <w:r w:rsidR="00893C3F" w:rsidRPr="00CF273E">
        <w:t xml:space="preserve"> Civil and Administrative </w:t>
      </w:r>
      <w:r w:rsidR="00893C3F">
        <w:t>Tribunal, and the Judicia</w:t>
      </w:r>
      <w:r w:rsidR="00893C3F" w:rsidRPr="00CF273E">
        <w:t>l College</w:t>
      </w:r>
      <w:r w:rsidR="00893C3F">
        <w:t xml:space="preserve"> of Victoria</w:t>
      </w:r>
      <w:r w:rsidR="00893C3F" w:rsidRPr="00CF273E">
        <w:t>.</w:t>
      </w:r>
    </w:p>
    <w:p w14:paraId="7731343D" w14:textId="77777777" w:rsidR="00893C3F" w:rsidRPr="00CF273E" w:rsidRDefault="00893C3F" w:rsidP="00893C3F"/>
    <w:p w14:paraId="35ADEFA3" w14:textId="5F41B50F" w:rsidR="00893C3F" w:rsidRPr="00CF273E" w:rsidRDefault="00F373D4" w:rsidP="00893C3F">
      <w:r>
        <w:t>CSV</w:t>
      </w:r>
      <w:r w:rsidRPr="00CF273E">
        <w:t xml:space="preserve"> </w:t>
      </w:r>
      <w:r w:rsidR="00893C3F" w:rsidRPr="00CF273E">
        <w:t>is designed to operate independently of the di</w:t>
      </w:r>
      <w:r w:rsidR="00893C3F">
        <w:t>rection of the executive branch of government and to support</w:t>
      </w:r>
      <w:r w:rsidR="00893C3F" w:rsidRPr="00CF273E">
        <w:t xml:space="preserve"> the independence of the judiciary.</w:t>
      </w:r>
    </w:p>
    <w:p w14:paraId="6CCF1435" w14:textId="77777777" w:rsidR="00893C3F" w:rsidRPr="00CF273E" w:rsidRDefault="00893C3F" w:rsidP="00893C3F"/>
    <w:p w14:paraId="5F4726D8" w14:textId="6BBE6D65" w:rsidR="00893C3F" w:rsidRPr="00CF273E" w:rsidRDefault="00893C3F" w:rsidP="00893C3F">
      <w:r>
        <w:t>The Courts</w:t>
      </w:r>
      <w:r w:rsidRPr="00CF273E">
        <w:t xml:space="preserve"> Council</w:t>
      </w:r>
      <w:r>
        <w:t xml:space="preserve"> is </w:t>
      </w:r>
      <w:r w:rsidR="00A972DD">
        <w:t>CSV</w:t>
      </w:r>
      <w:r w:rsidRPr="00CF273E">
        <w:t>'s governing body and comprises the Head of each jurisdiction, and up to two independent</w:t>
      </w:r>
      <w:r>
        <w:t xml:space="preserve"> </w:t>
      </w:r>
      <w:r w:rsidRPr="00CF273E">
        <w:t>members. There are seven standing committees that inform the work</w:t>
      </w:r>
      <w:r>
        <w:t xml:space="preserve"> </w:t>
      </w:r>
      <w:r w:rsidRPr="00CF273E">
        <w:t>of the Courts</w:t>
      </w:r>
      <w:r>
        <w:t xml:space="preserve"> </w:t>
      </w:r>
      <w:r w:rsidRPr="00CF273E">
        <w:t>Council.</w:t>
      </w:r>
    </w:p>
    <w:p w14:paraId="47AA1465" w14:textId="77777777" w:rsidR="00CF273E" w:rsidRPr="00CF273E" w:rsidRDefault="00CF273E" w:rsidP="00893C3F"/>
    <w:p w14:paraId="148F8B6B" w14:textId="77777777" w:rsidR="009623F1" w:rsidRDefault="009623F1" w:rsidP="009623F1"/>
    <w:p w14:paraId="77057C0F" w14:textId="77777777" w:rsidR="00CF273E" w:rsidRPr="00BA40EC" w:rsidRDefault="007C5F49" w:rsidP="00847C1D">
      <w:pPr>
        <w:pStyle w:val="Heading2"/>
      </w:pPr>
      <w:r>
        <w:br w:type="page"/>
      </w:r>
      <w:bookmarkStart w:id="1" w:name="_Toc466381155"/>
      <w:r w:rsidR="00BA40EC" w:rsidRPr="00BA40EC">
        <w:lastRenderedPageBreak/>
        <w:t>Message from t</w:t>
      </w:r>
      <w:r w:rsidR="00652022" w:rsidRPr="00BA40EC">
        <w:t>he Chair</w:t>
      </w:r>
      <w:bookmarkEnd w:id="1"/>
    </w:p>
    <w:p w14:paraId="1AF83453" w14:textId="77777777" w:rsidR="00615556" w:rsidRPr="005F64DD" w:rsidRDefault="00615556" w:rsidP="00615556">
      <w:pPr>
        <w:pStyle w:val="Heading3"/>
      </w:pPr>
      <w:r w:rsidRPr="005F64DD">
        <w:t>Consolidation</w:t>
      </w:r>
    </w:p>
    <w:p w14:paraId="3EFC090D" w14:textId="77777777" w:rsidR="00615556" w:rsidRDefault="00615556" w:rsidP="00615556">
      <w:r w:rsidRPr="005F64DD">
        <w:t>Court Services Victoria (CSV) has completed its second year as an independent statutory body providing services to the Victoria</w:t>
      </w:r>
      <w:r>
        <w:t>n</w:t>
      </w:r>
      <w:r w:rsidRPr="005F64DD">
        <w:t xml:space="preserve"> jurisdictions and the Judicial College of Victoria.</w:t>
      </w:r>
    </w:p>
    <w:p w14:paraId="7A63D316" w14:textId="77777777" w:rsidR="001B5F55" w:rsidRPr="005F64DD" w:rsidRDefault="001B5F55" w:rsidP="00615556"/>
    <w:p w14:paraId="65F41AB3" w14:textId="77777777" w:rsidR="00615556" w:rsidRDefault="00615556" w:rsidP="00615556">
      <w:r>
        <w:t xml:space="preserve">Victoria is a centre of litigation excellence through the work of all jurisdictions and their commitment with CSV to the </w:t>
      </w:r>
      <w:r w:rsidRPr="000A1F51">
        <w:rPr>
          <w:i/>
        </w:rPr>
        <w:t>International Framework for Court Excellence</w:t>
      </w:r>
      <w:r>
        <w:t>.</w:t>
      </w:r>
    </w:p>
    <w:p w14:paraId="60B14334" w14:textId="77777777" w:rsidR="00615556" w:rsidRPr="005F64DD" w:rsidRDefault="00615556" w:rsidP="00615556"/>
    <w:p w14:paraId="0B6C1D9A" w14:textId="77777777" w:rsidR="00615556" w:rsidRDefault="00615556" w:rsidP="00615556">
      <w:r>
        <w:t xml:space="preserve">CSV has consolidated and improved its services to all its jurisdiction “clients”. </w:t>
      </w:r>
      <w:r w:rsidRPr="005F64DD">
        <w:t xml:space="preserve">In the </w:t>
      </w:r>
      <w:r>
        <w:t xml:space="preserve">reporting </w:t>
      </w:r>
      <w:r w:rsidRPr="005F64DD">
        <w:t>year CSV has embarked on significant projects</w:t>
      </w:r>
      <w:r>
        <w:t xml:space="preserve"> including</w:t>
      </w:r>
      <w:r w:rsidRPr="005F64DD">
        <w:t>:</w:t>
      </w:r>
      <w:r>
        <w:t xml:space="preserve"> </w:t>
      </w:r>
      <w:r w:rsidRPr="005F64DD">
        <w:t xml:space="preserve">the </w:t>
      </w:r>
      <w:r>
        <w:t xml:space="preserve">progression of the </w:t>
      </w:r>
      <w:r w:rsidRPr="005F64DD">
        <w:t>upgrade of technology across all jurisdictions; the development of an asset strategy plan; a CBD legal precinct strategy; a staffing resources review; and a financial overview and reassessment.</w:t>
      </w:r>
      <w:r>
        <w:t xml:space="preserve"> The Chief Operating Officer, Brian Stevenson has led a significant development of analysis of CSV’s future asset needs and the improvement of jurisdictions’ security. </w:t>
      </w:r>
    </w:p>
    <w:p w14:paraId="4DB84C26" w14:textId="77777777" w:rsidR="00615556" w:rsidRDefault="00615556" w:rsidP="00615556"/>
    <w:p w14:paraId="324E3847" w14:textId="77777777" w:rsidR="00615556" w:rsidRPr="005F64DD" w:rsidRDefault="00615556" w:rsidP="00615556">
      <w:r>
        <w:t>However, t</w:t>
      </w:r>
      <w:r w:rsidRPr="005F64DD">
        <w:t xml:space="preserve">here are two </w:t>
      </w:r>
      <w:r>
        <w:t xml:space="preserve">constant, </w:t>
      </w:r>
      <w:r w:rsidRPr="005F64DD">
        <w:t>significant pressures facing CSV: technology and finance.</w:t>
      </w:r>
    </w:p>
    <w:p w14:paraId="7DD1D9E6" w14:textId="77777777" w:rsidR="00615556" w:rsidRPr="005F64DD" w:rsidRDefault="00615556" w:rsidP="00615556"/>
    <w:p w14:paraId="76A15226" w14:textId="77777777" w:rsidR="00615556" w:rsidRPr="005F64DD" w:rsidRDefault="00615556" w:rsidP="00615556">
      <w:pPr>
        <w:pStyle w:val="Heading3"/>
      </w:pPr>
      <w:r w:rsidRPr="005F64DD">
        <w:t>Technology</w:t>
      </w:r>
    </w:p>
    <w:p w14:paraId="25D976EA" w14:textId="77777777" w:rsidR="00615556" w:rsidRPr="005F64DD" w:rsidRDefault="00615556" w:rsidP="00615556">
      <w:r>
        <w:t>Relevantly, t</w:t>
      </w:r>
      <w:r w:rsidRPr="005F64DD">
        <w:t>he year saw the engagement of Justin Bree as Chief Information Officer.</w:t>
      </w:r>
      <w:r>
        <w:t xml:space="preserve"> </w:t>
      </w:r>
      <w:r w:rsidRPr="005F64DD">
        <w:t>He has led an excellent team in endeavouring to meet the individual needs of the jurisdictions.</w:t>
      </w:r>
    </w:p>
    <w:p w14:paraId="22B3B345" w14:textId="77777777" w:rsidR="00615556" w:rsidRDefault="00615556" w:rsidP="00615556"/>
    <w:p w14:paraId="62F123BF" w14:textId="77777777" w:rsidR="00615556" w:rsidRPr="005F64DD" w:rsidRDefault="00615556" w:rsidP="00615556">
      <w:r w:rsidRPr="005F64DD">
        <w:t>In order to improve service</w:t>
      </w:r>
      <w:r>
        <w:t>s</w:t>
      </w:r>
      <w:r w:rsidRPr="005F64DD">
        <w:t xml:space="preserve"> by the jurisdictions to the Victorian community it is essential that the </w:t>
      </w:r>
      <w:r>
        <w:t>c</w:t>
      </w:r>
      <w:r w:rsidRPr="005F64DD">
        <w:t xml:space="preserve">ourts and the </w:t>
      </w:r>
      <w:r>
        <w:t>t</w:t>
      </w:r>
      <w:r w:rsidRPr="005F64DD">
        <w:t>ribunal have modern, accessible and flexible technological systems.</w:t>
      </w:r>
      <w:r>
        <w:t xml:space="preserve"> </w:t>
      </w:r>
      <w:r w:rsidRPr="005F64DD">
        <w:t>Across the jurisdictions there are opportunities for sharing systems, particularly in the criminal</w:t>
      </w:r>
      <w:r>
        <w:t xml:space="preserve"> areas</w:t>
      </w:r>
      <w:r w:rsidRPr="005F64DD">
        <w:t>.</w:t>
      </w:r>
      <w:r>
        <w:t xml:space="preserve"> </w:t>
      </w:r>
      <w:r w:rsidRPr="005F64DD">
        <w:t>There are then necessarily separate systems needed in other jurisdictions</w:t>
      </w:r>
      <w:r>
        <w:t xml:space="preserve"> including for civil litigation</w:t>
      </w:r>
      <w:r w:rsidRPr="005F64DD">
        <w:t>.</w:t>
      </w:r>
      <w:r>
        <w:t xml:space="preserve"> </w:t>
      </w:r>
      <w:r w:rsidRPr="005F64DD">
        <w:t>It is not a case o</w:t>
      </w:r>
      <w:r>
        <w:t>f one mega system to cover all c</w:t>
      </w:r>
      <w:r w:rsidRPr="005F64DD">
        <w:t xml:space="preserve">ourts and the </w:t>
      </w:r>
      <w:r>
        <w:t>t</w:t>
      </w:r>
      <w:r w:rsidRPr="005F64DD">
        <w:t>ribunal</w:t>
      </w:r>
      <w:r>
        <w:t>,</w:t>
      </w:r>
      <w:r w:rsidRPr="005F64DD">
        <w:t xml:space="preserve"> both civil and criminal.</w:t>
      </w:r>
      <w:r>
        <w:t xml:space="preserve"> Rather, CSV is progressing towards meeting the different and varying needs across the courts and the tribunal.</w:t>
      </w:r>
    </w:p>
    <w:p w14:paraId="57F553BE" w14:textId="77777777" w:rsidR="00615556" w:rsidRPr="005F64DD" w:rsidRDefault="00615556" w:rsidP="00615556"/>
    <w:p w14:paraId="799A7570" w14:textId="77777777" w:rsidR="00615556" w:rsidRDefault="00615556" w:rsidP="00615556">
      <w:r w:rsidRPr="005F64DD">
        <w:t xml:space="preserve">In </w:t>
      </w:r>
      <w:r>
        <w:t xml:space="preserve">particular, </w:t>
      </w:r>
      <w:r w:rsidRPr="005F64DD">
        <w:t xml:space="preserve">extensive work has been prepared for the modernisation of </w:t>
      </w:r>
      <w:r>
        <w:t xml:space="preserve">systems in </w:t>
      </w:r>
      <w:r w:rsidRPr="005F64DD">
        <w:t xml:space="preserve">the Magistrates’ Court and the Children’s Court arising from the report of the Royal Commission </w:t>
      </w:r>
      <w:r>
        <w:t xml:space="preserve">into </w:t>
      </w:r>
      <w:r w:rsidRPr="005F64DD">
        <w:t>Family Violence.</w:t>
      </w:r>
      <w:r>
        <w:t xml:space="preserve"> </w:t>
      </w:r>
      <w:r w:rsidRPr="005F64DD">
        <w:t xml:space="preserve">CSV anticipates that the implementation </w:t>
      </w:r>
      <w:r>
        <w:t>by the g</w:t>
      </w:r>
      <w:r w:rsidRPr="005F64DD">
        <w:t xml:space="preserve">overnment of the </w:t>
      </w:r>
      <w:r>
        <w:t xml:space="preserve">Royal Commission recommendations </w:t>
      </w:r>
      <w:r w:rsidRPr="005F64DD">
        <w:t>may provide a f</w:t>
      </w:r>
      <w:r>
        <w:t xml:space="preserve">ertile </w:t>
      </w:r>
      <w:r w:rsidRPr="005F64DD">
        <w:t xml:space="preserve">opportunity to dramatically improve service, management and efficiency </w:t>
      </w:r>
      <w:r>
        <w:t xml:space="preserve">in </w:t>
      </w:r>
      <w:r w:rsidRPr="005F64DD">
        <w:t>the Magistrates’ Court thro</w:t>
      </w:r>
      <w:r>
        <w:t>ugh technological advancement.</w:t>
      </w:r>
    </w:p>
    <w:p w14:paraId="35984C97" w14:textId="77777777" w:rsidR="00615556" w:rsidRDefault="00615556" w:rsidP="00615556"/>
    <w:p w14:paraId="2EBEFCEC" w14:textId="77777777" w:rsidR="00615556" w:rsidRDefault="00615556" w:rsidP="00615556">
      <w:r w:rsidRPr="005F64DD">
        <w:t xml:space="preserve">Separation of the jurisdictions from the </w:t>
      </w:r>
      <w:r>
        <w:t xml:space="preserve">IT </w:t>
      </w:r>
      <w:r w:rsidRPr="005F64DD">
        <w:t xml:space="preserve">system of the </w:t>
      </w:r>
      <w:r>
        <w:t xml:space="preserve">Department of Justice and Regulation </w:t>
      </w:r>
      <w:r w:rsidRPr="005F64DD">
        <w:t xml:space="preserve">is a foundational aspect </w:t>
      </w:r>
      <w:r>
        <w:t>of the establishment of CSV.</w:t>
      </w:r>
    </w:p>
    <w:p w14:paraId="6FF9A8D2" w14:textId="77777777" w:rsidR="00615556" w:rsidRDefault="00615556" w:rsidP="00615556"/>
    <w:p w14:paraId="57CE7E3E" w14:textId="77777777" w:rsidR="00615556" w:rsidRDefault="00615556" w:rsidP="00615556">
      <w:r>
        <w:t xml:space="preserve">CSV has supported projects to achieve that separation. </w:t>
      </w:r>
      <w:r w:rsidRPr="005F64DD">
        <w:t xml:space="preserve">There is </w:t>
      </w:r>
      <w:r>
        <w:t xml:space="preserve">a special </w:t>
      </w:r>
      <w:r w:rsidRPr="005F64DD">
        <w:t xml:space="preserve">opportunity </w:t>
      </w:r>
      <w:r>
        <w:t xml:space="preserve">being </w:t>
      </w:r>
      <w:r w:rsidRPr="005F64DD">
        <w:t>developed by the Supreme Court that will see</w:t>
      </w:r>
      <w:r>
        <w:t>,</w:t>
      </w:r>
      <w:r w:rsidRPr="005F64DD">
        <w:t xml:space="preserve"> </w:t>
      </w:r>
      <w:r>
        <w:t xml:space="preserve">finally, </w:t>
      </w:r>
      <w:r w:rsidRPr="005F64DD">
        <w:t xml:space="preserve">the achievement of </w:t>
      </w:r>
      <w:r>
        <w:t xml:space="preserve">IT </w:t>
      </w:r>
      <w:r w:rsidRPr="005F64DD">
        <w:t>separation.</w:t>
      </w:r>
      <w:r>
        <w:t xml:space="preserve"> Part of this project involves developing an effective local case management system from the problematic outcomes of the ICMS project which was the subject of criticism by the Auditor-General. Following implementation of the system in the Supreme Court a model will be available for adoption by other jurisdictions. The Supreme Court system will require a modest investment, but will potentially establish an outstanding outcome of technological independence from the Department of Justice and Regulation.</w:t>
      </w:r>
    </w:p>
    <w:p w14:paraId="27CDF767" w14:textId="77777777" w:rsidR="00615556" w:rsidRDefault="00615556" w:rsidP="00615556"/>
    <w:p w14:paraId="2398ECF5" w14:textId="77777777" w:rsidR="00615556" w:rsidRPr="005F64DD" w:rsidRDefault="00615556" w:rsidP="00615556">
      <w:pPr>
        <w:pStyle w:val="Heading3"/>
      </w:pPr>
      <w:r w:rsidRPr="005F64DD">
        <w:t>Finance</w:t>
      </w:r>
    </w:p>
    <w:p w14:paraId="3CC731DF" w14:textId="77777777" w:rsidR="00615556" w:rsidRPr="005F64DD" w:rsidRDefault="00615556" w:rsidP="00615556">
      <w:r w:rsidRPr="005F64DD">
        <w:t xml:space="preserve">The Courts Council was very pleased at the end of the financial year </w:t>
      </w:r>
      <w:r>
        <w:t xml:space="preserve">with CSV’s </w:t>
      </w:r>
      <w:r w:rsidRPr="005F64DD">
        <w:t>modest surplus.</w:t>
      </w:r>
      <w:r>
        <w:t xml:space="preserve"> CSV has benefited greatly from the support and assistance of the Chief Finance Officer, Lisa Wills.</w:t>
      </w:r>
    </w:p>
    <w:p w14:paraId="40D0FAB3" w14:textId="77777777" w:rsidR="00615556" w:rsidRDefault="00615556" w:rsidP="00615556"/>
    <w:p w14:paraId="2C2E71D5" w14:textId="77777777" w:rsidR="00615556" w:rsidRPr="005F64DD" w:rsidRDefault="00615556" w:rsidP="00615556">
      <w:r w:rsidRPr="005F64DD">
        <w:t xml:space="preserve">The Courts Council of CSV has been </w:t>
      </w:r>
      <w:r>
        <w:t xml:space="preserve">strongly </w:t>
      </w:r>
      <w:r w:rsidRPr="005F64DD">
        <w:t>committed to achieving a balanced budget.</w:t>
      </w:r>
      <w:r>
        <w:t xml:space="preserve"> Nonetheless </w:t>
      </w:r>
      <w:r w:rsidRPr="005F64DD">
        <w:t xml:space="preserve">some of the jurisdictions </w:t>
      </w:r>
      <w:r>
        <w:t xml:space="preserve">have rising </w:t>
      </w:r>
      <w:r w:rsidRPr="005F64DD">
        <w:t>costs from the changing volume</w:t>
      </w:r>
      <w:r>
        <w:t xml:space="preserve"> and</w:t>
      </w:r>
      <w:r w:rsidRPr="005F64DD">
        <w:t xml:space="preserve"> complexity of litigation and also meeting the demands </w:t>
      </w:r>
      <w:r>
        <w:t xml:space="preserve">and expectations </w:t>
      </w:r>
      <w:r w:rsidRPr="005F64DD">
        <w:t>of the Victorian community.</w:t>
      </w:r>
      <w:r>
        <w:t xml:space="preserve"> </w:t>
      </w:r>
      <w:r w:rsidRPr="005F64DD">
        <w:t xml:space="preserve">As a result, some jurisdictions have faced difficulty in </w:t>
      </w:r>
      <w:r>
        <w:t xml:space="preserve">meeting </w:t>
      </w:r>
      <w:r w:rsidRPr="005F64DD">
        <w:t xml:space="preserve">their individual budgets and, also, in funding reforms that </w:t>
      </w:r>
      <w:r>
        <w:t xml:space="preserve">would </w:t>
      </w:r>
      <w:r w:rsidRPr="005F64DD">
        <w:t xml:space="preserve">lead to </w:t>
      </w:r>
      <w:r>
        <w:t xml:space="preserve">improved services and </w:t>
      </w:r>
      <w:r w:rsidRPr="005F64DD">
        <w:t>important savings in the long term.</w:t>
      </w:r>
      <w:r>
        <w:t xml:space="preserve"> </w:t>
      </w:r>
    </w:p>
    <w:p w14:paraId="0CD1B2D4" w14:textId="77777777" w:rsidR="00615556" w:rsidRPr="005F64DD" w:rsidRDefault="00615556" w:rsidP="00615556"/>
    <w:p w14:paraId="63C61634" w14:textId="77777777" w:rsidR="00615556" w:rsidRPr="005F64DD" w:rsidRDefault="00615556" w:rsidP="00615556">
      <w:r>
        <w:t xml:space="preserve">In response, </w:t>
      </w:r>
      <w:r w:rsidRPr="005F64DD">
        <w:t>CSV has conducted finance reviews which have identified better accounting practices, staff rationalisation and identification of costs savings.</w:t>
      </w:r>
      <w:r>
        <w:t xml:space="preserve"> These reforms have been implemented. Further reviews and reforms will be considered in the coming year.</w:t>
      </w:r>
    </w:p>
    <w:p w14:paraId="414EA2A8" w14:textId="77777777" w:rsidR="00615556" w:rsidRPr="005F64DD" w:rsidRDefault="00615556" w:rsidP="00615556"/>
    <w:p w14:paraId="00C2D1BD" w14:textId="77777777" w:rsidR="00615556" w:rsidRPr="005F64DD" w:rsidRDefault="00615556" w:rsidP="00615556">
      <w:r>
        <w:t>T</w:t>
      </w:r>
      <w:r w:rsidRPr="005F64DD">
        <w:t>he bigg</w:t>
      </w:r>
      <w:r>
        <w:t>est financial challenge to the c</w:t>
      </w:r>
      <w:r w:rsidRPr="005F64DD">
        <w:t xml:space="preserve">ourts </w:t>
      </w:r>
      <w:r>
        <w:t xml:space="preserve">and the tribunal </w:t>
      </w:r>
      <w:r w:rsidRPr="005F64DD">
        <w:t>arises from the productivity and efficiency savings and dividends that have been imposed on the</w:t>
      </w:r>
      <w:r>
        <w:t xml:space="preserve"> jurisdictions</w:t>
      </w:r>
      <w:r w:rsidRPr="005F64DD">
        <w:t>.</w:t>
      </w:r>
    </w:p>
    <w:p w14:paraId="4CF4F6CF" w14:textId="77777777" w:rsidR="00615556" w:rsidRPr="005F64DD" w:rsidRDefault="00615556" w:rsidP="00615556"/>
    <w:p w14:paraId="6CAD310C" w14:textId="77777777" w:rsidR="00615556" w:rsidRPr="005F64DD" w:rsidRDefault="00615556" w:rsidP="00615556">
      <w:r>
        <w:t>From 2012 g</w:t>
      </w:r>
      <w:r w:rsidRPr="005F64DD">
        <w:t xml:space="preserve">overnment </w:t>
      </w:r>
      <w:r>
        <w:t xml:space="preserve">savings measures have been </w:t>
      </w:r>
      <w:r w:rsidRPr="005F64DD">
        <w:t xml:space="preserve">applied to </w:t>
      </w:r>
      <w:r>
        <w:t>the c</w:t>
      </w:r>
      <w:r w:rsidRPr="005F64DD">
        <w:t xml:space="preserve">ourts and </w:t>
      </w:r>
      <w:r>
        <w:t>the t</w:t>
      </w:r>
      <w:r w:rsidRPr="005F64DD">
        <w:t>ribunal</w:t>
      </w:r>
      <w:r>
        <w:t xml:space="preserve"> mostly without </w:t>
      </w:r>
      <w:r w:rsidRPr="005F64DD">
        <w:t>exemptions for court registry staff</w:t>
      </w:r>
      <w:r>
        <w:t xml:space="preserve"> and judicial staff. Further g</w:t>
      </w:r>
      <w:r w:rsidRPr="005F64DD">
        <w:t xml:space="preserve">overnment savings were then imposed </w:t>
      </w:r>
      <w:r>
        <w:t>in 2013.</w:t>
      </w:r>
    </w:p>
    <w:p w14:paraId="4B3F9A76" w14:textId="77777777" w:rsidR="00615556" w:rsidRPr="005F64DD" w:rsidRDefault="00615556" w:rsidP="00615556"/>
    <w:p w14:paraId="62157981" w14:textId="77777777" w:rsidR="00615556" w:rsidRDefault="00615556" w:rsidP="00615556">
      <w:r w:rsidRPr="005F64DD">
        <w:t xml:space="preserve">The cumulative effect of the savings amounts to </w:t>
      </w:r>
      <w:r>
        <w:t xml:space="preserve">a significant </w:t>
      </w:r>
      <w:r w:rsidRPr="005F64DD">
        <w:t xml:space="preserve">reduction in </w:t>
      </w:r>
      <w:r>
        <w:t xml:space="preserve">the </w:t>
      </w:r>
      <w:r w:rsidRPr="005F64DD">
        <w:t>funding available to CSV ($58 million reduction in funds available</w:t>
      </w:r>
      <w:r>
        <w:t xml:space="preserve"> to the c</w:t>
      </w:r>
      <w:r w:rsidRPr="005F64DD">
        <w:t xml:space="preserve">ourts and </w:t>
      </w:r>
      <w:r>
        <w:t xml:space="preserve">the tribunal </w:t>
      </w:r>
      <w:r w:rsidRPr="005F64DD">
        <w:t>sin</w:t>
      </w:r>
      <w:r>
        <w:t>ce the 2011/12 financial year).</w:t>
      </w:r>
    </w:p>
    <w:p w14:paraId="6CE3457E" w14:textId="77777777" w:rsidR="00615556" w:rsidRDefault="00615556" w:rsidP="00615556"/>
    <w:p w14:paraId="65EDE7BC" w14:textId="77777777" w:rsidR="00615556" w:rsidRPr="005F64DD" w:rsidRDefault="00615556" w:rsidP="00615556">
      <w:r>
        <w:t xml:space="preserve">For the most part, courts have not been generously funded and the imposition of saving initiatives on already tight budgets creates unfair pressure and ultimately risks undermining the performance of their inherent functions. </w:t>
      </w:r>
    </w:p>
    <w:p w14:paraId="72E005F7" w14:textId="77777777" w:rsidR="00615556" w:rsidRPr="005F64DD" w:rsidRDefault="00615556" w:rsidP="00615556"/>
    <w:p w14:paraId="1751B970" w14:textId="77777777" w:rsidR="00615556" w:rsidRPr="005F64DD" w:rsidRDefault="00615556" w:rsidP="00615556">
      <w:r>
        <w:t xml:space="preserve">In order to maintain basic services </w:t>
      </w:r>
      <w:r w:rsidRPr="005F64DD">
        <w:t xml:space="preserve">some jurisdictions have become partially dependant on additional funding drawn from the Court Fee Pool </w:t>
      </w:r>
      <w:r>
        <w:t>which is made available to the c</w:t>
      </w:r>
      <w:r w:rsidRPr="005F64DD">
        <w:t xml:space="preserve">ourts by the </w:t>
      </w:r>
      <w:r>
        <w:t xml:space="preserve">Treasurer </w:t>
      </w:r>
      <w:r w:rsidRPr="005F64DD">
        <w:t xml:space="preserve">pursuant to section 29 of the </w:t>
      </w:r>
      <w:r w:rsidRPr="005F64DD">
        <w:rPr>
          <w:i/>
        </w:rPr>
        <w:t>Financial Management Act</w:t>
      </w:r>
      <w:r>
        <w:rPr>
          <w:i/>
        </w:rPr>
        <w:t xml:space="preserve"> 1994</w:t>
      </w:r>
      <w:r w:rsidRPr="005F64DD">
        <w:t>.</w:t>
      </w:r>
      <w:r>
        <w:t xml:space="preserve"> </w:t>
      </w:r>
      <w:r w:rsidRPr="005F64DD">
        <w:t xml:space="preserve">In the longer term it is desirable that the section 29 arrangement </w:t>
      </w:r>
      <w:r>
        <w:t>be reviewed.</w:t>
      </w:r>
    </w:p>
    <w:p w14:paraId="3543B5F6" w14:textId="77777777" w:rsidR="00615556" w:rsidRPr="005F64DD" w:rsidRDefault="00615556" w:rsidP="00615556"/>
    <w:p w14:paraId="01A861A8" w14:textId="77777777" w:rsidR="00615556" w:rsidRPr="005F64DD" w:rsidRDefault="00615556" w:rsidP="00615556">
      <w:pPr>
        <w:pStyle w:val="Heading3"/>
      </w:pPr>
      <w:r w:rsidRPr="005F64DD">
        <w:t>Independence</w:t>
      </w:r>
    </w:p>
    <w:p w14:paraId="33B721DB" w14:textId="77777777" w:rsidR="00615556" w:rsidRPr="005F64DD" w:rsidRDefault="00615556" w:rsidP="00615556">
      <w:r>
        <w:t xml:space="preserve">How the </w:t>
      </w:r>
      <w:r w:rsidRPr="005F64DD">
        <w:t xml:space="preserve">independence conferred on CSV </w:t>
      </w:r>
      <w:r>
        <w:t xml:space="preserve">under the </w:t>
      </w:r>
      <w:r w:rsidRPr="00162161">
        <w:rPr>
          <w:i/>
        </w:rPr>
        <w:t xml:space="preserve">Courts Services </w:t>
      </w:r>
      <w:r>
        <w:rPr>
          <w:i/>
        </w:rPr>
        <w:t xml:space="preserve">Victoria </w:t>
      </w:r>
      <w:r w:rsidRPr="00162161">
        <w:rPr>
          <w:i/>
        </w:rPr>
        <w:t>Act</w:t>
      </w:r>
      <w:r>
        <w:t xml:space="preserve"> 2014 is given practical effect </w:t>
      </w:r>
      <w:r w:rsidRPr="005F64DD">
        <w:t>will be developed and refined over the years.</w:t>
      </w:r>
      <w:r>
        <w:t xml:space="preserve"> </w:t>
      </w:r>
      <w:r w:rsidRPr="005F64DD">
        <w:t xml:space="preserve">An important component of the exercise of the independence of CSV arises under section 41 of the </w:t>
      </w:r>
      <w:r w:rsidRPr="005F64DD">
        <w:rPr>
          <w:i/>
        </w:rPr>
        <w:t>Courts Services Act</w:t>
      </w:r>
      <w:r>
        <w:t>.</w:t>
      </w:r>
    </w:p>
    <w:p w14:paraId="139A8E67" w14:textId="77777777" w:rsidR="00615556" w:rsidRPr="005F64DD" w:rsidRDefault="00615556" w:rsidP="00615556"/>
    <w:p w14:paraId="2B55BB1B" w14:textId="77777777" w:rsidR="00615556" w:rsidRPr="005F64DD" w:rsidRDefault="00615556" w:rsidP="00615556">
      <w:r w:rsidRPr="005F64DD">
        <w:t xml:space="preserve">Section 41 provides a mechanism for the high level determination of the budgets of each jurisdiction, the Judicial College of Victoria and </w:t>
      </w:r>
      <w:r>
        <w:t>CSV. T</w:t>
      </w:r>
      <w:r w:rsidRPr="005F64DD">
        <w:t xml:space="preserve">he budget is </w:t>
      </w:r>
      <w:r>
        <w:t xml:space="preserve">developed and </w:t>
      </w:r>
      <w:r w:rsidRPr="005F64DD">
        <w:t>submitted by the Courts Council and approved or modified by the Attorney-General.</w:t>
      </w:r>
      <w:r>
        <w:t xml:space="preserve"> </w:t>
      </w:r>
      <w:r w:rsidRPr="005F64DD">
        <w:t xml:space="preserve">Self-evidently, section 41 </w:t>
      </w:r>
      <w:r>
        <w:t xml:space="preserve">of the </w:t>
      </w:r>
      <w:r w:rsidRPr="00540D34">
        <w:rPr>
          <w:i/>
        </w:rPr>
        <w:t xml:space="preserve">Courts Services </w:t>
      </w:r>
      <w:r>
        <w:rPr>
          <w:i/>
        </w:rPr>
        <w:t xml:space="preserve">Victoria </w:t>
      </w:r>
      <w:r w:rsidRPr="00540D34">
        <w:rPr>
          <w:i/>
        </w:rPr>
        <w:t>Act</w:t>
      </w:r>
      <w:r>
        <w:t xml:space="preserve"> </w:t>
      </w:r>
      <w:r w:rsidRPr="005F64DD">
        <w:t>does not contemplate interference in the</w:t>
      </w:r>
      <w:r>
        <w:t xml:space="preserve"> primary function of the Courts Council in determining the facilities and services necessary to support the courts and the tribunal</w:t>
      </w:r>
      <w:r w:rsidRPr="005F64DD">
        <w:t>.</w:t>
      </w:r>
      <w:r>
        <w:t xml:space="preserve"> </w:t>
      </w:r>
      <w:r w:rsidRPr="005F64DD">
        <w:t>Certainly that has not been the case to date.</w:t>
      </w:r>
      <w:r>
        <w:t xml:space="preserve"> </w:t>
      </w:r>
    </w:p>
    <w:p w14:paraId="12F7C70D" w14:textId="77777777" w:rsidR="00615556" w:rsidRPr="005F64DD" w:rsidRDefault="00615556" w:rsidP="00615556"/>
    <w:p w14:paraId="469BFD73" w14:textId="77777777" w:rsidR="00615556" w:rsidRPr="005F64DD" w:rsidRDefault="00615556" w:rsidP="00615556">
      <w:r w:rsidRPr="005F64DD">
        <w:t xml:space="preserve">The </w:t>
      </w:r>
      <w:r>
        <w:t xml:space="preserve">functions of the Courts Council in submitting, and </w:t>
      </w:r>
      <w:r w:rsidRPr="005F64DD">
        <w:t>the Attorney-General in relation to approval or modification of the budget</w:t>
      </w:r>
      <w:r>
        <w:t>,</w:t>
      </w:r>
      <w:r w:rsidRPr="005F64DD">
        <w:t xml:space="preserve"> fall to be exercised in the context of appropriations made by Parliament and the budget papers tabled in Parliament</w:t>
      </w:r>
      <w:r>
        <w:t xml:space="preserve">. </w:t>
      </w:r>
      <w:r w:rsidRPr="005F64DD">
        <w:t xml:space="preserve">The Courts Council is </w:t>
      </w:r>
      <w:r>
        <w:t xml:space="preserve">required </w:t>
      </w:r>
      <w:r w:rsidRPr="005F64DD">
        <w:t>to use its best endeavours to act consistently with the budget and is enjoin</w:t>
      </w:r>
      <w:r>
        <w:t>ed</w:t>
      </w:r>
      <w:r w:rsidRPr="005F64DD">
        <w:t xml:space="preserve"> from expending money beyond the provisions of the budget.</w:t>
      </w:r>
      <w:r>
        <w:t xml:space="preserve"> </w:t>
      </w:r>
    </w:p>
    <w:p w14:paraId="6956FE0D" w14:textId="77777777" w:rsidR="00615556" w:rsidRPr="005F64DD" w:rsidRDefault="00615556" w:rsidP="00615556"/>
    <w:p w14:paraId="495D3601" w14:textId="77777777" w:rsidR="00615556" w:rsidRPr="005F64DD" w:rsidRDefault="00615556" w:rsidP="00615556">
      <w:pPr>
        <w:pStyle w:val="Heading3"/>
      </w:pPr>
      <w:r>
        <w:t>Acknowledgements</w:t>
      </w:r>
    </w:p>
    <w:p w14:paraId="17ED92D1" w14:textId="77777777" w:rsidR="00615556" w:rsidRPr="005F64DD" w:rsidRDefault="00615556" w:rsidP="00615556">
      <w:r>
        <w:t xml:space="preserve">As CSV enters its third year, I am grateful for the opportunity to publicly note that </w:t>
      </w:r>
      <w:r w:rsidRPr="005F64DD">
        <w:t xml:space="preserve">CSV has been greatly assisted by the support and cooperation of the Secretary of the </w:t>
      </w:r>
      <w:r>
        <w:t>Department of Justice and Regulation</w:t>
      </w:r>
      <w:r w:rsidRPr="005F64DD">
        <w:t xml:space="preserve">, Mr Greg Wilson </w:t>
      </w:r>
      <w:r>
        <w:t xml:space="preserve">and </w:t>
      </w:r>
      <w:r w:rsidRPr="005F64DD">
        <w:t>his staff.</w:t>
      </w:r>
      <w:r>
        <w:t xml:space="preserve"> </w:t>
      </w:r>
      <w:r w:rsidRPr="005F64DD">
        <w:t>The support has occurred in a variety of ways.</w:t>
      </w:r>
      <w:r>
        <w:t xml:space="preserve"> </w:t>
      </w:r>
      <w:r w:rsidRPr="005F64DD">
        <w:t>Fundamental has been the recognition by the Department of the p</w:t>
      </w:r>
      <w:r>
        <w:t>urpose of CSV to the Victorian c</w:t>
      </w:r>
      <w:r w:rsidRPr="005F64DD">
        <w:t>ourts</w:t>
      </w:r>
      <w:r>
        <w:t xml:space="preserve"> and tribunal</w:t>
      </w:r>
      <w:r w:rsidRPr="005F64DD">
        <w:t>, that i</w:t>
      </w:r>
      <w:r>
        <w:t>s, to ensure their independence.</w:t>
      </w:r>
    </w:p>
    <w:p w14:paraId="10261639" w14:textId="77777777" w:rsidR="00615556" w:rsidRPr="005F64DD" w:rsidRDefault="00615556" w:rsidP="00615556"/>
    <w:p w14:paraId="202F4853" w14:textId="77777777" w:rsidR="00615556" w:rsidRPr="005F64DD" w:rsidRDefault="00615556" w:rsidP="00615556">
      <w:r w:rsidRPr="005F64DD">
        <w:t xml:space="preserve">I also acknowledge the smooth handover and transition arranged by the former CEO, Mr Alan Clayton </w:t>
      </w:r>
      <w:r>
        <w:t xml:space="preserve">PSM </w:t>
      </w:r>
      <w:r w:rsidRPr="005F64DD">
        <w:t xml:space="preserve">who left CSV on </w:t>
      </w:r>
      <w:r>
        <w:t xml:space="preserve">9 August 2015 </w:t>
      </w:r>
      <w:r w:rsidRPr="005F64DD">
        <w:t>and Mr Mick Carroll who acted as CEO for the period</w:t>
      </w:r>
      <w:r>
        <w:t xml:space="preserve"> 9 August to 16 November 2015</w:t>
      </w:r>
      <w:r w:rsidRPr="005F64DD">
        <w:t>.</w:t>
      </w:r>
      <w:r>
        <w:t xml:space="preserve"> Since 16 November 2015 </w:t>
      </w:r>
      <w:r w:rsidRPr="005F64DD">
        <w:t>Kerry Osborne has been in the role of CEO.</w:t>
      </w:r>
      <w:r>
        <w:t xml:space="preserve"> </w:t>
      </w:r>
      <w:r w:rsidRPr="005F64DD">
        <w:t>On behalf of the Courts Council I express appreciation to him and his staff for all their hard work and commitment to serving the Victorian jurisdictions and the College.</w:t>
      </w:r>
    </w:p>
    <w:p w14:paraId="50F653CB" w14:textId="77777777" w:rsidR="00615556" w:rsidRPr="005F64DD" w:rsidRDefault="00615556" w:rsidP="00615556"/>
    <w:p w14:paraId="14F98311" w14:textId="77777777" w:rsidR="00615556" w:rsidRPr="005F64DD" w:rsidRDefault="00615556" w:rsidP="00615556">
      <w:r w:rsidRPr="005F64DD">
        <w:t xml:space="preserve">I note and acknowledge, also, that his Honour Judge Ian Gray retired as Coroner and as a member of the Courts Council on </w:t>
      </w:r>
      <w:r>
        <w:t>18 December 2015</w:t>
      </w:r>
      <w:r w:rsidRPr="005F64DD">
        <w:t>.</w:t>
      </w:r>
      <w:r>
        <w:t xml:space="preserve"> He was a founding member and valuable contributor to the Courts Council. </w:t>
      </w:r>
      <w:r w:rsidRPr="005F64DD">
        <w:t xml:space="preserve">I acknowledge </w:t>
      </w:r>
      <w:r>
        <w:t xml:space="preserve">Judge Gray’s contribution and </w:t>
      </w:r>
      <w:r w:rsidRPr="005F64DD">
        <w:t>commitment to CSV.</w:t>
      </w:r>
    </w:p>
    <w:p w14:paraId="4325E15E" w14:textId="77777777" w:rsidR="00615556" w:rsidRPr="005F64DD" w:rsidRDefault="00615556" w:rsidP="00615556"/>
    <w:p w14:paraId="1F43A3D9" w14:textId="77777777" w:rsidR="00615556" w:rsidRPr="005F64DD" w:rsidRDefault="00615556" w:rsidP="00615556">
      <w:r w:rsidRPr="005F64DD">
        <w:t xml:space="preserve">I thank my fellow Courts Council members who have worked valiantly to achieve and ensure the independence </w:t>
      </w:r>
      <w:r>
        <w:t xml:space="preserve">and appropriate management and resourcing </w:t>
      </w:r>
      <w:r w:rsidRPr="005F64DD">
        <w:t>of the Victorian jurisdictions and the College</w:t>
      </w:r>
      <w:r>
        <w:t>.</w:t>
      </w:r>
    </w:p>
    <w:p w14:paraId="00F1875D" w14:textId="77777777" w:rsidR="00615556" w:rsidRPr="005F64DD" w:rsidRDefault="00615556" w:rsidP="00615556"/>
    <w:p w14:paraId="4CE2B1DB" w14:textId="77777777" w:rsidR="00615556" w:rsidRPr="005F64DD" w:rsidRDefault="00615556" w:rsidP="00615556">
      <w:r w:rsidRPr="005F64DD">
        <w:t xml:space="preserve">Finally, it has been a </w:t>
      </w:r>
      <w:r>
        <w:t xml:space="preserve">personal </w:t>
      </w:r>
      <w:r w:rsidRPr="005F64DD">
        <w:t>privilege for me to chair the Courts Council and observe the development of CSV into an entity of imme</w:t>
      </w:r>
      <w:r>
        <w:t xml:space="preserve">nse importance and significance </w:t>
      </w:r>
      <w:r w:rsidRPr="005F64DD">
        <w:t>within Victoria’s constitution</w:t>
      </w:r>
      <w:r>
        <w:t>al and governmental structure.</w:t>
      </w:r>
    </w:p>
    <w:p w14:paraId="0A0992C0" w14:textId="77777777" w:rsidR="000E0293" w:rsidRDefault="000E0293" w:rsidP="00532B1B"/>
    <w:p w14:paraId="5CEFD208" w14:textId="77777777" w:rsidR="005562C5" w:rsidRDefault="005562C5" w:rsidP="00532B1B"/>
    <w:p w14:paraId="2C4F8BC5" w14:textId="77777777" w:rsidR="000E0293" w:rsidRPr="00CF273E" w:rsidRDefault="000E0293" w:rsidP="00532B1B"/>
    <w:p w14:paraId="52BC23C3" w14:textId="76CBED78" w:rsidR="00C41167" w:rsidRDefault="00CF273E" w:rsidP="00532B1B">
      <w:pPr>
        <w:rPr>
          <w:b/>
        </w:rPr>
      </w:pPr>
      <w:r w:rsidRPr="00847C1D">
        <w:rPr>
          <w:b/>
        </w:rPr>
        <w:t>The Honourable Chief</w:t>
      </w:r>
      <w:r w:rsidR="00C41167">
        <w:rPr>
          <w:b/>
        </w:rPr>
        <w:t xml:space="preserve"> </w:t>
      </w:r>
      <w:r w:rsidRPr="00847C1D">
        <w:rPr>
          <w:b/>
        </w:rPr>
        <w:t>Justice</w:t>
      </w:r>
    </w:p>
    <w:p w14:paraId="79C58EF2" w14:textId="0861F973" w:rsidR="00CF273E" w:rsidRPr="00847C1D" w:rsidRDefault="00CF273E" w:rsidP="00532B1B">
      <w:pPr>
        <w:rPr>
          <w:b/>
        </w:rPr>
      </w:pPr>
      <w:r w:rsidRPr="00847C1D">
        <w:rPr>
          <w:b/>
        </w:rPr>
        <w:t>Marilyn Warren AC</w:t>
      </w:r>
    </w:p>
    <w:p w14:paraId="2B09D2DA" w14:textId="77777777" w:rsidR="00CF273E" w:rsidRPr="00847C1D" w:rsidRDefault="00CF273E" w:rsidP="00532B1B">
      <w:pPr>
        <w:rPr>
          <w:b/>
        </w:rPr>
      </w:pPr>
      <w:r w:rsidRPr="00847C1D">
        <w:rPr>
          <w:b/>
        </w:rPr>
        <w:t xml:space="preserve">Chair of the </w:t>
      </w:r>
      <w:r w:rsidR="00391E73" w:rsidRPr="00847C1D">
        <w:rPr>
          <w:b/>
        </w:rPr>
        <w:t>Courts</w:t>
      </w:r>
      <w:r w:rsidRPr="00847C1D">
        <w:rPr>
          <w:b/>
        </w:rPr>
        <w:t xml:space="preserve"> Council</w:t>
      </w:r>
    </w:p>
    <w:p w14:paraId="32EAC632" w14:textId="77777777" w:rsidR="00CF273E" w:rsidRPr="00CF273E" w:rsidRDefault="00CF273E" w:rsidP="00532B1B"/>
    <w:p w14:paraId="73C22D33" w14:textId="77777777" w:rsidR="00CF273E" w:rsidRPr="00C73B1D" w:rsidRDefault="00F60609" w:rsidP="00847C1D">
      <w:pPr>
        <w:pStyle w:val="Heading2"/>
      </w:pPr>
      <w:r>
        <w:br w:type="page"/>
      </w:r>
      <w:bookmarkStart w:id="2" w:name="_Toc466381156"/>
      <w:r w:rsidR="00652022" w:rsidRPr="00C73B1D">
        <w:t>Message from the Chief Executive Officer</w:t>
      </w:r>
      <w:bookmarkEnd w:id="2"/>
    </w:p>
    <w:p w14:paraId="5C018B6E" w14:textId="4F689409" w:rsidR="00125396" w:rsidRPr="00615556" w:rsidRDefault="00125396" w:rsidP="00615556">
      <w:r w:rsidRPr="00615556">
        <w:t xml:space="preserve">I am pleased to present the second </w:t>
      </w:r>
      <w:r w:rsidR="00517CD1" w:rsidRPr="00615556">
        <w:t>C</w:t>
      </w:r>
      <w:r w:rsidR="00F90D2A" w:rsidRPr="00615556">
        <w:t xml:space="preserve">ourt </w:t>
      </w:r>
      <w:r w:rsidR="00517CD1" w:rsidRPr="00615556">
        <w:t>S</w:t>
      </w:r>
      <w:r w:rsidR="00F90D2A" w:rsidRPr="00615556">
        <w:t xml:space="preserve">ervices </w:t>
      </w:r>
      <w:r w:rsidR="00517CD1" w:rsidRPr="00615556">
        <w:t>V</w:t>
      </w:r>
      <w:r w:rsidR="00F90D2A" w:rsidRPr="00615556">
        <w:t>ictoria</w:t>
      </w:r>
      <w:r w:rsidR="00517CD1" w:rsidRPr="00615556">
        <w:t xml:space="preserve"> Annual Report. </w:t>
      </w:r>
    </w:p>
    <w:p w14:paraId="397AB67C" w14:textId="77777777" w:rsidR="00125396" w:rsidRPr="00615556" w:rsidRDefault="00125396" w:rsidP="00615556"/>
    <w:p w14:paraId="424EDE2B" w14:textId="7A03EEDD" w:rsidR="00125396" w:rsidRPr="00615556" w:rsidRDefault="00125396" w:rsidP="00615556">
      <w:r w:rsidRPr="00615556">
        <w:t>Commencing operations as an independent statutory authority on 1 July 2014 was a</w:t>
      </w:r>
      <w:r w:rsidR="00F90D2A" w:rsidRPr="00615556">
        <w:t>n</w:t>
      </w:r>
      <w:r w:rsidRPr="00615556">
        <w:t xml:space="preserve"> historic milestone for courts in Victoria that has enabled structural independence and responsive judicial leadership.</w:t>
      </w:r>
    </w:p>
    <w:p w14:paraId="765AE0F8" w14:textId="77777777" w:rsidR="00125396" w:rsidRPr="00615556" w:rsidRDefault="00125396" w:rsidP="00615556"/>
    <w:p w14:paraId="66ADDDFA" w14:textId="03EF8D13" w:rsidR="00125396" w:rsidRPr="00615556" w:rsidRDefault="00125396" w:rsidP="00615556">
      <w:r w:rsidRPr="00615556">
        <w:t>In its first year of operation CSV focussed on establishing key polic</w:t>
      </w:r>
      <w:r w:rsidR="00F90D2A" w:rsidRPr="00615556">
        <w:t>i</w:t>
      </w:r>
      <w:r w:rsidRPr="00615556">
        <w:t xml:space="preserve">es, systems and functions to underpin its operations. I would like to </w:t>
      </w:r>
      <w:r w:rsidR="00EA3AC5" w:rsidRPr="00615556">
        <w:t xml:space="preserve">acknowledge </w:t>
      </w:r>
      <w:r w:rsidRPr="00615556">
        <w:t xml:space="preserve">my predecessors Alan Clayton and </w:t>
      </w:r>
      <w:r w:rsidR="000E4E1C" w:rsidRPr="00615556">
        <w:t xml:space="preserve">Michael </w:t>
      </w:r>
      <w:r w:rsidRPr="00615556">
        <w:t>Carroll for their leadership which brought to life such a large, complex and important organisation. I would also like to acknowledge the senior leadership team and staff for their professionalism, commitment and service excellence.</w:t>
      </w:r>
    </w:p>
    <w:p w14:paraId="1775704C" w14:textId="77777777" w:rsidR="00125396" w:rsidRPr="00615556" w:rsidRDefault="00125396" w:rsidP="00615556"/>
    <w:p w14:paraId="3729AF2A" w14:textId="17E71419" w:rsidR="00125396" w:rsidRPr="00615556" w:rsidRDefault="00125396" w:rsidP="00615556">
      <w:r w:rsidRPr="00615556">
        <w:t>Since my commencement in November 2015 I have been fortunate to work alongside the jurisdiction CEOs who</w:t>
      </w:r>
      <w:r w:rsidR="00B558B4" w:rsidRPr="00615556">
        <w:t>m</w:t>
      </w:r>
      <w:r w:rsidRPr="00615556">
        <w:t xml:space="preserve"> I applaud for their tireless efforts to modernise, streamline and develop their courts. I have also been </w:t>
      </w:r>
      <w:r w:rsidR="00EA3AC5" w:rsidRPr="00615556">
        <w:t xml:space="preserve">struck by </w:t>
      </w:r>
      <w:r w:rsidRPr="00615556">
        <w:t>the visionary leadership of the Courts Council, comprising of Heads of Jurisdictions</w:t>
      </w:r>
      <w:r w:rsidR="00EA3AC5" w:rsidRPr="00615556">
        <w:t>.</w:t>
      </w:r>
      <w:r w:rsidRPr="00615556">
        <w:t xml:space="preserve"> </w:t>
      </w:r>
    </w:p>
    <w:p w14:paraId="0F61E429" w14:textId="77777777" w:rsidR="00125396" w:rsidRPr="00615556" w:rsidRDefault="00125396" w:rsidP="00615556"/>
    <w:p w14:paraId="5531B4F3" w14:textId="7D397D5A" w:rsidR="00125396" w:rsidRPr="00615556" w:rsidRDefault="00125396" w:rsidP="00615556">
      <w:r w:rsidRPr="00615556">
        <w:t xml:space="preserve">In its second year CSV continued to focus on its core business of providing administrative services to jurisdictions while also planning for long term sustainability </w:t>
      </w:r>
      <w:r w:rsidR="00C41167" w:rsidRPr="00615556">
        <w:t xml:space="preserve">with </w:t>
      </w:r>
      <w:r w:rsidRPr="00615556">
        <w:t xml:space="preserve">a focus on business improvement and innovative practice. </w:t>
      </w:r>
    </w:p>
    <w:p w14:paraId="5F0A18B5" w14:textId="77777777" w:rsidR="00125396" w:rsidRPr="00C73B1D" w:rsidRDefault="00125396" w:rsidP="00125396">
      <w:pPr>
        <w:rPr>
          <w:b/>
        </w:rPr>
      </w:pPr>
    </w:p>
    <w:p w14:paraId="6EF7AE2F" w14:textId="77777777" w:rsidR="00125396" w:rsidRPr="00C73B1D" w:rsidRDefault="00125396" w:rsidP="00615556">
      <w:pPr>
        <w:pStyle w:val="Heading3"/>
      </w:pPr>
      <w:r w:rsidRPr="00C73B1D">
        <w:t xml:space="preserve">The key highlights for 2015-16 </w:t>
      </w:r>
    </w:p>
    <w:p w14:paraId="4F5DDD92" w14:textId="4847A93E" w:rsidR="00125396" w:rsidRPr="00C73B1D" w:rsidRDefault="00F90D2A" w:rsidP="00125396">
      <w:r>
        <w:t>T</w:t>
      </w:r>
      <w:r w:rsidR="00125396" w:rsidRPr="00C73B1D">
        <w:t>he key highlights over the past year have included:</w:t>
      </w:r>
    </w:p>
    <w:p w14:paraId="360F33A6" w14:textId="218AEBF8" w:rsidR="00125396" w:rsidRPr="00C73B1D" w:rsidRDefault="00125396" w:rsidP="00615556">
      <w:pPr>
        <w:pStyle w:val="Heading4"/>
      </w:pPr>
      <w:r w:rsidRPr="00C73B1D">
        <w:t xml:space="preserve">Modernising courts through </w:t>
      </w:r>
      <w:r w:rsidR="00C41167">
        <w:t xml:space="preserve">the </w:t>
      </w:r>
      <w:r w:rsidRPr="00C73B1D">
        <w:t>use of technology</w:t>
      </w:r>
    </w:p>
    <w:p w14:paraId="47132FF8" w14:textId="60247523" w:rsidR="00125396" w:rsidRPr="00C73B1D" w:rsidRDefault="00125396" w:rsidP="0017466D">
      <w:r w:rsidRPr="00C73B1D">
        <w:t>It is imperative for</w:t>
      </w:r>
      <w:r w:rsidR="00951D44" w:rsidRPr="00C73B1D">
        <w:t xml:space="preserve"> </w:t>
      </w:r>
      <w:r w:rsidRPr="00C73B1D">
        <w:t xml:space="preserve">courts </w:t>
      </w:r>
      <w:r w:rsidR="00951D44" w:rsidRPr="00C73B1D">
        <w:t>and tribunal</w:t>
      </w:r>
      <w:r w:rsidR="00D96387">
        <w:t>s</w:t>
      </w:r>
      <w:r w:rsidR="00951D44" w:rsidRPr="00C73B1D">
        <w:t xml:space="preserve"> </w:t>
      </w:r>
      <w:r w:rsidRPr="00C73B1D">
        <w:t xml:space="preserve">to </w:t>
      </w:r>
      <w:r w:rsidR="00B558B4">
        <w:t>be modern and up to date</w:t>
      </w:r>
      <w:r w:rsidR="00951D44" w:rsidRPr="00C73B1D">
        <w:t>.</w:t>
      </w:r>
      <w:r w:rsidRPr="00C73B1D">
        <w:t xml:space="preserve"> To do this we have enhanced a number of digital technologies to help modernise </w:t>
      </w:r>
      <w:r w:rsidR="00951D44" w:rsidRPr="00C73B1D">
        <w:t xml:space="preserve">the </w:t>
      </w:r>
      <w:r w:rsidR="00D96387">
        <w:t>jurisdictions</w:t>
      </w:r>
      <w:r w:rsidRPr="00C73B1D">
        <w:t xml:space="preserve">. This included </w:t>
      </w:r>
      <w:r w:rsidR="0017466D">
        <w:t>t</w:t>
      </w:r>
      <w:r w:rsidRPr="00C73B1D">
        <w:t>he expansion of e-Lodgement and B</w:t>
      </w:r>
      <w:r w:rsidR="00F90D2A">
        <w:t>P</w:t>
      </w:r>
      <w:r w:rsidR="00D96387">
        <w:t>AY</w:t>
      </w:r>
      <w:r w:rsidRPr="00C73B1D">
        <w:t xml:space="preserve"> </w:t>
      </w:r>
      <w:r w:rsidR="0017466D">
        <w:t xml:space="preserve">to </w:t>
      </w:r>
      <w:r w:rsidRPr="00C73B1D">
        <w:t xml:space="preserve">further improve the interface </w:t>
      </w:r>
      <w:r w:rsidR="00B558B4">
        <w:t xml:space="preserve">that </w:t>
      </w:r>
      <w:r w:rsidR="00D96387">
        <w:t>jurisdictions have</w:t>
      </w:r>
      <w:r w:rsidRPr="00C73B1D">
        <w:t xml:space="preserve"> with the public</w:t>
      </w:r>
      <w:r w:rsidR="0017466D">
        <w:t xml:space="preserve">. These improvements </w:t>
      </w:r>
      <w:r w:rsidRPr="00C73B1D">
        <w:t>digitised manual processes allowing payment</w:t>
      </w:r>
      <w:r w:rsidR="00C70B06" w:rsidRPr="00C73B1D">
        <w:t>s and documents to be submitted</w:t>
      </w:r>
      <w:r w:rsidRPr="00C73B1D">
        <w:t xml:space="preserve"> anytime and anywhere without having to attend court. The uptake of online payments and submissions has been exponential and I predict this will soon be the norm.</w:t>
      </w:r>
    </w:p>
    <w:p w14:paraId="46241C67" w14:textId="55A263DC" w:rsidR="00125396" w:rsidRPr="00C73B1D" w:rsidRDefault="00125396" w:rsidP="00615556">
      <w:pPr>
        <w:pStyle w:val="Heading4"/>
      </w:pPr>
      <w:r w:rsidRPr="00C73B1D">
        <w:t>Responding to challenges</w:t>
      </w:r>
    </w:p>
    <w:p w14:paraId="72628570" w14:textId="27FE8AF8" w:rsidR="00125396" w:rsidRPr="00C73B1D" w:rsidRDefault="00125396" w:rsidP="00125396">
      <w:r w:rsidRPr="00C73B1D">
        <w:t xml:space="preserve">Flooding and </w:t>
      </w:r>
      <w:r w:rsidR="00D96387">
        <w:t xml:space="preserve">several building </w:t>
      </w:r>
      <w:r w:rsidRPr="00C73B1D">
        <w:t xml:space="preserve">fires have </w:t>
      </w:r>
      <w:r w:rsidR="00DE0284">
        <w:t xml:space="preserve">created </w:t>
      </w:r>
      <w:r w:rsidRPr="00C73B1D">
        <w:t>challenge</w:t>
      </w:r>
      <w:r w:rsidR="00DE0284">
        <w:t>s, particularly for</w:t>
      </w:r>
      <w:r w:rsidRPr="00C73B1D">
        <w:t xml:space="preserve"> the </w:t>
      </w:r>
      <w:r w:rsidR="00586204" w:rsidRPr="00C73B1D">
        <w:t>Magistrates</w:t>
      </w:r>
      <w:r w:rsidR="00B558B4">
        <w:t>’</w:t>
      </w:r>
      <w:r w:rsidR="00586204" w:rsidRPr="00C73B1D">
        <w:t xml:space="preserve"> Court</w:t>
      </w:r>
      <w:r w:rsidR="00BB5FBE" w:rsidRPr="00C73B1D">
        <w:t>. W</w:t>
      </w:r>
      <w:r w:rsidRPr="00C73B1D">
        <w:t>ith the recent reopening of Heidelberg Court</w:t>
      </w:r>
      <w:r w:rsidR="00DE0284">
        <w:t>,</w:t>
      </w:r>
      <w:r w:rsidRPr="00C73B1D">
        <w:t xml:space="preserve"> and the imminent rebuilding o</w:t>
      </w:r>
      <w:r w:rsidR="00BB5FBE" w:rsidRPr="00C73B1D">
        <w:t xml:space="preserve">f </w:t>
      </w:r>
      <w:r w:rsidR="00B558B4">
        <w:t>the</w:t>
      </w:r>
      <w:r w:rsidR="00B558B4" w:rsidRPr="00C73B1D">
        <w:t xml:space="preserve"> </w:t>
      </w:r>
      <w:r w:rsidR="00BB5FBE" w:rsidRPr="00C73B1D">
        <w:t>fire damaged Cobram Court</w:t>
      </w:r>
      <w:r w:rsidR="00DE0284">
        <w:t>,</w:t>
      </w:r>
      <w:r w:rsidRPr="00C73B1D">
        <w:t xml:space="preserve"> we continue to meet these challenges.</w:t>
      </w:r>
    </w:p>
    <w:p w14:paraId="58C1811E" w14:textId="77777777" w:rsidR="00125396" w:rsidRPr="00C73B1D" w:rsidRDefault="00125396" w:rsidP="00125396"/>
    <w:p w14:paraId="48A61AB7" w14:textId="6B261F09" w:rsidR="00125396" w:rsidRPr="00C73B1D" w:rsidRDefault="00125396" w:rsidP="00125396">
      <w:r w:rsidRPr="00C73B1D">
        <w:t xml:space="preserve">Heidelberg Court was rebuilt with innovation and improvement at </w:t>
      </w:r>
      <w:r w:rsidR="00BB5FBE" w:rsidRPr="00C73B1D">
        <w:t>the</w:t>
      </w:r>
      <w:r w:rsidRPr="00C73B1D">
        <w:t xml:space="preserve"> core</w:t>
      </w:r>
      <w:r w:rsidR="00632E41">
        <w:t>. It incorporates</w:t>
      </w:r>
      <w:r w:rsidRPr="00C73B1D">
        <w:t xml:space="preserve"> the latest te</w:t>
      </w:r>
      <w:r w:rsidR="00BB5FBE" w:rsidRPr="00C73B1D">
        <w:t>chnology and smart court design</w:t>
      </w:r>
      <w:r w:rsidR="00C41167">
        <w:t xml:space="preserve"> whil</w:t>
      </w:r>
      <w:r w:rsidR="00DE0284">
        <w:t>e</w:t>
      </w:r>
      <w:r w:rsidRPr="00C73B1D">
        <w:t xml:space="preserve"> acknowledging the needs of a modern court system. This court exemplifies the drive and commitment of staff who worked tirelessly to </w:t>
      </w:r>
      <w:r w:rsidR="00586204" w:rsidRPr="00C73B1D">
        <w:t xml:space="preserve">have </w:t>
      </w:r>
      <w:r w:rsidR="00BB5FBE" w:rsidRPr="00C73B1D">
        <w:t>it</w:t>
      </w:r>
      <w:r w:rsidRPr="00C73B1D">
        <w:t xml:space="preserve"> up and running ahead of its </w:t>
      </w:r>
      <w:r w:rsidR="00553410">
        <w:t>scheduled</w:t>
      </w:r>
      <w:r w:rsidR="00553410" w:rsidRPr="00C73B1D">
        <w:t xml:space="preserve"> </w:t>
      </w:r>
      <w:r w:rsidRPr="00C73B1D">
        <w:t>opening date.</w:t>
      </w:r>
    </w:p>
    <w:p w14:paraId="275BB03B" w14:textId="45EDA3BF" w:rsidR="00125396" w:rsidRPr="00C73B1D" w:rsidRDefault="00125396" w:rsidP="00615556">
      <w:pPr>
        <w:pStyle w:val="Heading4"/>
      </w:pPr>
      <w:r w:rsidRPr="00C73B1D">
        <w:t>Ensuring safety and security of our courts</w:t>
      </w:r>
    </w:p>
    <w:p w14:paraId="0384816F" w14:textId="30819F65" w:rsidR="00125396" w:rsidRPr="00C73B1D" w:rsidRDefault="00125396" w:rsidP="00125396">
      <w:pPr>
        <w:rPr>
          <w:color w:val="000000"/>
        </w:rPr>
      </w:pPr>
      <w:r w:rsidRPr="00C73B1D">
        <w:rPr>
          <w:color w:val="000000"/>
        </w:rPr>
        <w:t xml:space="preserve">The safety and security of our courts </w:t>
      </w:r>
      <w:r w:rsidR="00553410">
        <w:rPr>
          <w:color w:val="000000"/>
        </w:rPr>
        <w:t xml:space="preserve">has </w:t>
      </w:r>
      <w:r w:rsidRPr="00C73B1D">
        <w:rPr>
          <w:color w:val="000000"/>
        </w:rPr>
        <w:t>continued to be a high priority in 2015-16</w:t>
      </w:r>
      <w:r w:rsidR="00553410">
        <w:rPr>
          <w:color w:val="000000"/>
        </w:rPr>
        <w:t>,</w:t>
      </w:r>
      <w:r w:rsidRPr="00C73B1D">
        <w:rPr>
          <w:color w:val="000000"/>
        </w:rPr>
        <w:t xml:space="preserve"> with a major audit of safety in </w:t>
      </w:r>
      <w:r w:rsidR="00FA31FA" w:rsidRPr="00C73B1D">
        <w:rPr>
          <w:color w:val="000000"/>
        </w:rPr>
        <w:t xml:space="preserve">the lower </w:t>
      </w:r>
      <w:r w:rsidRPr="00C73B1D">
        <w:rPr>
          <w:color w:val="000000"/>
        </w:rPr>
        <w:t xml:space="preserve">courts undertaken in parallel </w:t>
      </w:r>
      <w:r w:rsidR="00B558B4">
        <w:rPr>
          <w:color w:val="000000"/>
        </w:rPr>
        <w:t>with</w:t>
      </w:r>
      <w:r w:rsidR="00B558B4" w:rsidRPr="00C73B1D">
        <w:rPr>
          <w:color w:val="000000"/>
        </w:rPr>
        <w:t xml:space="preserve"> </w:t>
      </w:r>
      <w:r w:rsidRPr="00C73B1D">
        <w:rPr>
          <w:color w:val="000000"/>
        </w:rPr>
        <w:t>hearings of the Royal Commission into Family Violence. CSV worked i</w:t>
      </w:r>
      <w:r w:rsidR="00517CD1">
        <w:rPr>
          <w:color w:val="000000"/>
        </w:rPr>
        <w:t>n partnership with the Attorney-</w:t>
      </w:r>
      <w:r w:rsidRPr="00C73B1D">
        <w:rPr>
          <w:color w:val="000000"/>
        </w:rPr>
        <w:t xml:space="preserve">General and </w:t>
      </w:r>
      <w:r w:rsidR="00FA31FA" w:rsidRPr="00C73B1D">
        <w:rPr>
          <w:color w:val="000000"/>
        </w:rPr>
        <w:t xml:space="preserve">the </w:t>
      </w:r>
      <w:r w:rsidRPr="00C73B1D">
        <w:rPr>
          <w:color w:val="000000"/>
        </w:rPr>
        <w:t xml:space="preserve">Victorian Government to </w:t>
      </w:r>
      <w:r w:rsidRPr="00C73B1D">
        <w:t>introduce a number of enhancements to ensure that victims of family violence and their families can be safe and free from intimidation while attending court. These included alternate entrance facilities; additional safe waiting areas, counters and secure interview rooms; safe access to court rooms; and improved access to entry foyers. Alongside these much needed improvements our assets team continued to address the general maintenance challenges face</w:t>
      </w:r>
      <w:r w:rsidRPr="00C73B1D">
        <w:rPr>
          <w:color w:val="000000"/>
        </w:rPr>
        <w:t>d by our ag</w:t>
      </w:r>
      <w:r w:rsidR="00DE0284">
        <w:rPr>
          <w:color w:val="000000"/>
        </w:rPr>
        <w:t>e</w:t>
      </w:r>
      <w:r w:rsidRPr="00C73B1D">
        <w:rPr>
          <w:color w:val="000000"/>
        </w:rPr>
        <w:t>ing courts.</w:t>
      </w:r>
    </w:p>
    <w:p w14:paraId="0D662312" w14:textId="14E376E9" w:rsidR="00125396" w:rsidRPr="00C73B1D" w:rsidRDefault="00125396" w:rsidP="00615556">
      <w:pPr>
        <w:pStyle w:val="Heading4"/>
      </w:pPr>
      <w:r w:rsidRPr="00C73B1D">
        <w:t xml:space="preserve">Supporting the needs of the judiciary and the community </w:t>
      </w:r>
    </w:p>
    <w:p w14:paraId="225C0F4E" w14:textId="2E0F7CD2" w:rsidR="00125396" w:rsidRPr="00615556" w:rsidRDefault="00125396" w:rsidP="00615556">
      <w:r w:rsidRPr="00615556">
        <w:t>To ensure that jurisdictions can keep up with growing demand for their services</w:t>
      </w:r>
      <w:r w:rsidR="00DE0284" w:rsidRPr="00615556">
        <w:t>,</w:t>
      </w:r>
      <w:r w:rsidRPr="00615556">
        <w:t xml:space="preserve"> CSV </w:t>
      </w:r>
      <w:r w:rsidR="00FA5919" w:rsidRPr="00615556">
        <w:t xml:space="preserve">sponsors </w:t>
      </w:r>
      <w:r w:rsidRPr="00615556">
        <w:t xml:space="preserve">the planning and development </w:t>
      </w:r>
      <w:r w:rsidR="00CD65B0" w:rsidRPr="00615556">
        <w:t xml:space="preserve">of </w:t>
      </w:r>
      <w:r w:rsidRPr="00615556">
        <w:t xml:space="preserve">new courts. A vital addition was the </w:t>
      </w:r>
      <w:r w:rsidR="00DE0284" w:rsidRPr="00615556">
        <w:t>new</w:t>
      </w:r>
      <w:r w:rsidRPr="00615556">
        <w:t xml:space="preserve"> Children’s Court at Broadmeadows which opened in October 2015. The new court</w:t>
      </w:r>
      <w:r w:rsidR="00DE0284" w:rsidRPr="00615556">
        <w:t xml:space="preserve"> </w:t>
      </w:r>
      <w:r w:rsidRPr="00615556">
        <w:t xml:space="preserve">is a centre of innovation specifically designed to reduce the stress </w:t>
      </w:r>
      <w:r w:rsidR="00DE0284" w:rsidRPr="00615556">
        <w:t>on</w:t>
      </w:r>
      <w:r w:rsidR="00F61A08" w:rsidRPr="00615556">
        <w:t xml:space="preserve"> </w:t>
      </w:r>
      <w:r w:rsidRPr="00615556">
        <w:t xml:space="preserve">people attending court. In an Australian first, the court features a purpose-built </w:t>
      </w:r>
      <w:r w:rsidR="00DE0284" w:rsidRPr="00615556">
        <w:t>C</w:t>
      </w:r>
      <w:r w:rsidRPr="00615556">
        <w:t xml:space="preserve">ubby </w:t>
      </w:r>
      <w:r w:rsidR="00DE0284" w:rsidRPr="00615556">
        <w:t>H</w:t>
      </w:r>
      <w:r w:rsidRPr="00615556">
        <w:t xml:space="preserve">ouse designed to provide a sanctuary for children to help them escape the emotional </w:t>
      </w:r>
      <w:r w:rsidR="00CD65B0" w:rsidRPr="00615556">
        <w:t xml:space="preserve">stresses </w:t>
      </w:r>
      <w:r w:rsidRPr="00615556">
        <w:t xml:space="preserve">of court. </w:t>
      </w:r>
      <w:r w:rsidR="00DE0284" w:rsidRPr="00615556">
        <w:t xml:space="preserve">The Cubby House was supported by the Alannah and Madeline Foundation. </w:t>
      </w:r>
      <w:r w:rsidRPr="00615556">
        <w:t>I was glad to see that the project has been welcomed by users, staff and the judiciary.</w:t>
      </w:r>
    </w:p>
    <w:p w14:paraId="2FCE0BCE" w14:textId="77777777" w:rsidR="00615556" w:rsidRPr="00615556" w:rsidRDefault="00615556" w:rsidP="00615556"/>
    <w:p w14:paraId="40C3EBCB" w14:textId="2B2008C2" w:rsidR="00125396" w:rsidRPr="00615556" w:rsidRDefault="00125396" w:rsidP="00615556">
      <w:r w:rsidRPr="00615556">
        <w:t>Major construction work also commenced on the $73 million Shepparton Law Courts</w:t>
      </w:r>
      <w:r w:rsidR="00DE0284" w:rsidRPr="00615556">
        <w:t xml:space="preserve"> project</w:t>
      </w:r>
      <w:r w:rsidRPr="00615556">
        <w:t xml:space="preserve">. Due for completion </w:t>
      </w:r>
      <w:r w:rsidR="00DE0284" w:rsidRPr="00615556">
        <w:t xml:space="preserve">in </w:t>
      </w:r>
      <w:r w:rsidRPr="00615556">
        <w:t xml:space="preserve">late 2017, the multijurisdictional court will feature the most contemporary applications of courthouse design to cater </w:t>
      </w:r>
      <w:r w:rsidR="00EE6D5D" w:rsidRPr="00615556">
        <w:t xml:space="preserve">for current and future demand. </w:t>
      </w:r>
      <w:r w:rsidR="00A05D32" w:rsidRPr="00615556">
        <w:t xml:space="preserve">The design was achieved </w:t>
      </w:r>
      <w:r w:rsidR="00F61A08" w:rsidRPr="00615556">
        <w:t xml:space="preserve">through the </w:t>
      </w:r>
      <w:r w:rsidR="00A05D32" w:rsidRPr="00615556">
        <w:t>collaboration of judges</w:t>
      </w:r>
      <w:r w:rsidR="00F61A08" w:rsidRPr="00615556">
        <w:t xml:space="preserve">, </w:t>
      </w:r>
      <w:r w:rsidR="00A05D32" w:rsidRPr="00615556">
        <w:t>magistrates</w:t>
      </w:r>
      <w:r w:rsidR="00F61A08" w:rsidRPr="00615556">
        <w:t xml:space="preserve"> and </w:t>
      </w:r>
      <w:r w:rsidR="00A05D32" w:rsidRPr="00615556">
        <w:t>extensive community consultation.</w:t>
      </w:r>
    </w:p>
    <w:p w14:paraId="37399706" w14:textId="724F65C7" w:rsidR="00125396" w:rsidRPr="00C73B1D" w:rsidRDefault="00125396" w:rsidP="00615556">
      <w:pPr>
        <w:pStyle w:val="Heading4"/>
      </w:pPr>
      <w:r w:rsidRPr="00C73B1D">
        <w:t>Administrative support</w:t>
      </w:r>
    </w:p>
    <w:p w14:paraId="37639793" w14:textId="4D35CF93" w:rsidR="00125396" w:rsidRPr="00C73B1D" w:rsidRDefault="00125396" w:rsidP="00125396">
      <w:r w:rsidRPr="00C73B1D">
        <w:t>CSV has continued to deliver service</w:t>
      </w:r>
      <w:r w:rsidR="00DE0284">
        <w:t>s</w:t>
      </w:r>
      <w:r w:rsidRPr="00C73B1D">
        <w:t xml:space="preserve"> and support administrative functions. </w:t>
      </w:r>
      <w:r w:rsidR="00DE0284" w:rsidRPr="00C73B1D">
        <w:t>Noteworthy</w:t>
      </w:r>
      <w:r w:rsidRPr="00C73B1D">
        <w:t xml:space="preserve"> achievements </w:t>
      </w:r>
      <w:r w:rsidR="00DE0284">
        <w:t xml:space="preserve">have </w:t>
      </w:r>
      <w:r w:rsidRPr="00C73B1D">
        <w:t xml:space="preserve">included the development of a number of frameworks to guide best practice in project management, workforce planning, governance, technology and innovation; progressing vesting orders for court premises; </w:t>
      </w:r>
      <w:r w:rsidR="00C144BC" w:rsidRPr="00C73B1D">
        <w:t xml:space="preserve">managing appropriations and funding submissions; supporting procurement best practice; </w:t>
      </w:r>
      <w:r w:rsidRPr="00C73B1D">
        <w:t xml:space="preserve">developing a Koori employment strategy; </w:t>
      </w:r>
      <w:r w:rsidR="00DE0284">
        <w:t xml:space="preserve">and </w:t>
      </w:r>
      <w:r w:rsidRPr="00C73B1D">
        <w:t>reviewing the Koori Court model.</w:t>
      </w:r>
    </w:p>
    <w:p w14:paraId="02BAA671" w14:textId="77777777" w:rsidR="00125396" w:rsidRPr="00C73B1D" w:rsidRDefault="00125396" w:rsidP="00615556">
      <w:pPr>
        <w:pStyle w:val="Heading3"/>
      </w:pPr>
      <w:r w:rsidRPr="00C73B1D">
        <w:t>Moving forward</w:t>
      </w:r>
    </w:p>
    <w:p w14:paraId="4D8FEDD4" w14:textId="4AA4ED72" w:rsidR="00125396" w:rsidRPr="00C73B1D" w:rsidRDefault="00125396" w:rsidP="00125396">
      <w:r w:rsidRPr="00C73B1D">
        <w:t xml:space="preserve">Over the next year, our key priorities will be to continue supporting the implementation of </w:t>
      </w:r>
      <w:r w:rsidR="00A05D32" w:rsidRPr="00C73B1D">
        <w:t>digital strategies; supporting court and tribunal security;</w:t>
      </w:r>
      <w:r w:rsidRPr="00C73B1D">
        <w:rPr>
          <w:color w:val="000000"/>
        </w:rPr>
        <w:t xml:space="preserve"> managing the construction process for the new Shepparton Law Courts</w:t>
      </w:r>
      <w:r w:rsidR="006B704F" w:rsidRPr="00C73B1D">
        <w:rPr>
          <w:color w:val="000000"/>
        </w:rPr>
        <w:t>;</w:t>
      </w:r>
      <w:r w:rsidRPr="00C73B1D">
        <w:rPr>
          <w:color w:val="000000"/>
        </w:rPr>
        <w:t xml:space="preserve"> and continuing to provide quality advice and support to jurisdictions</w:t>
      </w:r>
      <w:r w:rsidRPr="00C73B1D">
        <w:t xml:space="preserve">. </w:t>
      </w:r>
    </w:p>
    <w:p w14:paraId="25A3C160" w14:textId="77777777" w:rsidR="00125396" w:rsidRPr="00C73B1D" w:rsidRDefault="00125396" w:rsidP="00125396"/>
    <w:p w14:paraId="010CAF24" w14:textId="246917C4" w:rsidR="000E0293" w:rsidRDefault="006B704F" w:rsidP="00ED149A">
      <w:r w:rsidRPr="00C73B1D">
        <w:t xml:space="preserve">Finally, I thank the Courts Council and the Chair for guidance. I thank the Department of Justice </w:t>
      </w:r>
      <w:r w:rsidR="00B558B4">
        <w:t xml:space="preserve">and Regulation </w:t>
      </w:r>
      <w:r w:rsidRPr="00C73B1D">
        <w:t>for its support and cooperation throughout the year. I express my deep gratitude to all the staff of CSV</w:t>
      </w:r>
      <w:r w:rsidR="00E87442">
        <w:t xml:space="preserve"> for their continued commitment to delivering high-quality services to the judiciary and the Victorian community.</w:t>
      </w:r>
    </w:p>
    <w:p w14:paraId="5EA7B7FE" w14:textId="77777777" w:rsidR="000E0293" w:rsidRDefault="000E0293" w:rsidP="00ED149A"/>
    <w:p w14:paraId="634A62CA" w14:textId="77777777" w:rsidR="000E0293" w:rsidRPr="00CF273E" w:rsidRDefault="000E0293" w:rsidP="00ED149A"/>
    <w:p w14:paraId="37BCCAAE" w14:textId="77777777" w:rsidR="00CF273E" w:rsidRPr="008F3A06" w:rsidRDefault="000E0293" w:rsidP="00ED149A">
      <w:pPr>
        <w:rPr>
          <w:b/>
        </w:rPr>
      </w:pPr>
      <w:r>
        <w:rPr>
          <w:b/>
        </w:rPr>
        <w:t>Kerry Osborne</w:t>
      </w:r>
    </w:p>
    <w:p w14:paraId="60B8533F" w14:textId="77777777" w:rsidR="00CF273E" w:rsidRDefault="00CF273E" w:rsidP="00ED149A">
      <w:pPr>
        <w:rPr>
          <w:b/>
        </w:rPr>
      </w:pPr>
      <w:r w:rsidRPr="008F3A06">
        <w:rPr>
          <w:b/>
        </w:rPr>
        <w:t>Chief Executive Officer</w:t>
      </w:r>
    </w:p>
    <w:p w14:paraId="1A5E7028" w14:textId="77777777" w:rsidR="00CF273E" w:rsidRPr="00CF273E" w:rsidRDefault="00CF273E" w:rsidP="00ED149A"/>
    <w:p w14:paraId="340160F6" w14:textId="77777777" w:rsidR="002F0F12" w:rsidRDefault="002F0F12" w:rsidP="00ED149A"/>
    <w:p w14:paraId="33F17A36" w14:textId="77777777" w:rsidR="00CF273E" w:rsidRPr="00CF273E" w:rsidRDefault="002F0F12" w:rsidP="008426C5">
      <w:pPr>
        <w:pStyle w:val="Heading1"/>
      </w:pPr>
      <w:r>
        <w:br w:type="page"/>
      </w:r>
      <w:bookmarkStart w:id="3" w:name="_Toc466381157"/>
      <w:r w:rsidR="00CF273E" w:rsidRPr="00CF273E">
        <w:t>SECTION</w:t>
      </w:r>
      <w:r>
        <w:t xml:space="preserve"> </w:t>
      </w:r>
      <w:r w:rsidR="00CF273E" w:rsidRPr="00CF273E">
        <w:t>1:</w:t>
      </w:r>
      <w:r w:rsidR="008426C5">
        <w:t xml:space="preserve"> </w:t>
      </w:r>
      <w:r w:rsidR="00CF273E" w:rsidRPr="00CF273E">
        <w:t>GOVERNANCE</w:t>
      </w:r>
      <w:r w:rsidR="008426C5">
        <w:t xml:space="preserve"> </w:t>
      </w:r>
      <w:r w:rsidR="00CF273E" w:rsidRPr="00CF273E">
        <w:t>AND ORGANISATIONAL STRUCTURE</w:t>
      </w:r>
      <w:bookmarkEnd w:id="3"/>
    </w:p>
    <w:p w14:paraId="51EA2FF9" w14:textId="77777777" w:rsidR="00CF273E" w:rsidRPr="00BA40EC" w:rsidRDefault="00652022" w:rsidP="008426C5">
      <w:pPr>
        <w:pStyle w:val="Heading2"/>
      </w:pPr>
      <w:bookmarkStart w:id="4" w:name="_Toc466381158"/>
      <w:r w:rsidRPr="00BA40EC">
        <w:t>About Court Services Victoria</w:t>
      </w:r>
      <w:bookmarkEnd w:id="4"/>
    </w:p>
    <w:p w14:paraId="203F52CE" w14:textId="77777777" w:rsidR="00CF1DD3" w:rsidRPr="00CF273E" w:rsidRDefault="00CF1DD3" w:rsidP="00CF1DD3">
      <w:pPr>
        <w:pStyle w:val="Heading3"/>
      </w:pPr>
      <w:r>
        <w:t>Purpose, Functions a</w:t>
      </w:r>
      <w:r w:rsidRPr="00CF273E">
        <w:t>nd</w:t>
      </w:r>
      <w:r>
        <w:t xml:space="preserve"> </w:t>
      </w:r>
      <w:r w:rsidRPr="00CF273E">
        <w:t>Powers</w:t>
      </w:r>
    </w:p>
    <w:p w14:paraId="783C0859" w14:textId="70BC014F" w:rsidR="00235185" w:rsidRPr="00CF273E" w:rsidRDefault="00235185" w:rsidP="00235185">
      <w:r w:rsidRPr="00CF273E">
        <w:t>The function of CSV is to provide, or arrange for the provision of, administrative services and facilities necessary to support the performance of the judicial, quasi-judicial</w:t>
      </w:r>
      <w:r>
        <w:t xml:space="preserve"> </w:t>
      </w:r>
      <w:r w:rsidRPr="00CF273E">
        <w:t>and administrative functions of the Supreme Court of Victoria, the County Court of Victoria, the Magistrates' Court of Victoria, the</w:t>
      </w:r>
      <w:r>
        <w:t xml:space="preserve"> </w:t>
      </w:r>
      <w:r w:rsidRPr="00CF273E">
        <w:t>Children's Court of Victoria, the</w:t>
      </w:r>
      <w:r>
        <w:t xml:space="preserve"> </w:t>
      </w:r>
      <w:r w:rsidRPr="00CF273E">
        <w:t>Coroners Court</w:t>
      </w:r>
      <w:r>
        <w:t xml:space="preserve"> </w:t>
      </w:r>
      <w:r w:rsidR="00A65269">
        <w:t>of Victoria and</w:t>
      </w:r>
      <w:r w:rsidR="00EE6D5D">
        <w:t xml:space="preserve"> </w:t>
      </w:r>
      <w:r w:rsidR="00BE2F27">
        <w:t>the Victorian Civil and Administrative Tribunal (</w:t>
      </w:r>
      <w:r w:rsidRPr="00CF273E">
        <w:t>VCAT</w:t>
      </w:r>
      <w:r w:rsidR="00BE2F27">
        <w:t>)</w:t>
      </w:r>
      <w:r w:rsidRPr="00CF273E">
        <w:t xml:space="preserve">, and to enable </w:t>
      </w:r>
      <w:r w:rsidR="00BE2F27">
        <w:t>the Judicial College of Victoria (</w:t>
      </w:r>
      <w:r w:rsidRPr="00CF273E">
        <w:t>the College</w:t>
      </w:r>
      <w:r w:rsidR="00BE2F27">
        <w:t>)</w:t>
      </w:r>
      <w:r>
        <w:t xml:space="preserve"> </w:t>
      </w:r>
      <w:r w:rsidRPr="00CF273E">
        <w:t>to perform its functions.</w:t>
      </w:r>
    </w:p>
    <w:p w14:paraId="32193E89" w14:textId="77777777" w:rsidR="00235185" w:rsidRPr="00CF273E" w:rsidRDefault="00235185" w:rsidP="00235185"/>
    <w:p w14:paraId="0D80DF85" w14:textId="77777777" w:rsidR="00235185" w:rsidRPr="00CF273E" w:rsidRDefault="00235185" w:rsidP="00235185">
      <w:r w:rsidRPr="00CF273E">
        <w:t xml:space="preserve">Subject to the </w:t>
      </w:r>
      <w:r w:rsidRPr="00C60580">
        <w:rPr>
          <w:i/>
        </w:rPr>
        <w:t xml:space="preserve">Court Services Victoria Act 2014 </w:t>
      </w:r>
      <w:r w:rsidRPr="00AD4C35">
        <w:t>(Vic) (CSV Act),</w:t>
      </w:r>
      <w:r>
        <w:t xml:space="preserve"> </w:t>
      </w:r>
      <w:r w:rsidRPr="00CF273E">
        <w:t>CSV has the power to do all things necessary or convenient to be done for, or in connection with, or incidental</w:t>
      </w:r>
      <w:r>
        <w:t xml:space="preserve"> </w:t>
      </w:r>
      <w:r w:rsidRPr="00CF273E">
        <w:t>to,</w:t>
      </w:r>
      <w:r>
        <w:t xml:space="preserve"> </w:t>
      </w:r>
      <w:r w:rsidRPr="00CF273E">
        <w:t>the performance of its function.</w:t>
      </w:r>
    </w:p>
    <w:p w14:paraId="651A1132" w14:textId="77777777" w:rsidR="00CF273E" w:rsidRPr="00CF273E" w:rsidRDefault="00CF273E" w:rsidP="00BA40EC"/>
    <w:p w14:paraId="34129F61" w14:textId="1F9222D3" w:rsidR="00CF1DD3" w:rsidRPr="000B5B76" w:rsidRDefault="00CF1DD3" w:rsidP="00CF1DD3">
      <w:pPr>
        <w:pStyle w:val="Heading3"/>
      </w:pPr>
      <w:r w:rsidRPr="000B5B76">
        <w:t xml:space="preserve">Role with Respect to the Jurisdictions </w:t>
      </w:r>
    </w:p>
    <w:p w14:paraId="49791B83" w14:textId="77777777" w:rsidR="00CF1DD3" w:rsidRPr="00CF273E" w:rsidRDefault="00CF1DD3" w:rsidP="00CF1DD3">
      <w:r w:rsidRPr="00CF273E">
        <w:t xml:space="preserve">Each jurisdiction is established under its own </w:t>
      </w:r>
      <w:r>
        <w:t>l</w:t>
      </w:r>
      <w:r w:rsidRPr="00CF273E">
        <w:t>egislation and the establishment of CSV does not affect the internal</w:t>
      </w:r>
      <w:r>
        <w:t xml:space="preserve"> </w:t>
      </w:r>
      <w:r w:rsidRPr="00CF273E">
        <w:t>governance of jurisdictions. In performing its functions</w:t>
      </w:r>
      <w:r>
        <w:t xml:space="preserve"> </w:t>
      </w:r>
      <w:r w:rsidRPr="00CF273E">
        <w:t xml:space="preserve">and </w:t>
      </w:r>
      <w:r>
        <w:t xml:space="preserve">exercising </w:t>
      </w:r>
      <w:r w:rsidRPr="00CF273E">
        <w:t>its powers, CSV acknowledges and respects the</w:t>
      </w:r>
      <w:r>
        <w:t xml:space="preserve"> </w:t>
      </w:r>
      <w:r w:rsidRPr="00CF273E">
        <w:t>judicial</w:t>
      </w:r>
      <w:r>
        <w:t xml:space="preserve"> </w:t>
      </w:r>
      <w:r w:rsidRPr="00CF273E">
        <w:t>independence</w:t>
      </w:r>
      <w:r>
        <w:t xml:space="preserve"> </w:t>
      </w:r>
      <w:r w:rsidRPr="00CF273E">
        <w:t xml:space="preserve">of each jurisdiction, and the College as a separate </w:t>
      </w:r>
      <w:r>
        <w:t>l</w:t>
      </w:r>
      <w:r w:rsidRPr="00CF273E">
        <w:t>egal</w:t>
      </w:r>
      <w:r>
        <w:t xml:space="preserve"> </w:t>
      </w:r>
      <w:r w:rsidRPr="00CF273E">
        <w:t>entity.</w:t>
      </w:r>
    </w:p>
    <w:p w14:paraId="4621512C" w14:textId="77777777" w:rsidR="00CF1DD3" w:rsidRPr="00CF273E" w:rsidRDefault="00CF1DD3" w:rsidP="00CF1DD3"/>
    <w:p w14:paraId="0733E3FF" w14:textId="2D795C0C" w:rsidR="00CF1DD3" w:rsidRPr="00CF273E" w:rsidRDefault="00CF1DD3" w:rsidP="00CF1DD3">
      <w:r w:rsidRPr="00CF273E">
        <w:t xml:space="preserve">The </w:t>
      </w:r>
      <w:r w:rsidR="00BE682B">
        <w:t>CSV</w:t>
      </w:r>
      <w:r w:rsidRPr="00CF273E">
        <w:t xml:space="preserve"> Annual</w:t>
      </w:r>
      <w:r>
        <w:t xml:space="preserve"> </w:t>
      </w:r>
      <w:r w:rsidRPr="00CF273E">
        <w:t>Report is separate and</w:t>
      </w:r>
      <w:r>
        <w:t xml:space="preserve"> </w:t>
      </w:r>
      <w:r w:rsidRPr="00CF273E">
        <w:t>distinct from the annual</w:t>
      </w:r>
      <w:r>
        <w:t xml:space="preserve"> </w:t>
      </w:r>
      <w:r w:rsidRPr="00CF273E">
        <w:t xml:space="preserve">reports </w:t>
      </w:r>
      <w:r w:rsidR="001F1297">
        <w:t>produced by</w:t>
      </w:r>
      <w:r w:rsidR="001F1297" w:rsidRPr="00CF273E">
        <w:t xml:space="preserve"> </w:t>
      </w:r>
      <w:r w:rsidRPr="00CF273E">
        <w:t>the Victorian courts, VCAT and the College. Those reports provide information about the</w:t>
      </w:r>
      <w:r>
        <w:t xml:space="preserve"> </w:t>
      </w:r>
      <w:r w:rsidRPr="00CF273E">
        <w:t>individual</w:t>
      </w:r>
      <w:r>
        <w:t xml:space="preserve"> </w:t>
      </w:r>
      <w:r w:rsidRPr="00CF273E">
        <w:t xml:space="preserve">work and administration of the jurisdictions </w:t>
      </w:r>
      <w:r>
        <w:t xml:space="preserve">and the College </w:t>
      </w:r>
      <w:r w:rsidRPr="00CF273E">
        <w:t>and are available on their respective websites.</w:t>
      </w:r>
    </w:p>
    <w:p w14:paraId="6CBE6D66" w14:textId="77777777" w:rsidR="00CF1DD3" w:rsidRPr="00CF273E" w:rsidRDefault="00CF1DD3" w:rsidP="00CF1DD3"/>
    <w:p w14:paraId="6077D1FF" w14:textId="23CCF7C0" w:rsidR="00CF1DD3" w:rsidRPr="00CF273E" w:rsidRDefault="00CF1DD3" w:rsidP="00CF1DD3">
      <w:r w:rsidRPr="00CF273E">
        <w:t xml:space="preserve">CSV's funding, including that necessary for the administration of the jurisdictions and the College, is primarily from </w:t>
      </w:r>
      <w:r w:rsidR="001F1297">
        <w:t>an</w:t>
      </w:r>
      <w:r w:rsidR="001F1297" w:rsidRPr="00CF273E">
        <w:t xml:space="preserve"> </w:t>
      </w:r>
      <w:r w:rsidRPr="00CF273E">
        <w:t xml:space="preserve">annual appropriation. The </w:t>
      </w:r>
      <w:r w:rsidRPr="00C241D2">
        <w:rPr>
          <w:i/>
        </w:rPr>
        <w:t>Appropriation (2015-16) Act 2015</w:t>
      </w:r>
      <w:r w:rsidRPr="00CF273E">
        <w:t xml:space="preserve"> (Vic) refers to the 'Department</w:t>
      </w:r>
      <w:r>
        <w:t xml:space="preserve"> </w:t>
      </w:r>
      <w:r w:rsidRPr="00CF273E">
        <w:t>of Courts'. For appropriation purposes only,</w:t>
      </w:r>
      <w:r>
        <w:t xml:space="preserve"> </w:t>
      </w:r>
      <w:r w:rsidRPr="00CF273E">
        <w:t>the 'Department of Courts' is Court Services</w:t>
      </w:r>
      <w:r>
        <w:t xml:space="preserve"> </w:t>
      </w:r>
      <w:r w:rsidRPr="00CF273E">
        <w:t xml:space="preserve">Victoria. </w:t>
      </w:r>
      <w:r>
        <w:t xml:space="preserve">The </w:t>
      </w:r>
      <w:r w:rsidRPr="00CF273E">
        <w:t>CSV CEO is the Accountable Officer for the Courts' appropriation, and the Courts Council</w:t>
      </w:r>
      <w:r>
        <w:t xml:space="preserve"> </w:t>
      </w:r>
      <w:r w:rsidRPr="00CF273E">
        <w:t>is the Responsible Body.</w:t>
      </w:r>
    </w:p>
    <w:p w14:paraId="6FC00BDC" w14:textId="77777777" w:rsidR="00CF1DD3" w:rsidRPr="00CF273E" w:rsidRDefault="00CF1DD3" w:rsidP="00CF1DD3"/>
    <w:p w14:paraId="3593EA2A" w14:textId="77777777" w:rsidR="00CF1DD3" w:rsidRDefault="00CF1DD3" w:rsidP="00CF1DD3">
      <w:r w:rsidRPr="00CF273E">
        <w:t>CSV, each of the jurisdictions, and the College have separate budgets prepared and approved under section 41 of the CSV Act.</w:t>
      </w:r>
      <w:r>
        <w:t xml:space="preserve"> </w:t>
      </w:r>
      <w:r w:rsidRPr="00CF273E">
        <w:t>CSV, as the relevant body</w:t>
      </w:r>
      <w:r>
        <w:t xml:space="preserve"> </w:t>
      </w:r>
      <w:r w:rsidRPr="00CF273E">
        <w:t>corporate, enters into contracts, holds</w:t>
      </w:r>
      <w:r>
        <w:t xml:space="preserve"> </w:t>
      </w:r>
      <w:r w:rsidRPr="00CF273E">
        <w:t>property,</w:t>
      </w:r>
      <w:r>
        <w:t xml:space="preserve"> </w:t>
      </w:r>
      <w:r w:rsidRPr="00CF273E">
        <w:t xml:space="preserve">and related </w:t>
      </w:r>
      <w:r>
        <w:t>l</w:t>
      </w:r>
      <w:r w:rsidRPr="00CF273E">
        <w:t>egal</w:t>
      </w:r>
      <w:r>
        <w:t xml:space="preserve"> </w:t>
      </w:r>
      <w:r w:rsidRPr="00CF273E">
        <w:t>rights and obligations relevant</w:t>
      </w:r>
      <w:r>
        <w:t xml:space="preserve"> </w:t>
      </w:r>
      <w:r w:rsidRPr="00CF273E">
        <w:t>to the administrative services and facilities required to support the performance of the functions of the jurisdictions and the College. CSV employs the staff necessary to carry out and support</w:t>
      </w:r>
      <w:r>
        <w:t xml:space="preserve"> </w:t>
      </w:r>
      <w:r w:rsidRPr="00CF273E">
        <w:t>those</w:t>
      </w:r>
      <w:r>
        <w:t xml:space="preserve"> </w:t>
      </w:r>
      <w:r w:rsidRPr="00CF273E">
        <w:t>functions.</w:t>
      </w:r>
    </w:p>
    <w:p w14:paraId="034733A7" w14:textId="77777777" w:rsidR="005F50DF" w:rsidRDefault="005F50DF" w:rsidP="00CF1DD3"/>
    <w:p w14:paraId="068B0ED3" w14:textId="4D063C61" w:rsidR="00CF1DD3" w:rsidRPr="00CF273E" w:rsidRDefault="00CF1DD3" w:rsidP="00CF1DD3">
      <w:r w:rsidRPr="00CF273E">
        <w:t xml:space="preserve">The CSV CEO has the functions of a public service body head under the </w:t>
      </w:r>
      <w:r w:rsidRPr="00C241D2">
        <w:rPr>
          <w:i/>
        </w:rPr>
        <w:t>Public Administration Act 2004</w:t>
      </w:r>
      <w:r w:rsidRPr="00CF273E">
        <w:t xml:space="preserve"> (Vic) in</w:t>
      </w:r>
      <w:r>
        <w:t xml:space="preserve"> </w:t>
      </w:r>
      <w:r w:rsidRPr="00CF273E">
        <w:t xml:space="preserve">relation to </w:t>
      </w:r>
      <w:r>
        <w:t xml:space="preserve">all </w:t>
      </w:r>
      <w:r w:rsidR="001F1297">
        <w:t xml:space="preserve">CSV </w:t>
      </w:r>
      <w:r w:rsidRPr="00CF273E">
        <w:t xml:space="preserve">staff </w:t>
      </w:r>
      <w:r w:rsidR="001F1297">
        <w:t xml:space="preserve">other </w:t>
      </w:r>
      <w:r>
        <w:t>than judicial employees</w:t>
      </w:r>
      <w:r w:rsidRPr="00CF273E">
        <w:t>.</w:t>
      </w:r>
      <w:r>
        <w:t xml:space="preserve"> </w:t>
      </w:r>
      <w:r w:rsidRPr="00CF273E">
        <w:t>A number of powers and functions of the CSV CEO</w:t>
      </w:r>
      <w:r>
        <w:t xml:space="preserve"> </w:t>
      </w:r>
      <w:r w:rsidRPr="00CF273E">
        <w:t>are delegated to Court CEOs for the purposes</w:t>
      </w:r>
      <w:r>
        <w:t xml:space="preserve"> </w:t>
      </w:r>
      <w:r w:rsidRPr="00CF273E">
        <w:t>of the proper administration of support services and facilities at each jurisdiction.</w:t>
      </w:r>
    </w:p>
    <w:p w14:paraId="1FC465A8" w14:textId="77777777" w:rsidR="00CF273E" w:rsidRPr="00CF273E" w:rsidRDefault="00CF273E" w:rsidP="00BA40EC"/>
    <w:p w14:paraId="4C7CAFED" w14:textId="77777777" w:rsidR="003A56F9" w:rsidRPr="00CF273E" w:rsidRDefault="003A56F9" w:rsidP="003A56F9">
      <w:pPr>
        <w:pStyle w:val="Heading3"/>
      </w:pPr>
      <w:r>
        <w:t>Manner of Establishment, Relevant</w:t>
      </w:r>
      <w:r w:rsidRPr="00CF273E">
        <w:t xml:space="preserve"> Minister</w:t>
      </w:r>
      <w:r>
        <w:t xml:space="preserve"> and Communities Served</w:t>
      </w:r>
    </w:p>
    <w:p w14:paraId="66760564" w14:textId="77777777" w:rsidR="003A56F9" w:rsidRPr="00CF273E" w:rsidRDefault="003A56F9" w:rsidP="003A56F9">
      <w:r w:rsidRPr="00CF273E">
        <w:t>The CSV Act commenced on 1 July 2014, establishing CSV as an independent statutory body corporate.</w:t>
      </w:r>
    </w:p>
    <w:p w14:paraId="58B9B58D" w14:textId="77777777" w:rsidR="003A56F9" w:rsidRPr="00CF273E" w:rsidRDefault="003A56F9" w:rsidP="003A56F9"/>
    <w:p w14:paraId="6776D576" w14:textId="12503217" w:rsidR="003A56F9" w:rsidRPr="00CF273E" w:rsidRDefault="003A56F9" w:rsidP="003A56F9">
      <w:r>
        <w:t>T</w:t>
      </w:r>
      <w:r w:rsidRPr="00CF273E">
        <w:t>he Attorney-General</w:t>
      </w:r>
      <w:r>
        <w:t xml:space="preserve"> is the relevant Minister with </w:t>
      </w:r>
      <w:r w:rsidRPr="00CF273E">
        <w:t xml:space="preserve">portfolio responsibility for CSV, </w:t>
      </w:r>
      <w:r>
        <w:t xml:space="preserve">however </w:t>
      </w:r>
      <w:r w:rsidRPr="00CF273E">
        <w:t>the object</w:t>
      </w:r>
      <w:r>
        <w:t xml:space="preserve"> </w:t>
      </w:r>
      <w:r w:rsidRPr="00CF273E">
        <w:t>of the CSV Act is to</w:t>
      </w:r>
      <w:r>
        <w:t xml:space="preserve"> </w:t>
      </w:r>
      <w:r w:rsidRPr="00CF273E">
        <w:t>establish CSV as a body operating</w:t>
      </w:r>
      <w:r>
        <w:t xml:space="preserve"> </w:t>
      </w:r>
      <w:r w:rsidRPr="00CF273E">
        <w:t>independently of the direction of the executive branch</w:t>
      </w:r>
      <w:r>
        <w:t xml:space="preserve"> of government. The Attorney­</w:t>
      </w:r>
      <w:r w:rsidRPr="00CF273E">
        <w:t>General's</w:t>
      </w:r>
      <w:r>
        <w:t xml:space="preserve"> </w:t>
      </w:r>
      <w:r w:rsidRPr="00CF273E">
        <w:t>statutory powers</w:t>
      </w:r>
      <w:r>
        <w:t xml:space="preserve"> </w:t>
      </w:r>
      <w:r w:rsidRPr="00CF273E">
        <w:t>with respect to</w:t>
      </w:r>
      <w:r>
        <w:t xml:space="preserve"> </w:t>
      </w:r>
      <w:r w:rsidRPr="00CF273E">
        <w:t xml:space="preserve">CSV are </w:t>
      </w:r>
      <w:r w:rsidR="00051966">
        <w:t>the</w:t>
      </w:r>
      <w:r w:rsidRPr="00CF273E">
        <w:t xml:space="preserve"> matters relating to budget approval</w:t>
      </w:r>
      <w:r>
        <w:t xml:space="preserve"> </w:t>
      </w:r>
      <w:r w:rsidRPr="00CF273E">
        <w:t>(section 41, CSV Act), agreement to allocation statements (section 48, CSV Act) and recommending the vesting of Crown Land in CSV (section</w:t>
      </w:r>
      <w:r>
        <w:t xml:space="preserve"> </w:t>
      </w:r>
      <w:r w:rsidRPr="00CF273E">
        <w:t>58, CSV Act).</w:t>
      </w:r>
    </w:p>
    <w:p w14:paraId="11563BBE" w14:textId="77777777" w:rsidR="00C7187A" w:rsidRDefault="00C7187A" w:rsidP="003A56F9"/>
    <w:p w14:paraId="62143E5F" w14:textId="0040508B" w:rsidR="003A56F9" w:rsidRPr="00CF273E" w:rsidRDefault="003A56F9" w:rsidP="003A56F9">
      <w:r w:rsidRPr="00CF273E">
        <w:t xml:space="preserve">A Memorandum of Understanding (MOU) </w:t>
      </w:r>
      <w:r>
        <w:t xml:space="preserve">between the Attorney-General and </w:t>
      </w:r>
      <w:r w:rsidR="00C7187A">
        <w:t xml:space="preserve">the </w:t>
      </w:r>
      <w:r>
        <w:t>Courts Council set</w:t>
      </w:r>
      <w:r w:rsidR="00C7187A">
        <w:t>s</w:t>
      </w:r>
      <w:r>
        <w:t xml:space="preserve"> out certain principles and processes regarding the relationship between CSV and Executive Government. </w:t>
      </w:r>
      <w:r w:rsidRPr="00CF273E">
        <w:t>A copy of</w:t>
      </w:r>
      <w:r>
        <w:t xml:space="preserve"> </w:t>
      </w:r>
      <w:r w:rsidRPr="00CF273E">
        <w:t>the MOU i</w:t>
      </w:r>
      <w:r>
        <w:t>s available at www.courts.vic.g</w:t>
      </w:r>
      <w:r w:rsidRPr="00CF273E">
        <w:t>ov.au.</w:t>
      </w:r>
    </w:p>
    <w:p w14:paraId="3DA99CA7" w14:textId="77777777" w:rsidR="003A56F9" w:rsidRPr="00CF273E" w:rsidRDefault="003A56F9" w:rsidP="003A56F9"/>
    <w:p w14:paraId="2EEB79DA" w14:textId="77777777" w:rsidR="003A56F9" w:rsidRDefault="003A56F9" w:rsidP="003A56F9">
      <w:r>
        <w:t xml:space="preserve">In </w:t>
      </w:r>
      <w:r w:rsidRPr="00CF273E">
        <w:t>provid</w:t>
      </w:r>
      <w:r>
        <w:t>ing, or arranging</w:t>
      </w:r>
      <w:r w:rsidRPr="00CF273E">
        <w:t xml:space="preserve"> for the provision of, the administrative services and facilities necessary </w:t>
      </w:r>
      <w:r>
        <w:t xml:space="preserve">or desirable </w:t>
      </w:r>
      <w:r w:rsidRPr="00CF273E">
        <w:t>to support the performance of the judicial, quasi-judicial</w:t>
      </w:r>
      <w:r>
        <w:t xml:space="preserve"> </w:t>
      </w:r>
      <w:r w:rsidRPr="00CF273E">
        <w:t xml:space="preserve">and administrative functions of the </w:t>
      </w:r>
      <w:r>
        <w:t xml:space="preserve">Victorian courts and VCAT, and enabling the </w:t>
      </w:r>
      <w:r w:rsidRPr="00CF273E">
        <w:t>College</w:t>
      </w:r>
      <w:r>
        <w:t xml:space="preserve"> </w:t>
      </w:r>
      <w:r w:rsidRPr="00CF273E">
        <w:t>to perform its function</w:t>
      </w:r>
      <w:r>
        <w:t xml:space="preserve">s, CSV serves the Victorian community by strengthening the different constitutional roles of the executive and the judiciary, and supporting Victoria’s system of responsible government and the rule of law. </w:t>
      </w:r>
    </w:p>
    <w:p w14:paraId="3002DA2C" w14:textId="77777777" w:rsidR="00CF273E" w:rsidRDefault="00CF273E" w:rsidP="00BA40EC"/>
    <w:p w14:paraId="42F8D7F3" w14:textId="5D953C0C" w:rsidR="00CF273E" w:rsidRPr="00CF273E" w:rsidRDefault="00652022" w:rsidP="00B75192">
      <w:pPr>
        <w:pStyle w:val="Heading2"/>
      </w:pPr>
      <w:bookmarkStart w:id="5" w:name="_Toc466381159"/>
      <w:r w:rsidRPr="00CF273E">
        <w:t>Organisational</w:t>
      </w:r>
      <w:r>
        <w:t xml:space="preserve"> </w:t>
      </w:r>
      <w:r w:rsidRPr="00CF273E">
        <w:t>Structure</w:t>
      </w:r>
      <w:r>
        <w:t xml:space="preserve"> a</w:t>
      </w:r>
      <w:r w:rsidRPr="00CF273E">
        <w:t>nd Corporate</w:t>
      </w:r>
      <w:r>
        <w:t xml:space="preserve"> </w:t>
      </w:r>
      <w:r w:rsidRPr="00CF273E">
        <w:t>Governance Arrangements</w:t>
      </w:r>
      <w:bookmarkEnd w:id="5"/>
    </w:p>
    <w:p w14:paraId="5F816DCD" w14:textId="77777777" w:rsidR="00A634F9" w:rsidRPr="00CF273E" w:rsidRDefault="00A634F9" w:rsidP="00A634F9">
      <w:r w:rsidRPr="00CF273E">
        <w:t>The following</w:t>
      </w:r>
      <w:r>
        <w:t xml:space="preserve"> </w:t>
      </w:r>
      <w:r w:rsidRPr="00CF273E">
        <w:t>diagram</w:t>
      </w:r>
      <w:r>
        <w:t xml:space="preserve"> </w:t>
      </w:r>
      <w:r w:rsidRPr="00CF273E">
        <w:t>illustrates</w:t>
      </w:r>
      <w:r>
        <w:t xml:space="preserve"> </w:t>
      </w:r>
      <w:r w:rsidRPr="00CF273E">
        <w:t>CSV's internal accountability structure.</w:t>
      </w:r>
    </w:p>
    <w:p w14:paraId="035E3A3A" w14:textId="77777777" w:rsidR="00A634F9" w:rsidRPr="00CF273E" w:rsidRDefault="00A634F9" w:rsidP="00A634F9"/>
    <w:p w14:paraId="50EC73FF" w14:textId="0AD62D86" w:rsidR="00A634F9" w:rsidRDefault="00A634F9" w:rsidP="00A634F9">
      <w:r w:rsidRPr="00CF273E">
        <w:t>While</w:t>
      </w:r>
      <w:r>
        <w:t xml:space="preserve"> </w:t>
      </w:r>
      <w:r w:rsidRPr="00CF273E">
        <w:t>each Court CEO has a reporting and accountabil</w:t>
      </w:r>
      <w:r w:rsidR="00983F9B">
        <w:t>ity l</w:t>
      </w:r>
      <w:r w:rsidRPr="00CF273E">
        <w:t>ine to their Head of Jurisdiction under the</w:t>
      </w:r>
      <w:r>
        <w:t xml:space="preserve"> </w:t>
      </w:r>
      <w:r w:rsidRPr="00CF273E">
        <w:t>CSV Act, the Heads</w:t>
      </w:r>
      <w:r>
        <w:t xml:space="preserve"> </w:t>
      </w:r>
      <w:r w:rsidRPr="00CF273E">
        <w:t>of Jurisdiction do</w:t>
      </w:r>
      <w:r>
        <w:t xml:space="preserve"> </w:t>
      </w:r>
      <w:r w:rsidRPr="00CF273E">
        <w:t>not</w:t>
      </w:r>
      <w:r>
        <w:t xml:space="preserve"> </w:t>
      </w:r>
      <w:r w:rsidRPr="00CF273E">
        <w:t>form part of CSV other</w:t>
      </w:r>
      <w:r>
        <w:t xml:space="preserve"> </w:t>
      </w:r>
      <w:r w:rsidRPr="00CF273E">
        <w:t>than as members of the</w:t>
      </w:r>
      <w:r>
        <w:t xml:space="preserve"> </w:t>
      </w:r>
      <w:r w:rsidRPr="00CF273E">
        <w:t>Courts Council. This is also the case</w:t>
      </w:r>
      <w:r>
        <w:t xml:space="preserve"> </w:t>
      </w:r>
      <w:r w:rsidRPr="00CF273E">
        <w:t>for the Board of the Judicial</w:t>
      </w:r>
      <w:r>
        <w:t xml:space="preserve"> </w:t>
      </w:r>
      <w:r w:rsidR="00983F9B">
        <w:t>College of Victoria</w:t>
      </w:r>
      <w:r w:rsidR="008F1B43">
        <w:t>. T</w:t>
      </w:r>
      <w:r w:rsidRPr="00CF273E">
        <w:t>he College CEO has obligations to the Board</w:t>
      </w:r>
      <w:r>
        <w:t xml:space="preserve"> </w:t>
      </w:r>
      <w:r w:rsidRPr="00CF273E">
        <w:t>of the</w:t>
      </w:r>
      <w:r>
        <w:t xml:space="preserve"> </w:t>
      </w:r>
      <w:r w:rsidRPr="00CF273E">
        <w:t>College for all matters related to the</w:t>
      </w:r>
      <w:r>
        <w:t xml:space="preserve"> </w:t>
      </w:r>
      <w:r w:rsidRPr="00CF273E">
        <w:t>operation of the</w:t>
      </w:r>
      <w:r>
        <w:t xml:space="preserve"> </w:t>
      </w:r>
      <w:r w:rsidRPr="00CF273E">
        <w:t>College, but</w:t>
      </w:r>
      <w:r>
        <w:t xml:space="preserve"> </w:t>
      </w:r>
      <w:r w:rsidRPr="00CF273E">
        <w:t>the Board of the College does not</w:t>
      </w:r>
      <w:r>
        <w:t xml:space="preserve"> </w:t>
      </w:r>
      <w:r w:rsidRPr="00CF273E">
        <w:t>form part of CSV.</w:t>
      </w:r>
    </w:p>
    <w:p w14:paraId="1A2AEEEE" w14:textId="77777777" w:rsidR="00EE2C3A" w:rsidRPr="00CF273E" w:rsidRDefault="00EE2C3A" w:rsidP="00A634F9"/>
    <w:p w14:paraId="7C1CEC83" w14:textId="77777777" w:rsidR="00CF273E" w:rsidRDefault="00CF273E" w:rsidP="00B75192"/>
    <w:p w14:paraId="7CAA4570" w14:textId="77777777" w:rsidR="00A90EA1" w:rsidRDefault="00BC1E23" w:rsidP="00B75192">
      <w:r>
        <w:rPr>
          <w:noProof/>
        </w:rPr>
        <w:drawing>
          <wp:inline distT="0" distB="0" distL="0" distR="0" wp14:anchorId="5AE1DB21" wp14:editId="25A06F6F">
            <wp:extent cx="6121400" cy="2395855"/>
            <wp:effectExtent l="0" t="0" r="0" b="0"/>
            <wp:docPr id="1" name="Picture 1" descr="OrgChar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gChart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1400" cy="2395855"/>
                    </a:xfrm>
                    <a:prstGeom prst="rect">
                      <a:avLst/>
                    </a:prstGeom>
                    <a:noFill/>
                    <a:ln>
                      <a:noFill/>
                    </a:ln>
                  </pic:spPr>
                </pic:pic>
              </a:graphicData>
            </a:graphic>
          </wp:inline>
        </w:drawing>
      </w:r>
    </w:p>
    <w:p w14:paraId="2B36D09A" w14:textId="77777777" w:rsidR="00CF273E" w:rsidRPr="00CF273E" w:rsidRDefault="00CF273E" w:rsidP="00B75192">
      <w:pPr>
        <w:pStyle w:val="Heading4"/>
      </w:pPr>
      <w:r w:rsidRPr="00CF273E">
        <w:t>Notes:</w:t>
      </w:r>
    </w:p>
    <w:p w14:paraId="70ED619C" w14:textId="09717373" w:rsidR="00A634F9" w:rsidRPr="0003770C" w:rsidRDefault="00A634F9" w:rsidP="00A634F9">
      <w:pPr>
        <w:pStyle w:val="Notes"/>
      </w:pPr>
      <w:r>
        <w:t>1.</w:t>
      </w:r>
      <w:r>
        <w:tab/>
      </w:r>
      <w:r w:rsidRPr="0003770C">
        <w:t>The Court CEOs are appointed by the Courts Council on the recommendation of the respective Head of Jurisdiction</w:t>
      </w:r>
      <w:r w:rsidR="00AD7A22">
        <w:t>. I</w:t>
      </w:r>
      <w:r w:rsidRPr="0003770C">
        <w:t>n performing their functions, they are responsible to the Head of Jurisdiction in rel</w:t>
      </w:r>
      <w:r w:rsidR="00EA7BEE">
        <w:t>ation to the operation of that j</w:t>
      </w:r>
      <w:r w:rsidRPr="0003770C">
        <w:t>urisdiction and to the CSV CEO in relation to all other matters.</w:t>
      </w:r>
    </w:p>
    <w:p w14:paraId="5DC68A51" w14:textId="77777777" w:rsidR="00A634F9" w:rsidRPr="0003770C" w:rsidRDefault="00A634F9" w:rsidP="00A634F9">
      <w:pPr>
        <w:pStyle w:val="Notes"/>
      </w:pPr>
    </w:p>
    <w:p w14:paraId="24B52DF4" w14:textId="6059428D" w:rsidR="00A634F9" w:rsidRPr="0003770C" w:rsidRDefault="00A634F9" w:rsidP="00A634F9">
      <w:pPr>
        <w:pStyle w:val="Notes"/>
      </w:pPr>
      <w:r w:rsidRPr="0003770C">
        <w:t>2.</w:t>
      </w:r>
      <w:r w:rsidRPr="0003770C">
        <w:tab/>
        <w:t>To facilitate the exercise of their statutory functions and delegated powers, the Court CEOs meet regularly as an executive group to ensure that CSV strategy, policy and process is consisten</w:t>
      </w:r>
      <w:r w:rsidR="00EA7BEE">
        <w:t>t with the independence of the j</w:t>
      </w:r>
      <w:r w:rsidRPr="0003770C">
        <w:t>urisdictions and strengthens their ability to operate independently of the executive arm of government.</w:t>
      </w:r>
    </w:p>
    <w:p w14:paraId="55B0AC07" w14:textId="77777777" w:rsidR="00A634F9" w:rsidRPr="0003770C" w:rsidRDefault="00A634F9" w:rsidP="00A634F9">
      <w:pPr>
        <w:pStyle w:val="Notes"/>
      </w:pPr>
    </w:p>
    <w:p w14:paraId="75C45FD5" w14:textId="48F4388D" w:rsidR="00A634F9" w:rsidRPr="0003770C" w:rsidRDefault="00A634F9" w:rsidP="00A634F9">
      <w:pPr>
        <w:pStyle w:val="Notes"/>
      </w:pPr>
      <w:r w:rsidRPr="0003770C">
        <w:t>3.</w:t>
      </w:r>
      <w:r w:rsidRPr="0003770C">
        <w:tab/>
        <w:t>The Portfolio Committee</w:t>
      </w:r>
      <w:r w:rsidR="00100ECC">
        <w:t>’</w:t>
      </w:r>
      <w:r w:rsidRPr="0003770C">
        <w:t xml:space="preserve">s </w:t>
      </w:r>
      <w:r w:rsidR="008F1B43">
        <w:t>(</w:t>
      </w:r>
      <w:r w:rsidRPr="0003770C">
        <w:t xml:space="preserve">shown in the </w:t>
      </w:r>
      <w:r w:rsidR="008F1B43">
        <w:t xml:space="preserve">above </w:t>
      </w:r>
      <w:r w:rsidRPr="0003770C">
        <w:t>diagram</w:t>
      </w:r>
      <w:r w:rsidR="008F1B43">
        <w:t>)</w:t>
      </w:r>
      <w:r w:rsidRPr="0003770C">
        <w:t xml:space="preserve"> are the standing committees of the Courts Council established in accordance with the CSV Act to assist the Courts Council in its governance of CSV, and as such they form part of CSV's governance structure.</w:t>
      </w:r>
    </w:p>
    <w:p w14:paraId="099D5FAD" w14:textId="77777777" w:rsidR="00A634F9" w:rsidRPr="0003770C" w:rsidRDefault="00A634F9" w:rsidP="00A634F9">
      <w:pPr>
        <w:pStyle w:val="Notes"/>
      </w:pPr>
    </w:p>
    <w:p w14:paraId="756C1589" w14:textId="559D281F" w:rsidR="00A634F9" w:rsidRPr="0003770C" w:rsidRDefault="00A634F9" w:rsidP="00A634F9">
      <w:pPr>
        <w:pStyle w:val="Notes"/>
      </w:pPr>
      <w:r w:rsidRPr="0003770C">
        <w:t>4.</w:t>
      </w:r>
      <w:r w:rsidRPr="0003770C">
        <w:tab/>
        <w:t>CSV's statutory function includes the provision of services to enable the College to perform its functions. The College CEO is appointed by the CSV CEO, pursuant to that individual's nomination by the Board of the College. The College CEO has two lines of reporting</w:t>
      </w:r>
      <w:r w:rsidR="00100ECC">
        <w:t>:</w:t>
      </w:r>
      <w:r w:rsidRPr="0003770C">
        <w:t xml:space="preserve"> to the Board of the College regarding the operation of the College</w:t>
      </w:r>
      <w:r w:rsidR="00100ECC">
        <w:t>;</w:t>
      </w:r>
      <w:r w:rsidRPr="0003770C">
        <w:t xml:space="preserve"> and to the CSV CEO in relation to all matters not related to the operation of the College.</w:t>
      </w:r>
    </w:p>
    <w:p w14:paraId="15217450" w14:textId="50D7D24F" w:rsidR="00CF273E" w:rsidRPr="00CF273E" w:rsidRDefault="008836AC" w:rsidP="0077408A">
      <w:pPr>
        <w:pStyle w:val="Heading2"/>
      </w:pPr>
      <w:bookmarkStart w:id="6" w:name="_Toc466381160"/>
      <w:r>
        <w:t>Governing Body</w:t>
      </w:r>
      <w:bookmarkEnd w:id="6"/>
    </w:p>
    <w:p w14:paraId="3F77DEA7" w14:textId="77777777" w:rsidR="00CF273E" w:rsidRPr="00CF273E" w:rsidRDefault="0077408A" w:rsidP="0077408A">
      <w:pPr>
        <w:pStyle w:val="Heading3"/>
      </w:pPr>
      <w:r w:rsidRPr="00CF273E">
        <w:t>Courts</w:t>
      </w:r>
      <w:r>
        <w:t xml:space="preserve"> </w:t>
      </w:r>
      <w:r w:rsidRPr="00CF273E">
        <w:t>Council</w:t>
      </w:r>
    </w:p>
    <w:p w14:paraId="74A59258" w14:textId="241A951D" w:rsidR="00A10379" w:rsidRPr="00CF273E" w:rsidRDefault="00A10379" w:rsidP="00A10379">
      <w:r w:rsidRPr="00CF273E">
        <w:t>The Courts Council</w:t>
      </w:r>
      <w:r>
        <w:t xml:space="preserve"> </w:t>
      </w:r>
      <w:r w:rsidRPr="00CF273E">
        <w:t>is CSV's governing</w:t>
      </w:r>
      <w:r>
        <w:t xml:space="preserve"> </w:t>
      </w:r>
      <w:r w:rsidRPr="00CF273E">
        <w:t>body.</w:t>
      </w:r>
      <w:r>
        <w:t xml:space="preserve"> </w:t>
      </w:r>
      <w:r w:rsidRPr="00CF273E">
        <w:t>It is chaired by the Chief</w:t>
      </w:r>
      <w:r>
        <w:t xml:space="preserve"> </w:t>
      </w:r>
      <w:r w:rsidRPr="00CF273E">
        <w:t>Justice of the Supreme Court of Victoria, and consists of the six Heads</w:t>
      </w:r>
      <w:r>
        <w:t xml:space="preserve"> </w:t>
      </w:r>
      <w:r w:rsidRPr="00CF273E">
        <w:t>of Jurisdiction and up to two</w:t>
      </w:r>
      <w:r>
        <w:t xml:space="preserve"> </w:t>
      </w:r>
      <w:r w:rsidRPr="00CF273E">
        <w:t>non-judicial members appointed by the Heads</w:t>
      </w:r>
      <w:r>
        <w:t xml:space="preserve"> of Jurisdiction. As </w:t>
      </w:r>
      <w:r w:rsidR="002C3A56">
        <w:t xml:space="preserve">at </w:t>
      </w:r>
      <w:r>
        <w:t>3</w:t>
      </w:r>
      <w:r w:rsidRPr="00CF273E">
        <w:t>0 June</w:t>
      </w:r>
      <w:r>
        <w:t xml:space="preserve"> </w:t>
      </w:r>
      <w:r w:rsidRPr="00CF273E">
        <w:t>201</w:t>
      </w:r>
      <w:r>
        <w:t>6</w:t>
      </w:r>
      <w:r w:rsidRPr="00CF273E">
        <w:t>, the Courts Council</w:t>
      </w:r>
      <w:r>
        <w:t xml:space="preserve"> </w:t>
      </w:r>
      <w:r w:rsidRPr="00CF273E">
        <w:t>ha</w:t>
      </w:r>
      <w:r w:rsidR="002C3A56">
        <w:t>d</w:t>
      </w:r>
      <w:r w:rsidRPr="00CF273E">
        <w:t xml:space="preserve"> one appointed member.</w:t>
      </w:r>
    </w:p>
    <w:p w14:paraId="0EEC2678" w14:textId="77777777" w:rsidR="00A10379" w:rsidRPr="00CF273E" w:rsidRDefault="00A10379" w:rsidP="00A10379"/>
    <w:p w14:paraId="148C7DAC" w14:textId="77777777" w:rsidR="00A10379" w:rsidRPr="00CF273E" w:rsidRDefault="00A10379" w:rsidP="00A10379">
      <w:r w:rsidRPr="00CF273E">
        <w:t>The Courts Council</w:t>
      </w:r>
      <w:r>
        <w:t xml:space="preserve"> </w:t>
      </w:r>
      <w:r w:rsidRPr="00CF273E">
        <w:t>has the general</w:t>
      </w:r>
      <w:r>
        <w:t xml:space="preserve"> </w:t>
      </w:r>
      <w:r w:rsidRPr="00CF273E">
        <w:t>direction and superintendence of CSV and, subject to the</w:t>
      </w:r>
      <w:r>
        <w:t xml:space="preserve"> </w:t>
      </w:r>
      <w:r w:rsidRPr="00CF273E">
        <w:t>CSV Act,</w:t>
      </w:r>
      <w:r>
        <w:t xml:space="preserve"> </w:t>
      </w:r>
      <w:r w:rsidRPr="00CF273E">
        <w:t>may perform the</w:t>
      </w:r>
      <w:r>
        <w:t xml:space="preserve"> </w:t>
      </w:r>
      <w:r w:rsidRPr="00CF273E">
        <w:t>functions and exercise the powers of CSV. In addition, the Courts Council has the</w:t>
      </w:r>
      <w:r>
        <w:t xml:space="preserve"> </w:t>
      </w:r>
      <w:r w:rsidRPr="00CF273E">
        <w:t>following functions and</w:t>
      </w:r>
      <w:r>
        <w:t xml:space="preserve"> </w:t>
      </w:r>
      <w:r w:rsidRPr="00CF273E">
        <w:t>powers:</w:t>
      </w:r>
    </w:p>
    <w:p w14:paraId="6CBDEC2D" w14:textId="77777777" w:rsidR="00A10379" w:rsidRPr="00CF273E" w:rsidRDefault="00A10379" w:rsidP="00A10379"/>
    <w:p w14:paraId="4D1A5922" w14:textId="6E62C2A0" w:rsidR="00A10379" w:rsidRDefault="00B00D5F" w:rsidP="00F00065">
      <w:pPr>
        <w:pStyle w:val="ListBullet"/>
      </w:pPr>
      <w:r>
        <w:t>t</w:t>
      </w:r>
      <w:r w:rsidR="00A10379">
        <w:t>o d</w:t>
      </w:r>
      <w:r w:rsidR="00A10379" w:rsidRPr="00CF273E">
        <w:t>irect the strategy, govern</w:t>
      </w:r>
      <w:r w:rsidR="008827CA">
        <w:t>ance and risk management of CSV</w:t>
      </w:r>
    </w:p>
    <w:p w14:paraId="06DA3EA7" w14:textId="4679F6EC" w:rsidR="00A10379" w:rsidRPr="00CF273E" w:rsidRDefault="00B00D5F" w:rsidP="00F00065">
      <w:pPr>
        <w:pStyle w:val="ListBullet"/>
      </w:pPr>
      <w:r>
        <w:t>t</w:t>
      </w:r>
      <w:r w:rsidR="00A10379">
        <w:t>o a</w:t>
      </w:r>
      <w:r w:rsidR="00A10379" w:rsidRPr="00CF273E">
        <w:t>ppoint the</w:t>
      </w:r>
      <w:r w:rsidR="00A10379">
        <w:t xml:space="preserve"> </w:t>
      </w:r>
      <w:r w:rsidR="00A10379" w:rsidRPr="00CF273E">
        <w:t>CEO of CSV</w:t>
      </w:r>
      <w:bookmarkStart w:id="7" w:name="ReturnHere"/>
      <w:bookmarkEnd w:id="7"/>
    </w:p>
    <w:p w14:paraId="7DA24336" w14:textId="0DA4206A" w:rsidR="00A10379" w:rsidRPr="00CF273E" w:rsidRDefault="00B00D5F" w:rsidP="00F00065">
      <w:pPr>
        <w:pStyle w:val="ListBullet"/>
      </w:pPr>
      <w:r>
        <w:t>t</w:t>
      </w:r>
      <w:r w:rsidR="00A10379">
        <w:t>o a</w:t>
      </w:r>
      <w:r w:rsidR="00A10379" w:rsidRPr="00CF273E">
        <w:t>ppoint the</w:t>
      </w:r>
      <w:r w:rsidR="00A10379">
        <w:t xml:space="preserve"> </w:t>
      </w:r>
      <w:r w:rsidR="00A10379" w:rsidRPr="00CF273E">
        <w:t>Court CEO for each jurisdiction on the recommendation of the relevant Head</w:t>
      </w:r>
      <w:r w:rsidR="00A10379">
        <w:t xml:space="preserve"> </w:t>
      </w:r>
      <w:r w:rsidR="00A10379" w:rsidRPr="00CF273E">
        <w:t xml:space="preserve">of </w:t>
      </w:r>
      <w:r w:rsidR="008827CA">
        <w:t>Jurisdiction</w:t>
      </w:r>
    </w:p>
    <w:p w14:paraId="54F977CF" w14:textId="75A2A588" w:rsidR="00A10379" w:rsidRPr="00CF273E" w:rsidRDefault="00B00D5F" w:rsidP="00F00065">
      <w:pPr>
        <w:pStyle w:val="ListBullet"/>
        <w:spacing w:after="0"/>
      </w:pPr>
      <w:r>
        <w:t>a</w:t>
      </w:r>
      <w:r w:rsidR="00A10379" w:rsidRPr="00CF273E">
        <w:t>ny other functions that are conferred on the Courts Council</w:t>
      </w:r>
      <w:r w:rsidR="00A10379">
        <w:t xml:space="preserve"> </w:t>
      </w:r>
      <w:r w:rsidR="00A10379" w:rsidRPr="00CF273E">
        <w:t>by the</w:t>
      </w:r>
      <w:r w:rsidR="00A10379">
        <w:t xml:space="preserve"> </w:t>
      </w:r>
      <w:r w:rsidR="00A10379" w:rsidRPr="00CF273E">
        <w:t>CSV Act</w:t>
      </w:r>
      <w:r w:rsidR="00A10379">
        <w:t xml:space="preserve"> </w:t>
      </w:r>
      <w:r w:rsidR="00A10379" w:rsidRPr="00CF273E">
        <w:t>or any other Act.</w:t>
      </w:r>
    </w:p>
    <w:p w14:paraId="01763085" w14:textId="77777777" w:rsidR="00CF273E" w:rsidRPr="00CF273E" w:rsidRDefault="00CF273E" w:rsidP="00AC435A"/>
    <w:p w14:paraId="2E301C82" w14:textId="77777777" w:rsidR="00CF273E" w:rsidRPr="00CF273E" w:rsidRDefault="00AC435A" w:rsidP="00AC435A">
      <w:pPr>
        <w:pStyle w:val="Heading3"/>
      </w:pPr>
      <w:r w:rsidRPr="00CF273E">
        <w:t>Courts</w:t>
      </w:r>
      <w:r>
        <w:t xml:space="preserve"> </w:t>
      </w:r>
      <w:r w:rsidRPr="00CF273E">
        <w:t>Council</w:t>
      </w:r>
      <w:r>
        <w:t xml:space="preserve"> </w:t>
      </w:r>
      <w:r w:rsidRPr="00CF273E">
        <w:t>Members</w:t>
      </w:r>
    </w:p>
    <w:p w14:paraId="06C277EE" w14:textId="77777777" w:rsidR="00A10379" w:rsidRPr="00AC435A" w:rsidRDefault="00A10379" w:rsidP="00A10379">
      <w:pPr>
        <w:spacing w:after="60"/>
        <w:rPr>
          <w:b/>
        </w:rPr>
      </w:pPr>
      <w:r w:rsidRPr="00AC435A">
        <w:rPr>
          <w:b/>
        </w:rPr>
        <w:t>Chief Justice of the Supreme Court of Victoria</w:t>
      </w:r>
    </w:p>
    <w:p w14:paraId="6D7F9620" w14:textId="77777777" w:rsidR="00A10379" w:rsidRPr="00CF273E" w:rsidRDefault="00A10379" w:rsidP="00A10379">
      <w:r w:rsidRPr="00CF273E">
        <w:t>The Ho</w:t>
      </w:r>
      <w:r>
        <w:t>nourable Chie</w:t>
      </w:r>
      <w:r w:rsidRPr="00CF273E">
        <w:t>f Justice Marilyn Warren AC was first appointed as a judge of the Supreme Court of Victoria in 1998 and subsequently appointed Chief Justice of Victoria in 2003.</w:t>
      </w:r>
    </w:p>
    <w:p w14:paraId="52AF35B5" w14:textId="77777777" w:rsidR="00A10379" w:rsidRPr="00CF273E" w:rsidRDefault="00A10379" w:rsidP="00A10379"/>
    <w:p w14:paraId="1C5CF0E1" w14:textId="77777777" w:rsidR="00983F9B" w:rsidRPr="00AC435A" w:rsidRDefault="00983F9B" w:rsidP="00983F9B">
      <w:pPr>
        <w:spacing w:after="60"/>
        <w:rPr>
          <w:b/>
        </w:rPr>
      </w:pPr>
      <w:r w:rsidRPr="00AC435A">
        <w:rPr>
          <w:b/>
        </w:rPr>
        <w:t>Chief Judge of the County Court of Victoria</w:t>
      </w:r>
    </w:p>
    <w:p w14:paraId="349199DE" w14:textId="485283BA" w:rsidR="00983F9B" w:rsidRDefault="00051966" w:rsidP="00983F9B">
      <w:r w:rsidRPr="00CF273E">
        <w:t>The Ho</w:t>
      </w:r>
      <w:r>
        <w:t xml:space="preserve">nourable Justice </w:t>
      </w:r>
      <w:r w:rsidR="00983F9B">
        <w:t xml:space="preserve">Peter Kidd </w:t>
      </w:r>
      <w:r w:rsidR="00983F9B" w:rsidRPr="00CF273E">
        <w:t>was appointed Chief Judge of the County</w:t>
      </w:r>
      <w:r w:rsidR="00983F9B">
        <w:t xml:space="preserve"> </w:t>
      </w:r>
      <w:r w:rsidR="00983F9B" w:rsidRPr="00CF273E">
        <w:t>Court</w:t>
      </w:r>
      <w:r w:rsidR="00983F9B">
        <w:t xml:space="preserve"> </w:t>
      </w:r>
      <w:r w:rsidR="00983F9B" w:rsidRPr="00CF273E">
        <w:t>of Victoria i</w:t>
      </w:r>
      <w:r w:rsidR="00983F9B">
        <w:t>n September 2015.</w:t>
      </w:r>
    </w:p>
    <w:p w14:paraId="1EA7BF0E" w14:textId="77777777" w:rsidR="00051966" w:rsidRDefault="00051966" w:rsidP="00983F9B"/>
    <w:p w14:paraId="61C91F20" w14:textId="52496582" w:rsidR="00983F9B" w:rsidRDefault="00983F9B" w:rsidP="00983F9B">
      <w:r>
        <w:t>His Honour Judge Michael McInerney was the Acting Chief Judge</w:t>
      </w:r>
      <w:r w:rsidR="002160F4">
        <w:t xml:space="preserve"> prior to Chief Judge Kidd’s appointment.</w:t>
      </w:r>
    </w:p>
    <w:p w14:paraId="50C8A0FB" w14:textId="77777777" w:rsidR="00983F9B" w:rsidRPr="00CF273E" w:rsidRDefault="00983F9B" w:rsidP="00983F9B"/>
    <w:p w14:paraId="3749BB11" w14:textId="77777777" w:rsidR="00983F9B" w:rsidRPr="00AC435A" w:rsidRDefault="00983F9B" w:rsidP="00983F9B">
      <w:pPr>
        <w:spacing w:after="60"/>
        <w:rPr>
          <w:b/>
        </w:rPr>
      </w:pPr>
      <w:r w:rsidRPr="00AC435A">
        <w:rPr>
          <w:b/>
        </w:rPr>
        <w:t>Chief Magistrate of the Magistrates' Court of Victoria</w:t>
      </w:r>
    </w:p>
    <w:p w14:paraId="229A4FFF" w14:textId="74060783" w:rsidR="00983F9B" w:rsidRDefault="00983F9B" w:rsidP="00983F9B">
      <w:r w:rsidRPr="00CF273E">
        <w:t xml:space="preserve">His Honour </w:t>
      </w:r>
      <w:r w:rsidR="00051966">
        <w:t>Judge</w:t>
      </w:r>
      <w:r w:rsidRPr="00CF273E">
        <w:t xml:space="preserve"> Peter</w:t>
      </w:r>
      <w:r>
        <w:t xml:space="preserve"> </w:t>
      </w:r>
      <w:r w:rsidRPr="00CF273E">
        <w:t xml:space="preserve">Lauritsen commenced in the </w:t>
      </w:r>
      <w:r w:rsidR="00051966">
        <w:t>role</w:t>
      </w:r>
      <w:r w:rsidR="00051966" w:rsidRPr="00CF273E">
        <w:t xml:space="preserve"> </w:t>
      </w:r>
      <w:r w:rsidRPr="00CF273E">
        <w:t>of Chief Magistrate on 29 November 2012, after being</w:t>
      </w:r>
      <w:r>
        <w:t xml:space="preserve"> </w:t>
      </w:r>
      <w:r w:rsidRPr="00CF273E">
        <w:t xml:space="preserve">first appointed </w:t>
      </w:r>
      <w:r w:rsidR="002160F4">
        <w:t>as a M</w:t>
      </w:r>
      <w:r w:rsidRPr="00CF273E">
        <w:t>agistrate in 1989.</w:t>
      </w:r>
    </w:p>
    <w:p w14:paraId="14FBB4CB" w14:textId="77777777" w:rsidR="00983F9B" w:rsidRPr="00CF273E" w:rsidRDefault="00983F9B" w:rsidP="00983F9B"/>
    <w:p w14:paraId="26AC4E87" w14:textId="77777777" w:rsidR="00A10379" w:rsidRPr="00AC435A" w:rsidRDefault="00A10379" w:rsidP="00A10379">
      <w:pPr>
        <w:spacing w:after="60"/>
        <w:rPr>
          <w:b/>
        </w:rPr>
      </w:pPr>
      <w:r w:rsidRPr="00AC435A">
        <w:rPr>
          <w:b/>
        </w:rPr>
        <w:t>President, Victorian Civil and Administrative Tribunal</w:t>
      </w:r>
    </w:p>
    <w:p w14:paraId="3B4D487E" w14:textId="77777777" w:rsidR="00A10379" w:rsidRDefault="00A10379" w:rsidP="00A10379">
      <w:r w:rsidRPr="00CF273E">
        <w:t>The Honourable Justice Gregory Garde AO RFD was appointed as a judge of the Supreme Court of Victoria and</w:t>
      </w:r>
      <w:r>
        <w:t xml:space="preserve"> </w:t>
      </w:r>
      <w:r w:rsidRPr="00CF273E">
        <w:t>President of the Victorian Civil</w:t>
      </w:r>
      <w:r>
        <w:t xml:space="preserve"> </w:t>
      </w:r>
      <w:r w:rsidRPr="00CF273E">
        <w:t>and Administrative Tribunal</w:t>
      </w:r>
      <w:r>
        <w:t xml:space="preserve"> </w:t>
      </w:r>
      <w:r w:rsidRPr="00CF273E">
        <w:t>in</w:t>
      </w:r>
      <w:r>
        <w:t xml:space="preserve"> </w:t>
      </w:r>
      <w:r w:rsidRPr="00CF273E">
        <w:t>2012.</w:t>
      </w:r>
    </w:p>
    <w:p w14:paraId="1EE2CD23" w14:textId="77777777" w:rsidR="00A10379" w:rsidRPr="00CF273E" w:rsidRDefault="00A10379" w:rsidP="00A10379"/>
    <w:p w14:paraId="2092AA11" w14:textId="77777777" w:rsidR="00983F9B" w:rsidRPr="002D12CC" w:rsidRDefault="00983F9B" w:rsidP="00983F9B">
      <w:pPr>
        <w:spacing w:after="60"/>
        <w:rPr>
          <w:b/>
        </w:rPr>
      </w:pPr>
      <w:r w:rsidRPr="002D12CC">
        <w:rPr>
          <w:b/>
        </w:rPr>
        <w:t>State Coroner, Coroners Court of Victoria</w:t>
      </w:r>
    </w:p>
    <w:p w14:paraId="2A173476" w14:textId="77777777" w:rsidR="002160F4" w:rsidRDefault="00983F9B" w:rsidP="00983F9B">
      <w:r>
        <w:t xml:space="preserve">Her Honour Judge Sara Hinchey was appointed as a Judge of </w:t>
      </w:r>
      <w:r w:rsidR="002160F4">
        <w:t>the County Court in May 2015, and</w:t>
      </w:r>
      <w:r>
        <w:t xml:space="preserve"> was appointed as State Coroner on 15 December 2015.</w:t>
      </w:r>
      <w:r w:rsidR="002160F4" w:rsidRPr="002160F4">
        <w:t xml:space="preserve"> </w:t>
      </w:r>
    </w:p>
    <w:p w14:paraId="759E1DD9" w14:textId="77777777" w:rsidR="002160F4" w:rsidRDefault="002160F4" w:rsidP="00983F9B"/>
    <w:p w14:paraId="359320AC" w14:textId="31612763" w:rsidR="00983F9B" w:rsidRDefault="002160F4" w:rsidP="00983F9B">
      <w:r w:rsidRPr="00CF273E">
        <w:t xml:space="preserve">His Honour Judge </w:t>
      </w:r>
      <w:r>
        <w:t>I</w:t>
      </w:r>
      <w:r w:rsidRPr="00CF273E">
        <w:t>an Gray was</w:t>
      </w:r>
      <w:r>
        <w:t xml:space="preserve"> the State Coroner prior to Judge Hinchey’s appointment.</w:t>
      </w:r>
    </w:p>
    <w:p w14:paraId="2C76F472" w14:textId="77777777" w:rsidR="00A10379" w:rsidRPr="00CF273E" w:rsidRDefault="00A10379" w:rsidP="00A10379"/>
    <w:p w14:paraId="6A8C7EB8" w14:textId="77777777" w:rsidR="00A10379" w:rsidRPr="00AC435A" w:rsidRDefault="00A10379" w:rsidP="00A10379">
      <w:pPr>
        <w:spacing w:after="60"/>
        <w:rPr>
          <w:b/>
        </w:rPr>
      </w:pPr>
      <w:r w:rsidRPr="00AC435A">
        <w:rPr>
          <w:b/>
        </w:rPr>
        <w:t>President of the Children's Court of Victoria</w:t>
      </w:r>
    </w:p>
    <w:p w14:paraId="2AE659B9" w14:textId="4CA890BD" w:rsidR="00A10379" w:rsidRPr="00CF273E" w:rsidRDefault="00A10379" w:rsidP="00A10379">
      <w:r w:rsidRPr="00CF273E">
        <w:t>Her Honour Judge Amanda Chambers was appointed</w:t>
      </w:r>
      <w:r>
        <w:t xml:space="preserve"> </w:t>
      </w:r>
      <w:r w:rsidRPr="00CF273E">
        <w:t>a</w:t>
      </w:r>
      <w:r w:rsidR="006630C3">
        <w:t>s a</w:t>
      </w:r>
      <w:r w:rsidRPr="00CF273E">
        <w:t xml:space="preserve"> judge of the County Court of Victoria</w:t>
      </w:r>
      <w:r>
        <w:t xml:space="preserve"> </w:t>
      </w:r>
      <w:r w:rsidRPr="00CF273E">
        <w:t>and President</w:t>
      </w:r>
      <w:r>
        <w:t xml:space="preserve"> </w:t>
      </w:r>
      <w:r w:rsidRPr="00CF273E">
        <w:t xml:space="preserve">of the Children's Court of Victoria on 9 June 2015. </w:t>
      </w:r>
    </w:p>
    <w:p w14:paraId="620CD1DE" w14:textId="77777777" w:rsidR="00A10379" w:rsidRPr="00CF273E" w:rsidRDefault="00A10379" w:rsidP="00A10379"/>
    <w:p w14:paraId="1BC2F80B" w14:textId="77777777" w:rsidR="00983F9B" w:rsidRPr="00AC435A" w:rsidRDefault="00983F9B" w:rsidP="00983F9B">
      <w:pPr>
        <w:spacing w:after="120"/>
        <w:rPr>
          <w:b/>
        </w:rPr>
      </w:pPr>
      <w:r w:rsidRPr="00AC435A">
        <w:rPr>
          <w:b/>
        </w:rPr>
        <w:t>Independent Member</w:t>
      </w:r>
    </w:p>
    <w:p w14:paraId="21B26DE1" w14:textId="4308003A" w:rsidR="00983F9B" w:rsidRPr="00CF273E" w:rsidRDefault="00983F9B" w:rsidP="00983F9B">
      <w:r w:rsidRPr="00CF273E">
        <w:t>Dr Philip Williams AM heads the legal</w:t>
      </w:r>
      <w:r>
        <w:t xml:space="preserve"> </w:t>
      </w:r>
      <w:r w:rsidRPr="00CF273E">
        <w:t>and</w:t>
      </w:r>
      <w:r>
        <w:t xml:space="preserve"> </w:t>
      </w:r>
      <w:r w:rsidRPr="00CF273E">
        <w:t>competition team of Frontier Economics (Australia).</w:t>
      </w:r>
      <w:r>
        <w:t xml:space="preserve"> </w:t>
      </w:r>
      <w:r w:rsidRPr="00CF273E">
        <w:t>Dr Williams' key area of expertise is the relationship between economics and the law, and he is a co-author of the Australasian Institute of Judicial</w:t>
      </w:r>
      <w:r>
        <w:t xml:space="preserve"> </w:t>
      </w:r>
      <w:r w:rsidRPr="00CF273E">
        <w:t>Administration Rep</w:t>
      </w:r>
      <w:r w:rsidR="002160F4">
        <w:t>ort of Court Governance.</w:t>
      </w:r>
    </w:p>
    <w:p w14:paraId="575E67D1" w14:textId="77777777" w:rsidR="00A10379" w:rsidRPr="00CF273E" w:rsidRDefault="00A10379" w:rsidP="00A10379"/>
    <w:p w14:paraId="5BF2F217" w14:textId="77777777" w:rsidR="00CF273E" w:rsidRPr="000649CD" w:rsidRDefault="000649CD" w:rsidP="00165450">
      <w:pPr>
        <w:pStyle w:val="Heading3"/>
      </w:pPr>
      <w:r w:rsidRPr="000649CD">
        <w:t>Committees</w:t>
      </w:r>
    </w:p>
    <w:p w14:paraId="123E3AFE" w14:textId="77777777" w:rsidR="00A13400" w:rsidRPr="00CF273E" w:rsidRDefault="00A13400" w:rsidP="00A13400">
      <w:r w:rsidRPr="00CF273E">
        <w:t>The Courts Council</w:t>
      </w:r>
      <w:r>
        <w:t xml:space="preserve"> </w:t>
      </w:r>
      <w:r w:rsidRPr="00CF273E">
        <w:t>has established seven</w:t>
      </w:r>
      <w:r>
        <w:t xml:space="preserve"> </w:t>
      </w:r>
      <w:r w:rsidRPr="00CF273E">
        <w:t>standing committees and defined their functions and</w:t>
      </w:r>
      <w:r>
        <w:t xml:space="preserve"> </w:t>
      </w:r>
      <w:r w:rsidRPr="00CF273E">
        <w:t>procedures.</w:t>
      </w:r>
      <w:r>
        <w:t xml:space="preserve"> </w:t>
      </w:r>
      <w:r w:rsidRPr="00CF273E">
        <w:t>These committees are an important feature</w:t>
      </w:r>
      <w:r>
        <w:t xml:space="preserve"> </w:t>
      </w:r>
      <w:r w:rsidRPr="00CF273E">
        <w:t>of CSV's governance structure.</w:t>
      </w:r>
    </w:p>
    <w:p w14:paraId="7869E58E" w14:textId="77777777" w:rsidR="00A13400" w:rsidRPr="00CF273E" w:rsidRDefault="00A13400" w:rsidP="00A13400"/>
    <w:p w14:paraId="11987D23" w14:textId="1F61B5AC" w:rsidR="00A13400" w:rsidRPr="00CF273E" w:rsidRDefault="00A13400" w:rsidP="00A13400">
      <w:r w:rsidRPr="00CF273E">
        <w:t>The committees consider a range of issues pivotal</w:t>
      </w:r>
      <w:r>
        <w:t xml:space="preserve"> </w:t>
      </w:r>
      <w:r w:rsidR="002160F4">
        <w:t xml:space="preserve">to CSV's operations. Regular meetings of the </w:t>
      </w:r>
      <w:r w:rsidRPr="00CF273E">
        <w:t xml:space="preserve">Portfolio Committees </w:t>
      </w:r>
      <w:r w:rsidR="002160F4">
        <w:t xml:space="preserve">are held, </w:t>
      </w:r>
      <w:r w:rsidR="00CE257A">
        <w:t>with the exception of</w:t>
      </w:r>
      <w:r w:rsidR="002160F4">
        <w:t xml:space="preserve"> the</w:t>
      </w:r>
      <w:r w:rsidRPr="00CF273E">
        <w:t xml:space="preserve"> Executive</w:t>
      </w:r>
      <w:r>
        <w:t xml:space="preserve"> </w:t>
      </w:r>
      <w:r w:rsidRPr="00CF273E">
        <w:t xml:space="preserve">Remuneration </w:t>
      </w:r>
      <w:r w:rsidR="002160F4" w:rsidRPr="00CF273E">
        <w:t xml:space="preserve">Committee </w:t>
      </w:r>
      <w:r w:rsidR="002160F4">
        <w:t xml:space="preserve">that </w:t>
      </w:r>
      <w:r w:rsidRPr="00CF273E">
        <w:t>meets as required.</w:t>
      </w:r>
    </w:p>
    <w:p w14:paraId="44656301" w14:textId="77777777" w:rsidR="00A13400" w:rsidRPr="00CF273E" w:rsidRDefault="00A13400" w:rsidP="00A13400">
      <w:pPr>
        <w:pStyle w:val="Heading4"/>
      </w:pPr>
      <w:r>
        <w:t>Audit a</w:t>
      </w:r>
      <w:r w:rsidRPr="00CF273E">
        <w:t>nd Risk Portfolio Committee</w:t>
      </w:r>
    </w:p>
    <w:p w14:paraId="0093FD33" w14:textId="145A3A23" w:rsidR="00A13400" w:rsidRPr="00CF273E" w:rsidRDefault="00A13400" w:rsidP="00A13400">
      <w:r w:rsidRPr="00CF273E">
        <w:t>The Audit</w:t>
      </w:r>
      <w:r>
        <w:t xml:space="preserve"> </w:t>
      </w:r>
      <w:r w:rsidRPr="00CF273E">
        <w:t>and Risk Portfolio Committee acts in an advisory capacity to foster the development of an internal</w:t>
      </w:r>
      <w:r>
        <w:t xml:space="preserve"> </w:t>
      </w:r>
      <w:r w:rsidRPr="00CF273E">
        <w:t>annual</w:t>
      </w:r>
      <w:r>
        <w:t xml:space="preserve"> </w:t>
      </w:r>
      <w:r w:rsidR="00EA7BEE" w:rsidRPr="00CF273E">
        <w:t xml:space="preserve">audit </w:t>
      </w:r>
      <w:r w:rsidR="00EA7BEE">
        <w:t>program; assess</w:t>
      </w:r>
      <w:r w:rsidRPr="00CF273E">
        <w:t xml:space="preserve"> the accuracy of the financial</w:t>
      </w:r>
      <w:r>
        <w:t xml:space="preserve"> </w:t>
      </w:r>
      <w:r w:rsidR="00EA7BEE">
        <w:t>statements;</w:t>
      </w:r>
      <w:r w:rsidRPr="00CF273E">
        <w:t xml:space="preserve"> and ensure the effectiveness and efficiency of financial</w:t>
      </w:r>
      <w:r>
        <w:t xml:space="preserve"> </w:t>
      </w:r>
      <w:r w:rsidRPr="00CF273E">
        <w:t>systems and processes</w:t>
      </w:r>
      <w:r>
        <w:t xml:space="preserve"> </w:t>
      </w:r>
      <w:r w:rsidRPr="00CF273E">
        <w:t>of CSV are</w:t>
      </w:r>
      <w:r>
        <w:t xml:space="preserve"> </w:t>
      </w:r>
      <w:r w:rsidRPr="00CF273E">
        <w:t>consistent with</w:t>
      </w:r>
      <w:r>
        <w:t xml:space="preserve"> </w:t>
      </w:r>
      <w:r w:rsidRPr="00CF273E">
        <w:t xml:space="preserve">the requirements of </w:t>
      </w:r>
      <w:r w:rsidRPr="00A13400">
        <w:rPr>
          <w:i/>
        </w:rPr>
        <w:t xml:space="preserve">the Financial Management Act 1994 </w:t>
      </w:r>
      <w:r w:rsidRPr="00CF273E">
        <w:t xml:space="preserve">(Vic), the </w:t>
      </w:r>
      <w:r w:rsidRPr="00A13400">
        <w:rPr>
          <w:i/>
        </w:rPr>
        <w:t>Audit Act 1994</w:t>
      </w:r>
      <w:r w:rsidRPr="00CF273E">
        <w:t xml:space="preserve"> (Vic), and other legislation and prescribed requirements.</w:t>
      </w:r>
    </w:p>
    <w:p w14:paraId="48654D37" w14:textId="77777777" w:rsidR="00A13400" w:rsidRPr="00CF273E" w:rsidRDefault="00A13400" w:rsidP="00A13400"/>
    <w:p w14:paraId="71501FF4" w14:textId="467622C3" w:rsidR="00A13400" w:rsidRPr="00CF273E" w:rsidRDefault="00A13400" w:rsidP="00A13400">
      <w:r w:rsidRPr="00CF273E">
        <w:t>In accordance with the Financial</w:t>
      </w:r>
      <w:r>
        <w:t xml:space="preserve"> </w:t>
      </w:r>
      <w:r w:rsidRPr="00CF273E">
        <w:t xml:space="preserve">Reporting Directions under the </w:t>
      </w:r>
      <w:r w:rsidRPr="00A13400">
        <w:rPr>
          <w:i/>
        </w:rPr>
        <w:t>Financial Management Act 1994</w:t>
      </w:r>
      <w:r>
        <w:t xml:space="preserve"> (Vic)</w:t>
      </w:r>
      <w:r w:rsidRPr="00CF273E">
        <w:t>,</w:t>
      </w:r>
      <w:r>
        <w:t xml:space="preserve"> </w:t>
      </w:r>
      <w:r w:rsidR="00CE257A">
        <w:t xml:space="preserve">the </w:t>
      </w:r>
      <w:r w:rsidRPr="00CF273E">
        <w:t>memb</w:t>
      </w:r>
      <w:r>
        <w:t xml:space="preserve">ers of the committee during </w:t>
      </w:r>
      <w:r w:rsidR="00CE257A">
        <w:t xml:space="preserve">the </w:t>
      </w:r>
      <w:r>
        <w:t>2015-16</w:t>
      </w:r>
      <w:r w:rsidRPr="00CF273E">
        <w:t xml:space="preserve"> </w:t>
      </w:r>
      <w:r w:rsidR="00CE257A">
        <w:t xml:space="preserve">financial year </w:t>
      </w:r>
      <w:r w:rsidRPr="00CF273E">
        <w:t>were:</w:t>
      </w:r>
    </w:p>
    <w:p w14:paraId="29E6CB4E" w14:textId="77777777" w:rsidR="00CF273E" w:rsidRPr="00CF273E" w:rsidRDefault="00CF273E" w:rsidP="00602AD1"/>
    <w:p w14:paraId="5493E5C7" w14:textId="0B674B96" w:rsidR="00284D9C" w:rsidRDefault="00284D9C" w:rsidP="00284D9C">
      <w:pPr>
        <w:pStyle w:val="ListBullet"/>
      </w:pPr>
      <w:r>
        <w:t>Stewart Leslie</w:t>
      </w:r>
      <w:r w:rsidRPr="00760A4C">
        <w:tab/>
      </w:r>
      <w:r>
        <w:tab/>
      </w:r>
      <w:r w:rsidR="00DD1E03">
        <w:tab/>
      </w:r>
      <w:r w:rsidR="00DD1E03">
        <w:tab/>
      </w:r>
      <w:r>
        <w:t>Chair, Independent Member</w:t>
      </w:r>
    </w:p>
    <w:p w14:paraId="48E2D50A" w14:textId="1A0CB447" w:rsidR="00284D9C" w:rsidRDefault="00DD1E03" w:rsidP="00284D9C">
      <w:pPr>
        <w:pStyle w:val="ListBullet"/>
      </w:pPr>
      <w:r>
        <w:t xml:space="preserve">The Honourable </w:t>
      </w:r>
      <w:r w:rsidR="00284D9C">
        <w:t>Justice Peter Almond</w:t>
      </w:r>
      <w:r w:rsidR="00284D9C" w:rsidRPr="00760A4C">
        <w:tab/>
      </w:r>
      <w:r w:rsidR="00284D9C">
        <w:t>Supreme Court of Victoria</w:t>
      </w:r>
    </w:p>
    <w:p w14:paraId="4113C0FE" w14:textId="1DD2D20F" w:rsidR="00284D9C" w:rsidRDefault="00DD1E03" w:rsidP="00284D9C">
      <w:pPr>
        <w:pStyle w:val="ListBullet"/>
      </w:pPr>
      <w:r>
        <w:t xml:space="preserve">His Honour </w:t>
      </w:r>
      <w:r w:rsidR="00284D9C">
        <w:t>Judge Paul Lacava</w:t>
      </w:r>
      <w:r w:rsidR="00284D9C" w:rsidRPr="00760A4C">
        <w:tab/>
      </w:r>
      <w:r>
        <w:tab/>
      </w:r>
      <w:r w:rsidR="00284D9C">
        <w:t>County Court of Victoria</w:t>
      </w:r>
    </w:p>
    <w:p w14:paraId="2DDF9A61" w14:textId="62FE9116" w:rsidR="00284D9C" w:rsidRDefault="00284D9C" w:rsidP="00284D9C">
      <w:pPr>
        <w:pStyle w:val="ListBullet"/>
      </w:pPr>
      <w:r>
        <w:t>Margaret Salter</w:t>
      </w:r>
      <w:r>
        <w:tab/>
      </w:r>
      <w:r>
        <w:tab/>
      </w:r>
      <w:r w:rsidR="00DD1E03">
        <w:tab/>
      </w:r>
      <w:r w:rsidR="00DD1E03">
        <w:tab/>
      </w:r>
      <w:r>
        <w:t>Independent Member</w:t>
      </w:r>
    </w:p>
    <w:p w14:paraId="7632475D" w14:textId="33E753D7" w:rsidR="00284D9C" w:rsidRDefault="00284D9C" w:rsidP="00284D9C">
      <w:pPr>
        <w:pStyle w:val="ListBullet"/>
      </w:pPr>
      <w:r>
        <w:t>Megan Boston</w:t>
      </w:r>
      <w:r>
        <w:tab/>
      </w:r>
      <w:r>
        <w:tab/>
      </w:r>
      <w:r w:rsidR="00DD1E03">
        <w:tab/>
      </w:r>
      <w:r w:rsidR="00DD1E03">
        <w:tab/>
      </w:r>
      <w:r>
        <w:t>Independent Member</w:t>
      </w:r>
    </w:p>
    <w:p w14:paraId="613FB159" w14:textId="77777777" w:rsidR="00CF273E" w:rsidRPr="00493F0C" w:rsidRDefault="00493F0C" w:rsidP="00F00065">
      <w:pPr>
        <w:pStyle w:val="Heading4"/>
      </w:pPr>
      <w:r w:rsidRPr="00493F0C">
        <w:t>Assets</w:t>
      </w:r>
      <w:r w:rsidR="00A13400">
        <w:t xml:space="preserve"> and Security</w:t>
      </w:r>
      <w:r w:rsidRPr="00493F0C">
        <w:t xml:space="preserve"> Portfolio Committee</w:t>
      </w:r>
    </w:p>
    <w:p w14:paraId="63837BAC" w14:textId="02835557" w:rsidR="00A13400" w:rsidRPr="006A10B3" w:rsidRDefault="00A13400" w:rsidP="00F00065">
      <w:r>
        <w:t>The Assets and</w:t>
      </w:r>
      <w:r w:rsidRPr="006A10B3">
        <w:t xml:space="preserve"> Security Portfolio Committee (</w:t>
      </w:r>
      <w:r w:rsidR="00DD1E03">
        <w:t>formerly</w:t>
      </w:r>
      <w:r w:rsidR="00DD1E03" w:rsidRPr="006A10B3">
        <w:t xml:space="preserve"> </w:t>
      </w:r>
      <w:r>
        <w:t xml:space="preserve">the </w:t>
      </w:r>
      <w:r w:rsidRPr="006A10B3">
        <w:t xml:space="preserve">Accommodation </w:t>
      </w:r>
      <w:r>
        <w:t>and</w:t>
      </w:r>
      <w:r w:rsidRPr="006A10B3">
        <w:t xml:space="preserve"> Asset</w:t>
      </w:r>
      <w:r w:rsidR="00CE257A">
        <w:t>s</w:t>
      </w:r>
      <w:r w:rsidRPr="006A10B3">
        <w:t xml:space="preserve"> Portfolio Committee) provides oversight in relation to the strategic direction and management of property</w:t>
      </w:r>
      <w:r w:rsidR="00CE257A">
        <w:t>,</w:t>
      </w:r>
      <w:r w:rsidRPr="006A10B3">
        <w:t xml:space="preserve"> assets, accommodation requirements, facilities' management and capital works programs across CSV.</w:t>
      </w:r>
    </w:p>
    <w:p w14:paraId="2DCF0A9C" w14:textId="77777777" w:rsidR="00CF273E" w:rsidRPr="00CF273E" w:rsidRDefault="00493F0C" w:rsidP="00F00065">
      <w:pPr>
        <w:pStyle w:val="Heading4"/>
      </w:pPr>
      <w:r>
        <w:t>CBD</w:t>
      </w:r>
      <w:r w:rsidRPr="00CF273E">
        <w:t xml:space="preserve"> Major Assets Strategic Planning Committee</w:t>
      </w:r>
    </w:p>
    <w:p w14:paraId="7AD6C967" w14:textId="77777777" w:rsidR="00CF273E" w:rsidRPr="00CF273E" w:rsidRDefault="00CF273E" w:rsidP="00F00065">
      <w:r w:rsidRPr="00CF273E">
        <w:t>The CBD Major Assets Strategic Planning Committee provides special</w:t>
      </w:r>
      <w:r w:rsidR="001F6D68">
        <w:t xml:space="preserve"> </w:t>
      </w:r>
      <w:r w:rsidRPr="00CF273E">
        <w:t>oversight in the planning and development of a comprehensive CBD Legal</w:t>
      </w:r>
      <w:r w:rsidR="001F6D68">
        <w:t xml:space="preserve"> </w:t>
      </w:r>
      <w:r w:rsidRPr="00CF273E">
        <w:t>Precinct Asset Strategy.</w:t>
      </w:r>
    </w:p>
    <w:p w14:paraId="1CF9603E" w14:textId="77777777" w:rsidR="00CF273E" w:rsidRPr="00CF273E" w:rsidRDefault="00CF273E" w:rsidP="00F00065"/>
    <w:p w14:paraId="25EDECB0" w14:textId="77777777" w:rsidR="00A13400" w:rsidRPr="00CF273E" w:rsidRDefault="00A13400" w:rsidP="00F00065">
      <w:pPr>
        <w:pStyle w:val="Heading4"/>
      </w:pPr>
      <w:r w:rsidRPr="00CF273E">
        <w:t>Finance Portfolio Committee</w:t>
      </w:r>
    </w:p>
    <w:p w14:paraId="339DDE53" w14:textId="0BCDCC05" w:rsidR="00A13400" w:rsidRPr="00CF273E" w:rsidRDefault="00A13400" w:rsidP="00F00065">
      <w:r w:rsidRPr="00CF273E">
        <w:t>The Fi</w:t>
      </w:r>
      <w:r>
        <w:t>nance Portfolio Commit</w:t>
      </w:r>
      <w:r w:rsidRPr="00CF273E">
        <w:t>tee supports and advises the Courts</w:t>
      </w:r>
      <w:r>
        <w:t xml:space="preserve"> </w:t>
      </w:r>
      <w:r w:rsidRPr="00CF273E">
        <w:t>Council</w:t>
      </w:r>
      <w:r>
        <w:t xml:space="preserve"> </w:t>
      </w:r>
      <w:r w:rsidRPr="00CF273E">
        <w:t xml:space="preserve">in exercising its </w:t>
      </w:r>
      <w:r w:rsidR="00CE257A">
        <w:t xml:space="preserve">fiduciary </w:t>
      </w:r>
      <w:r w:rsidRPr="00CF273E">
        <w:t>authority. The committee assists</w:t>
      </w:r>
      <w:r>
        <w:t xml:space="preserve"> </w:t>
      </w:r>
      <w:r w:rsidRPr="00CF273E">
        <w:t>the Council</w:t>
      </w:r>
      <w:r>
        <w:t xml:space="preserve"> </w:t>
      </w:r>
      <w:r w:rsidRPr="00CF273E">
        <w:t>in monitoring the annual</w:t>
      </w:r>
      <w:r>
        <w:t xml:space="preserve"> </w:t>
      </w:r>
      <w:r w:rsidRPr="00CF273E">
        <w:t>budget for CSV</w:t>
      </w:r>
      <w:r w:rsidR="00CE257A">
        <w:t>;</w:t>
      </w:r>
      <w:r w:rsidRPr="00CF273E">
        <w:t xml:space="preserve"> ensuring transparency over CSV budget matters</w:t>
      </w:r>
      <w:r w:rsidR="00CE257A">
        <w:t>;</w:t>
      </w:r>
      <w:r w:rsidRPr="00CF273E">
        <w:t xml:space="preserve"> identifying budget pressures and issues requiring remediation</w:t>
      </w:r>
      <w:r w:rsidR="00CE257A">
        <w:t>;</w:t>
      </w:r>
      <w:r w:rsidRPr="00CF273E">
        <w:t xml:space="preserve"> overseeing</w:t>
      </w:r>
      <w:r>
        <w:t xml:space="preserve"> </w:t>
      </w:r>
      <w:r w:rsidRPr="00CF273E">
        <w:t>the development of</w:t>
      </w:r>
      <w:r w:rsidR="000C1459">
        <w:t xml:space="preserve"> the</w:t>
      </w:r>
      <w:r w:rsidRPr="00CF273E">
        <w:t xml:space="preserve"> Expenditure Review</w:t>
      </w:r>
      <w:r>
        <w:t xml:space="preserve"> </w:t>
      </w:r>
      <w:r w:rsidRPr="00CF273E">
        <w:t>Sub-Committee bids</w:t>
      </w:r>
      <w:r w:rsidR="00CE257A">
        <w:t>;</w:t>
      </w:r>
      <w:r w:rsidRPr="00CF273E">
        <w:t xml:space="preserve"> and the use of contingencies.</w:t>
      </w:r>
    </w:p>
    <w:p w14:paraId="4A66ED72" w14:textId="77777777" w:rsidR="00A13400" w:rsidRPr="00CF273E" w:rsidRDefault="00A13400" w:rsidP="00F00065"/>
    <w:p w14:paraId="69AFF957" w14:textId="77777777" w:rsidR="00A13400" w:rsidRDefault="00A13400" w:rsidP="00F00065">
      <w:pPr>
        <w:autoSpaceDE w:val="0"/>
        <w:autoSpaceDN w:val="0"/>
        <w:adjustRightInd w:val="0"/>
        <w:rPr>
          <w:b/>
          <w:bCs/>
          <w:i/>
          <w:iCs/>
          <w:color w:val="000000"/>
        </w:rPr>
      </w:pPr>
      <w:r>
        <w:rPr>
          <w:b/>
          <w:bCs/>
          <w:i/>
          <w:iCs/>
          <w:color w:val="000000"/>
        </w:rPr>
        <w:t>Human Resources Portfolio Committee</w:t>
      </w:r>
    </w:p>
    <w:p w14:paraId="1EFD7106" w14:textId="77777777" w:rsidR="00A13400" w:rsidRDefault="00A13400" w:rsidP="00F00065">
      <w:pPr>
        <w:autoSpaceDE w:val="0"/>
        <w:autoSpaceDN w:val="0"/>
        <w:adjustRightInd w:val="0"/>
        <w:rPr>
          <w:b/>
          <w:bCs/>
          <w:i/>
          <w:iCs/>
          <w:color w:val="000000"/>
        </w:rPr>
      </w:pPr>
    </w:p>
    <w:p w14:paraId="7BE5B4AA" w14:textId="569EBCFE" w:rsidR="00A13400" w:rsidRPr="00CF273E" w:rsidRDefault="00A13400" w:rsidP="00F00065">
      <w:r>
        <w:rPr>
          <w:color w:val="000000"/>
        </w:rPr>
        <w:t xml:space="preserve">The Human Resources Portfolio Committee provides informed advice to the Courts Council in relation to human resource matters </w:t>
      </w:r>
      <w:r w:rsidRPr="008B0B9B">
        <w:t>including policy development and review</w:t>
      </w:r>
      <w:r w:rsidR="000C1459">
        <w:t>;</w:t>
      </w:r>
      <w:r>
        <w:rPr>
          <w:color w:val="82C0FF"/>
        </w:rPr>
        <w:t xml:space="preserve"> </w:t>
      </w:r>
      <w:r>
        <w:rPr>
          <w:color w:val="000000"/>
        </w:rPr>
        <w:t>and provides comment, strategic guidance and recommendations on matters considered by the committee at its regular meetings.</w:t>
      </w:r>
    </w:p>
    <w:p w14:paraId="3650D485" w14:textId="77777777" w:rsidR="00A13400" w:rsidRPr="00CF273E" w:rsidRDefault="00A13400" w:rsidP="00F00065">
      <w:pPr>
        <w:pStyle w:val="Heading4"/>
      </w:pPr>
      <w:r w:rsidRPr="00CF273E">
        <w:t>Information Technology Portfolio Committee</w:t>
      </w:r>
    </w:p>
    <w:p w14:paraId="55F5C868" w14:textId="22C5521A" w:rsidR="00A13400" w:rsidRPr="00CF273E" w:rsidRDefault="00A13400" w:rsidP="00F00065">
      <w:r w:rsidRPr="00CF273E">
        <w:t xml:space="preserve">The Information Technology Portfolio Committee ensures </w:t>
      </w:r>
      <w:r w:rsidR="007C621B">
        <w:t>the</w:t>
      </w:r>
      <w:r w:rsidR="007C621B" w:rsidRPr="00CF273E">
        <w:t xml:space="preserve"> </w:t>
      </w:r>
      <w:r w:rsidRPr="00CF273E">
        <w:t>ongoing and future investment</w:t>
      </w:r>
      <w:r>
        <w:t xml:space="preserve"> </w:t>
      </w:r>
      <w:r w:rsidRPr="00CF273E">
        <w:t>in technology-based products and sol</w:t>
      </w:r>
      <w:r>
        <w:t>u</w:t>
      </w:r>
      <w:r w:rsidRPr="00CF273E">
        <w:t>tions are effective within</w:t>
      </w:r>
      <w:r>
        <w:t xml:space="preserve"> </w:t>
      </w:r>
      <w:r w:rsidRPr="00CF273E">
        <w:t>the respective jurisdiction or business</w:t>
      </w:r>
      <w:r>
        <w:t xml:space="preserve"> </w:t>
      </w:r>
      <w:r w:rsidRPr="00CF273E">
        <w:t>unit.</w:t>
      </w:r>
    </w:p>
    <w:p w14:paraId="511632AB" w14:textId="77777777" w:rsidR="00A13400" w:rsidRPr="00CF273E" w:rsidRDefault="00A13400" w:rsidP="00F00065">
      <w:pPr>
        <w:pStyle w:val="Heading4"/>
      </w:pPr>
      <w:r w:rsidRPr="00CF273E">
        <w:t>Executive Remuneration Committee</w:t>
      </w:r>
    </w:p>
    <w:p w14:paraId="5BA2B1BF" w14:textId="0FFF60BF" w:rsidR="00A13400" w:rsidRPr="00CF273E" w:rsidRDefault="00A13400" w:rsidP="00F00065">
      <w:r w:rsidRPr="00CF273E">
        <w:t>The Executive Remuneration Committee meets as required to consider</w:t>
      </w:r>
      <w:r>
        <w:t xml:space="preserve"> </w:t>
      </w:r>
      <w:r w:rsidRPr="00CF273E">
        <w:t>matters relat</w:t>
      </w:r>
      <w:r w:rsidR="007C621B">
        <w:t>ing</w:t>
      </w:r>
      <w:r w:rsidRPr="00CF273E">
        <w:t xml:space="preserve"> to executive remuneration, performance</w:t>
      </w:r>
      <w:r>
        <w:t xml:space="preserve"> </w:t>
      </w:r>
      <w:r w:rsidRPr="00CF273E">
        <w:t>and governance</w:t>
      </w:r>
      <w:r>
        <w:t xml:space="preserve"> </w:t>
      </w:r>
      <w:r w:rsidRPr="00CF273E">
        <w:t>for the assessment and approval</w:t>
      </w:r>
      <w:r>
        <w:t xml:space="preserve"> </w:t>
      </w:r>
      <w:r w:rsidRPr="00CF273E">
        <w:t>of executive</w:t>
      </w:r>
      <w:r>
        <w:t xml:space="preserve"> </w:t>
      </w:r>
      <w:r w:rsidRPr="00CF273E">
        <w:t>salaries, terms and conditions.</w:t>
      </w:r>
    </w:p>
    <w:p w14:paraId="40BA02E8" w14:textId="25506C37" w:rsidR="00CF273E" w:rsidRPr="00CF273E" w:rsidRDefault="008836AC" w:rsidP="00F00065">
      <w:pPr>
        <w:pStyle w:val="Heading2"/>
      </w:pPr>
      <w:bookmarkStart w:id="8" w:name="_Toc466381161"/>
      <w:r>
        <w:t>Senior Executive</w:t>
      </w:r>
      <w:bookmarkEnd w:id="8"/>
    </w:p>
    <w:p w14:paraId="3B0E44B7" w14:textId="77777777" w:rsidR="001F6D68" w:rsidRDefault="00D77866" w:rsidP="00F00065">
      <w:pPr>
        <w:pStyle w:val="Heading3"/>
      </w:pPr>
      <w:r w:rsidRPr="00CF273E">
        <w:t>Court Services</w:t>
      </w:r>
      <w:r>
        <w:t xml:space="preserve"> </w:t>
      </w:r>
      <w:r w:rsidRPr="00CF273E">
        <w:t>Victoria Chief Executive Officer</w:t>
      </w:r>
    </w:p>
    <w:p w14:paraId="6EE8123A" w14:textId="77777777" w:rsidR="00102875" w:rsidRDefault="00A13400" w:rsidP="00F00065">
      <w:r>
        <w:t>Kerry Osborne</w:t>
      </w:r>
      <w:r w:rsidRPr="00CF273E">
        <w:t xml:space="preserve"> was appointed as CSV's CEO by the Courts Council</w:t>
      </w:r>
      <w:r>
        <w:t xml:space="preserve"> </w:t>
      </w:r>
      <w:r w:rsidRPr="00CF273E">
        <w:t>under section</w:t>
      </w:r>
      <w:r>
        <w:t xml:space="preserve"> 22 of the CSV Act</w:t>
      </w:r>
      <w:r w:rsidRPr="00CF273E">
        <w:t xml:space="preserve"> </w:t>
      </w:r>
      <w:r>
        <w:t>on 16 November 2015</w:t>
      </w:r>
      <w:r w:rsidRPr="00CF273E">
        <w:t xml:space="preserve">. </w:t>
      </w:r>
    </w:p>
    <w:p w14:paraId="015D0294" w14:textId="77777777" w:rsidR="00102875" w:rsidRDefault="00102875" w:rsidP="00F00065"/>
    <w:p w14:paraId="2D6EF06E" w14:textId="4A41FD92" w:rsidR="00A13400" w:rsidRPr="00CF273E" w:rsidRDefault="00A13400" w:rsidP="00F00065">
      <w:r>
        <w:t>Michael Car</w:t>
      </w:r>
      <w:r w:rsidR="00102875">
        <w:t>roll served as Acting CEO from 6</w:t>
      </w:r>
      <w:r>
        <w:t xml:space="preserve"> </w:t>
      </w:r>
      <w:r w:rsidR="00102875">
        <w:t>August 2015 to 15 November 2015, and Alan Clayton PSM was CEO until 5 August 2015.</w:t>
      </w:r>
    </w:p>
    <w:p w14:paraId="140A7E89" w14:textId="77777777" w:rsidR="00A13400" w:rsidRPr="00CF273E" w:rsidRDefault="00A13400" w:rsidP="00F00065"/>
    <w:p w14:paraId="71A507B0" w14:textId="52809BAC" w:rsidR="00A13400" w:rsidRDefault="00A13400" w:rsidP="00F00065">
      <w:r w:rsidRPr="00CF273E">
        <w:t>The functions and powers</w:t>
      </w:r>
      <w:r>
        <w:t xml:space="preserve"> </w:t>
      </w:r>
      <w:r w:rsidRPr="00CF273E">
        <w:t>of the CEO include</w:t>
      </w:r>
      <w:r>
        <w:t xml:space="preserve"> </w:t>
      </w:r>
      <w:r w:rsidRPr="00CF273E">
        <w:t>the management of the support services</w:t>
      </w:r>
      <w:r>
        <w:t xml:space="preserve"> </w:t>
      </w:r>
      <w:r w:rsidRPr="00CF273E">
        <w:t>and functions</w:t>
      </w:r>
      <w:r>
        <w:t xml:space="preserve"> </w:t>
      </w:r>
      <w:r w:rsidRPr="00CF273E">
        <w:t>of CSV in accordance</w:t>
      </w:r>
      <w:r>
        <w:t xml:space="preserve"> </w:t>
      </w:r>
      <w:r w:rsidRPr="00CF273E">
        <w:t>with the strategy, plan, procedures and functions of the Courts Council</w:t>
      </w:r>
      <w:r>
        <w:t xml:space="preserve">. The CEO is also responsible for the appointment and </w:t>
      </w:r>
      <w:r w:rsidR="008149F2">
        <w:t>management</w:t>
      </w:r>
      <w:r>
        <w:t xml:space="preserve"> of </w:t>
      </w:r>
      <w:r w:rsidR="008149F2">
        <w:t>CSV</w:t>
      </w:r>
      <w:r>
        <w:t xml:space="preserve"> staff (other than the appointment of the Court CEO’s).</w:t>
      </w:r>
    </w:p>
    <w:p w14:paraId="6324D46F" w14:textId="77777777" w:rsidR="000649CD" w:rsidRDefault="000649CD" w:rsidP="00F00065"/>
    <w:p w14:paraId="16F69CF0" w14:textId="77777777" w:rsidR="00667844" w:rsidRPr="00CF273E" w:rsidRDefault="00667844" w:rsidP="00667844">
      <w:pPr>
        <w:pStyle w:val="Heading3"/>
      </w:pPr>
      <w:r>
        <w:t>Operational</w:t>
      </w:r>
      <w:r w:rsidRPr="00CF273E">
        <w:t xml:space="preserve"> </w:t>
      </w:r>
      <w:r w:rsidRPr="00B00528">
        <w:t>D</w:t>
      </w:r>
      <w:r>
        <w:t>ivisions</w:t>
      </w:r>
    </w:p>
    <w:p w14:paraId="0DEF6B46" w14:textId="6C3F39A9" w:rsidR="00667844" w:rsidRDefault="00667844" w:rsidP="00667844">
      <w:r w:rsidRPr="00CF273E">
        <w:t>CSV</w:t>
      </w:r>
      <w:r>
        <w:t xml:space="preserve">’s operational unit, </w:t>
      </w:r>
      <w:r w:rsidRPr="00CF273E">
        <w:t>Jurisdiction Services</w:t>
      </w:r>
      <w:r w:rsidR="00770FDC">
        <w:t xml:space="preserve"> (JS)</w:t>
      </w:r>
      <w:r>
        <w:t>, comprises</w:t>
      </w:r>
      <w:r w:rsidR="00B7142F">
        <w:t xml:space="preserve"> four d</w:t>
      </w:r>
      <w:r>
        <w:t>ivisions</w:t>
      </w:r>
      <w:r w:rsidRPr="00CF273E">
        <w:t>.</w:t>
      </w:r>
    </w:p>
    <w:p w14:paraId="52894E76" w14:textId="77777777" w:rsidR="00491E64" w:rsidRDefault="00491E64" w:rsidP="00667844"/>
    <w:p w14:paraId="0968531E" w14:textId="02495688" w:rsidR="00491E64" w:rsidRPr="00CF273E" w:rsidRDefault="00491E64" w:rsidP="00667844">
      <w:r>
        <w:t>These include:</w:t>
      </w:r>
    </w:p>
    <w:p w14:paraId="6A34DA48" w14:textId="77777777" w:rsidR="00667844" w:rsidRDefault="00667844" w:rsidP="00667844">
      <w:pPr>
        <w:pStyle w:val="ListBullet"/>
      </w:pPr>
      <w:r>
        <w:t xml:space="preserve">Corporate Services (previously </w:t>
      </w:r>
      <w:r w:rsidRPr="00CF273E">
        <w:t>People &amp; Business Services</w:t>
      </w:r>
      <w:r>
        <w:t>)</w:t>
      </w:r>
      <w:r w:rsidRPr="00CF273E">
        <w:t xml:space="preserve"> </w:t>
      </w:r>
    </w:p>
    <w:p w14:paraId="08A6E4AF" w14:textId="77777777" w:rsidR="00667844" w:rsidRDefault="00667844" w:rsidP="00667844">
      <w:pPr>
        <w:pStyle w:val="ListBullet"/>
      </w:pPr>
      <w:r w:rsidRPr="00CF273E">
        <w:t>Financial</w:t>
      </w:r>
      <w:r>
        <w:t xml:space="preserve"> </w:t>
      </w:r>
      <w:r w:rsidRPr="00CF273E">
        <w:t>Analysis, Planning</w:t>
      </w:r>
      <w:r>
        <w:t xml:space="preserve"> and</w:t>
      </w:r>
      <w:r w:rsidRPr="00CF273E">
        <w:t xml:space="preserve"> Reporting </w:t>
      </w:r>
    </w:p>
    <w:p w14:paraId="059FCFF7" w14:textId="77777777" w:rsidR="00667844" w:rsidRDefault="00667844" w:rsidP="00667844">
      <w:pPr>
        <w:pStyle w:val="ListBullet"/>
      </w:pPr>
      <w:r w:rsidRPr="00CF273E">
        <w:t>Information Technology Services</w:t>
      </w:r>
      <w:r>
        <w:t xml:space="preserve"> </w:t>
      </w:r>
    </w:p>
    <w:p w14:paraId="5EF9E7A8" w14:textId="77777777" w:rsidR="00667844" w:rsidRDefault="00667844" w:rsidP="00667844">
      <w:pPr>
        <w:pStyle w:val="ListBullet"/>
      </w:pPr>
      <w:r>
        <w:t xml:space="preserve">Assets and Security (previously </w:t>
      </w:r>
      <w:r w:rsidRPr="00CF273E">
        <w:t>Asset Planning</w:t>
      </w:r>
      <w:r>
        <w:t xml:space="preserve"> and</w:t>
      </w:r>
      <w:r w:rsidRPr="00CF273E">
        <w:t xml:space="preserve"> Management</w:t>
      </w:r>
      <w:r>
        <w:t>)</w:t>
      </w:r>
    </w:p>
    <w:p w14:paraId="34390953" w14:textId="77777777" w:rsidR="00667844" w:rsidRPr="00CF273E" w:rsidRDefault="00667844" w:rsidP="00667844"/>
    <w:p w14:paraId="0B278135" w14:textId="2290F367" w:rsidR="00667844" w:rsidRPr="00CF273E" w:rsidRDefault="00770FDC" w:rsidP="00667844">
      <w:r>
        <w:t>JS</w:t>
      </w:r>
      <w:r w:rsidR="00102875">
        <w:t xml:space="preserve"> offers a range of</w:t>
      </w:r>
      <w:r w:rsidR="00667844" w:rsidRPr="00CF273E">
        <w:t xml:space="preserve"> specialist support to jurisdictions and the College</w:t>
      </w:r>
      <w:r w:rsidR="00102875">
        <w:t>,</w:t>
      </w:r>
      <w:r w:rsidR="00667844" w:rsidRPr="00CF273E">
        <w:t xml:space="preserve"> including information technology services, human resources, project</w:t>
      </w:r>
      <w:r w:rsidR="00667844">
        <w:t xml:space="preserve"> </w:t>
      </w:r>
      <w:r w:rsidR="00667844" w:rsidRPr="00CF273E">
        <w:t>management, corporate finance, asset and facili</w:t>
      </w:r>
      <w:r w:rsidR="00D52A47">
        <w:t xml:space="preserve">ties management, </w:t>
      </w:r>
      <w:r w:rsidR="00AA416D">
        <w:t xml:space="preserve">and </w:t>
      </w:r>
      <w:r w:rsidR="00D52A47">
        <w:t>major projects</w:t>
      </w:r>
      <w:r w:rsidR="00667844" w:rsidRPr="00CF273E">
        <w:t xml:space="preserve"> and compliance.</w:t>
      </w:r>
    </w:p>
    <w:p w14:paraId="05948FBF" w14:textId="77777777" w:rsidR="00667844" w:rsidRPr="00CF273E" w:rsidRDefault="00667844" w:rsidP="00667844"/>
    <w:p w14:paraId="2F5B3C6C" w14:textId="77777777" w:rsidR="00667844" w:rsidRPr="00CF273E" w:rsidRDefault="00667844" w:rsidP="00667844">
      <w:r w:rsidRPr="00CF273E">
        <w:t>These</w:t>
      </w:r>
      <w:r>
        <w:t xml:space="preserve"> </w:t>
      </w:r>
      <w:r w:rsidRPr="00CF273E">
        <w:t>services are essential</w:t>
      </w:r>
      <w:r>
        <w:t xml:space="preserve"> </w:t>
      </w:r>
      <w:r w:rsidRPr="00CF273E">
        <w:t>to the independence</w:t>
      </w:r>
      <w:r>
        <w:t xml:space="preserve"> </w:t>
      </w:r>
      <w:r w:rsidRPr="00CF273E">
        <w:t>of CSV and create strong foundations</w:t>
      </w:r>
      <w:r>
        <w:t xml:space="preserve"> </w:t>
      </w:r>
      <w:r w:rsidRPr="00CF273E">
        <w:t>for the strengthening of judicial</w:t>
      </w:r>
      <w:r>
        <w:t xml:space="preserve"> </w:t>
      </w:r>
      <w:r w:rsidRPr="00CF273E">
        <w:t>independence in Victoria.</w:t>
      </w:r>
    </w:p>
    <w:p w14:paraId="5A29D140" w14:textId="77777777" w:rsidR="00667844" w:rsidRDefault="00667844" w:rsidP="00667844"/>
    <w:p w14:paraId="114D722C" w14:textId="33559BED" w:rsidR="00667844" w:rsidRPr="00CF273E" w:rsidRDefault="00667844" w:rsidP="00667844">
      <w:r>
        <w:t>As at 30 June 2016</w:t>
      </w:r>
      <w:r w:rsidRPr="00CF273E">
        <w:t xml:space="preserve">, the </w:t>
      </w:r>
      <w:r w:rsidR="00102875">
        <w:t>heads of each d</w:t>
      </w:r>
      <w:r>
        <w:t>ivision were:</w:t>
      </w:r>
    </w:p>
    <w:p w14:paraId="6321C75E" w14:textId="77777777" w:rsidR="00667844" w:rsidRPr="00CF273E" w:rsidRDefault="00667844" w:rsidP="00667844"/>
    <w:p w14:paraId="21EA42A2" w14:textId="77777777" w:rsidR="00FF4066" w:rsidRPr="000649CD" w:rsidRDefault="00FF4066" w:rsidP="00FF4066">
      <w:pPr>
        <w:pStyle w:val="ListBullet"/>
      </w:pPr>
      <w:r w:rsidRPr="000649CD">
        <w:t>Michael</w:t>
      </w:r>
      <w:r>
        <w:t xml:space="preserve"> </w:t>
      </w:r>
      <w:r w:rsidRPr="000649CD">
        <w:t xml:space="preserve">Carroll </w:t>
      </w:r>
      <w:r w:rsidRPr="000649CD">
        <w:tab/>
      </w:r>
      <w:r>
        <w:t>Chief Corporate Officer (see Note 1)</w:t>
      </w:r>
    </w:p>
    <w:p w14:paraId="330B0064" w14:textId="77777777" w:rsidR="00FF4066" w:rsidRPr="000649CD" w:rsidRDefault="00FF4066" w:rsidP="00FF4066">
      <w:pPr>
        <w:pStyle w:val="ListBullet"/>
      </w:pPr>
      <w:r w:rsidRPr="000649CD">
        <w:t xml:space="preserve">Lisa Wills </w:t>
      </w:r>
      <w:r w:rsidRPr="000649CD">
        <w:tab/>
      </w:r>
      <w:r>
        <w:tab/>
      </w:r>
      <w:r w:rsidRPr="000649CD">
        <w:t>Ch</w:t>
      </w:r>
      <w:r>
        <w:t>ief Finance Officer</w:t>
      </w:r>
    </w:p>
    <w:p w14:paraId="481AD75E" w14:textId="77777777" w:rsidR="00FF4066" w:rsidRPr="000649CD" w:rsidRDefault="00FF4066" w:rsidP="00FF4066">
      <w:pPr>
        <w:pStyle w:val="ListBullet"/>
      </w:pPr>
      <w:r>
        <w:t>Justin Bree</w:t>
      </w:r>
      <w:r w:rsidRPr="000649CD">
        <w:tab/>
        <w:t>Chief Information Officer</w:t>
      </w:r>
      <w:r>
        <w:t xml:space="preserve"> (see Note 2)</w:t>
      </w:r>
    </w:p>
    <w:p w14:paraId="48C4FF39" w14:textId="77777777" w:rsidR="00FF4066" w:rsidRPr="000649CD" w:rsidRDefault="00FF4066" w:rsidP="00FF4066">
      <w:pPr>
        <w:pStyle w:val="ListBullet"/>
      </w:pPr>
      <w:r w:rsidRPr="000649CD">
        <w:t xml:space="preserve">Brian Stevenson </w:t>
      </w:r>
      <w:r w:rsidRPr="000649CD">
        <w:tab/>
      </w:r>
      <w:r>
        <w:t>Chief Operating Officer</w:t>
      </w:r>
    </w:p>
    <w:p w14:paraId="488011E3" w14:textId="764B9BC6" w:rsidR="00667844" w:rsidRPr="00CF273E" w:rsidRDefault="00102875" w:rsidP="00A327FF">
      <w:pPr>
        <w:pStyle w:val="Notesheading"/>
      </w:pPr>
      <w:r>
        <w:t>Notes:</w:t>
      </w:r>
    </w:p>
    <w:p w14:paraId="743B05AE" w14:textId="59B523E2" w:rsidR="00667844" w:rsidRDefault="00A0469A" w:rsidP="00A327FF">
      <w:pPr>
        <w:pStyle w:val="Notes"/>
      </w:pPr>
      <w:r w:rsidRPr="00A0469A">
        <w:t>1.</w:t>
      </w:r>
      <w:r>
        <w:tab/>
      </w:r>
      <w:r w:rsidR="00667844">
        <w:t>Michael Carroll was Acting Ch</w:t>
      </w:r>
      <w:r w:rsidR="00D52A47">
        <w:t>ief Executive Officer from 6</w:t>
      </w:r>
      <w:r w:rsidR="00667844">
        <w:t xml:space="preserve"> August 2015 to 15 November 2015</w:t>
      </w:r>
      <w:r>
        <w:t>.</w:t>
      </w:r>
    </w:p>
    <w:p w14:paraId="1755EAB6" w14:textId="77777777" w:rsidR="00A0469A" w:rsidRDefault="00A0469A" w:rsidP="00A327FF">
      <w:pPr>
        <w:pStyle w:val="Notes"/>
      </w:pPr>
    </w:p>
    <w:p w14:paraId="5619FD64" w14:textId="7619D2EF" w:rsidR="00667844" w:rsidRDefault="00667844" w:rsidP="00A327FF">
      <w:pPr>
        <w:pStyle w:val="Notes"/>
      </w:pPr>
      <w:r w:rsidRPr="00455179">
        <w:t xml:space="preserve">2. </w:t>
      </w:r>
      <w:r w:rsidRPr="00455179">
        <w:tab/>
      </w:r>
      <w:r w:rsidR="00A803C6">
        <w:t xml:space="preserve">Krist Davood was </w:t>
      </w:r>
      <w:r w:rsidR="00A803C6" w:rsidRPr="000649CD">
        <w:t>Chief Information Officer</w:t>
      </w:r>
      <w:r w:rsidR="00A803C6">
        <w:t xml:space="preserve"> until 9 July 2015, </w:t>
      </w:r>
      <w:r w:rsidRPr="00171DA0">
        <w:t>Glen McLean</w:t>
      </w:r>
      <w:r>
        <w:t xml:space="preserve"> was </w:t>
      </w:r>
      <w:r w:rsidRPr="00171DA0">
        <w:t xml:space="preserve">Interim </w:t>
      </w:r>
      <w:r w:rsidRPr="000649CD">
        <w:t>Chief Information Officer</w:t>
      </w:r>
      <w:r w:rsidRPr="00171DA0">
        <w:t xml:space="preserve"> </w:t>
      </w:r>
      <w:r>
        <w:t xml:space="preserve">from </w:t>
      </w:r>
      <w:r w:rsidRPr="00171DA0">
        <w:t xml:space="preserve">10 July 2015 to 4 December 2015, and Sharon Butchard, </w:t>
      </w:r>
      <w:r w:rsidR="005E0586">
        <w:t xml:space="preserve">was </w:t>
      </w:r>
      <w:r w:rsidRPr="00171DA0">
        <w:t xml:space="preserve">Acting </w:t>
      </w:r>
      <w:r w:rsidRPr="000649CD">
        <w:t>Chief Information Officer</w:t>
      </w:r>
      <w:r w:rsidRPr="00171DA0">
        <w:t xml:space="preserve"> </w:t>
      </w:r>
      <w:r>
        <w:t>from</w:t>
      </w:r>
      <w:r w:rsidRPr="00171DA0">
        <w:t xml:space="preserve"> 5 December 2015 to 23 March 2016.</w:t>
      </w:r>
      <w:r>
        <w:t xml:space="preserve"> Justin Bree commenced in the role of Chief Information Officer on 24 March 2016.</w:t>
      </w:r>
    </w:p>
    <w:p w14:paraId="3E1AC4CA" w14:textId="77777777" w:rsidR="00667844" w:rsidRPr="00CF273E" w:rsidRDefault="00667844" w:rsidP="00F00065"/>
    <w:p w14:paraId="23FC3C98" w14:textId="291B1DFE" w:rsidR="00686226" w:rsidRPr="00CF273E" w:rsidRDefault="00624F0D" w:rsidP="00F00065">
      <w:pPr>
        <w:pStyle w:val="Heading3"/>
      </w:pPr>
      <w:r>
        <w:t xml:space="preserve">Jurisdiction </w:t>
      </w:r>
      <w:r w:rsidR="00686226" w:rsidRPr="00CF273E">
        <w:t>Chief</w:t>
      </w:r>
      <w:r w:rsidR="00686226">
        <w:t xml:space="preserve"> </w:t>
      </w:r>
      <w:r w:rsidR="00686226" w:rsidRPr="00CF273E">
        <w:t>Executive Officers</w:t>
      </w:r>
    </w:p>
    <w:p w14:paraId="1EAD6A70" w14:textId="71188CE4" w:rsidR="00686226" w:rsidRPr="00CF273E" w:rsidRDefault="00686226" w:rsidP="00F00065">
      <w:r w:rsidRPr="00CF273E">
        <w:t>The functions</w:t>
      </w:r>
      <w:r>
        <w:t xml:space="preserve"> </w:t>
      </w:r>
      <w:r w:rsidRPr="00CF273E">
        <w:t xml:space="preserve">of the </w:t>
      </w:r>
      <w:r w:rsidR="00A803C6">
        <w:t xml:space="preserve">jurisdiction </w:t>
      </w:r>
      <w:r w:rsidRPr="00CF273E">
        <w:t>CEOs include the management and provision of administrative support</w:t>
      </w:r>
      <w:r>
        <w:t xml:space="preserve"> </w:t>
      </w:r>
      <w:r w:rsidRPr="00CF273E">
        <w:t>services</w:t>
      </w:r>
      <w:r>
        <w:t xml:space="preserve"> </w:t>
      </w:r>
      <w:r w:rsidRPr="00CF273E">
        <w:t>for</w:t>
      </w:r>
      <w:r>
        <w:t xml:space="preserve"> </w:t>
      </w:r>
      <w:r w:rsidRPr="00CF273E">
        <w:t>their</w:t>
      </w:r>
      <w:r>
        <w:t xml:space="preserve"> </w:t>
      </w:r>
      <w:r w:rsidRPr="00CF273E">
        <w:t>respective</w:t>
      </w:r>
      <w:r>
        <w:t xml:space="preserve"> </w:t>
      </w:r>
      <w:r w:rsidRPr="00CF273E">
        <w:t>jurisdictions</w:t>
      </w:r>
      <w:r>
        <w:t>, and providing support to the relative head of jurisdiction.</w:t>
      </w:r>
    </w:p>
    <w:p w14:paraId="7DD90EA5" w14:textId="77777777" w:rsidR="00686226" w:rsidRPr="00CF273E" w:rsidRDefault="00686226" w:rsidP="00F00065"/>
    <w:p w14:paraId="0B13C67B" w14:textId="55E2060E" w:rsidR="00686226" w:rsidRDefault="00686226" w:rsidP="00F00065">
      <w:r w:rsidRPr="00CF273E">
        <w:t>In performing their</w:t>
      </w:r>
      <w:r>
        <w:t xml:space="preserve"> </w:t>
      </w:r>
      <w:r w:rsidRPr="00CF273E">
        <w:t xml:space="preserve">functions, each </w:t>
      </w:r>
      <w:r w:rsidR="00A803C6">
        <w:t>jurisdiction</w:t>
      </w:r>
      <w:r>
        <w:t xml:space="preserve"> </w:t>
      </w:r>
      <w:r w:rsidRPr="00CF273E">
        <w:t>CEO is responsible to</w:t>
      </w:r>
      <w:r w:rsidR="005C4439">
        <w:t>,</w:t>
      </w:r>
      <w:r w:rsidRPr="00CF273E">
        <w:t xml:space="preserve"> and must</w:t>
      </w:r>
      <w:r>
        <w:t xml:space="preserve"> </w:t>
      </w:r>
      <w:r w:rsidRPr="00CF273E">
        <w:t>comply with</w:t>
      </w:r>
      <w:r w:rsidR="005C4439">
        <w:t>,</w:t>
      </w:r>
      <w:r w:rsidRPr="00CF273E">
        <w:t xml:space="preserve"> any directions given by their</w:t>
      </w:r>
      <w:r>
        <w:t xml:space="preserve"> </w:t>
      </w:r>
      <w:r w:rsidRPr="00CF273E">
        <w:t>Head of Jurisdiction</w:t>
      </w:r>
      <w:r>
        <w:t xml:space="preserve"> </w:t>
      </w:r>
      <w:r w:rsidRPr="00CF273E">
        <w:t>in relation to the operations of their jurisdiction,</w:t>
      </w:r>
      <w:r w:rsidRPr="005B77AA">
        <w:t xml:space="preserve"> </w:t>
      </w:r>
      <w:r w:rsidRPr="00CF273E">
        <w:t>and the CSV CEO in relation to all other matters</w:t>
      </w:r>
      <w:r>
        <w:t>.</w:t>
      </w:r>
      <w:r w:rsidR="00CC3B82">
        <w:t xml:space="preserve"> For more information about each jurisdi</w:t>
      </w:r>
      <w:r w:rsidR="00893954">
        <w:t xml:space="preserve">ction, refer to their </w:t>
      </w:r>
      <w:r w:rsidR="00ED7712">
        <w:t xml:space="preserve">respective </w:t>
      </w:r>
      <w:r w:rsidR="00893954">
        <w:t>annual r</w:t>
      </w:r>
      <w:r w:rsidR="00CC3B82">
        <w:t>eports.</w:t>
      </w:r>
    </w:p>
    <w:p w14:paraId="10B21DF3" w14:textId="77777777" w:rsidR="00686226" w:rsidRDefault="00686226" w:rsidP="00F00065"/>
    <w:p w14:paraId="1C33AEC6" w14:textId="2B4C5ABB" w:rsidR="00686226" w:rsidRPr="00CF273E" w:rsidRDefault="00686226" w:rsidP="00F00065">
      <w:r w:rsidRPr="00CF273E">
        <w:t>The CEO of the College is responsible to</w:t>
      </w:r>
      <w:r w:rsidR="005C4439">
        <w:t>,</w:t>
      </w:r>
      <w:r w:rsidRPr="00CF273E">
        <w:t xml:space="preserve"> and</w:t>
      </w:r>
      <w:r>
        <w:t xml:space="preserve"> </w:t>
      </w:r>
      <w:r w:rsidRPr="00CF273E">
        <w:t>must comply with</w:t>
      </w:r>
      <w:r w:rsidR="005C4439">
        <w:t>,</w:t>
      </w:r>
      <w:r w:rsidRPr="00CF273E">
        <w:t xml:space="preserve"> any directions given by the</w:t>
      </w:r>
      <w:r w:rsidRPr="005B77AA">
        <w:t xml:space="preserve"> </w:t>
      </w:r>
      <w:r w:rsidRPr="00CF273E">
        <w:t>Board of the College</w:t>
      </w:r>
      <w:r>
        <w:t xml:space="preserve"> </w:t>
      </w:r>
      <w:r w:rsidRPr="00CF273E">
        <w:t>in relation to the operation of the College, and the CSV CEO in relation to all other matters. For</w:t>
      </w:r>
      <w:r>
        <w:t xml:space="preserve"> </w:t>
      </w:r>
      <w:r w:rsidRPr="00CF273E">
        <w:t>more information about the College, refer</w:t>
      </w:r>
      <w:r>
        <w:t xml:space="preserve"> </w:t>
      </w:r>
      <w:r w:rsidRPr="00CF273E">
        <w:t>to the Judicial College of Victoria Annual</w:t>
      </w:r>
      <w:r>
        <w:t xml:space="preserve"> </w:t>
      </w:r>
      <w:r w:rsidRPr="00CF273E">
        <w:t>Report.</w:t>
      </w:r>
    </w:p>
    <w:p w14:paraId="05C49DF3" w14:textId="77777777" w:rsidR="00686226" w:rsidRPr="00CF273E" w:rsidRDefault="00686226" w:rsidP="00F00065"/>
    <w:p w14:paraId="62EC39B5" w14:textId="77777777" w:rsidR="00686226" w:rsidRPr="00CF273E" w:rsidRDefault="00686226" w:rsidP="00F00065">
      <w:r w:rsidRPr="00CF273E">
        <w:t>The CEOs for the reporting period were:</w:t>
      </w:r>
    </w:p>
    <w:p w14:paraId="1B6ECB11" w14:textId="77777777" w:rsidR="00686226" w:rsidRPr="00CF273E" w:rsidRDefault="00686226" w:rsidP="00F00065"/>
    <w:p w14:paraId="04711DC0" w14:textId="77777777" w:rsidR="00686226" w:rsidRPr="00CF273E" w:rsidRDefault="00686226" w:rsidP="00F00065">
      <w:pPr>
        <w:pStyle w:val="ListBullet"/>
      </w:pPr>
      <w:r>
        <w:t>Louise Anderson,</w:t>
      </w:r>
      <w:r w:rsidRPr="00CF273E">
        <w:t xml:space="preserve"> Supreme Court of Victoria</w:t>
      </w:r>
      <w:r>
        <w:t xml:space="preserve"> </w:t>
      </w:r>
    </w:p>
    <w:p w14:paraId="028F08AC" w14:textId="77777777" w:rsidR="00686226" w:rsidRPr="00CF273E" w:rsidRDefault="00686226" w:rsidP="00F00065">
      <w:pPr>
        <w:pStyle w:val="ListBullet"/>
      </w:pPr>
      <w:r w:rsidRPr="00CF273E">
        <w:t>Fiona Chamberlain, County Court</w:t>
      </w:r>
      <w:r>
        <w:t xml:space="preserve"> </w:t>
      </w:r>
      <w:r w:rsidRPr="00CF273E">
        <w:t>of Victoria</w:t>
      </w:r>
    </w:p>
    <w:p w14:paraId="444C719F" w14:textId="77777777" w:rsidR="00686226" w:rsidRPr="00CF273E" w:rsidRDefault="00686226" w:rsidP="00F00065">
      <w:pPr>
        <w:pStyle w:val="ListBullet"/>
      </w:pPr>
      <w:r w:rsidRPr="00CF273E">
        <w:t>Andrew Tenni, Magistrates' Court</w:t>
      </w:r>
      <w:r>
        <w:t xml:space="preserve"> </w:t>
      </w:r>
      <w:r w:rsidRPr="00CF273E">
        <w:t>of Victoria</w:t>
      </w:r>
    </w:p>
    <w:p w14:paraId="43AFB103" w14:textId="77777777" w:rsidR="00686226" w:rsidRPr="00CF273E" w:rsidRDefault="00686226" w:rsidP="00F00065">
      <w:pPr>
        <w:pStyle w:val="ListBullet"/>
      </w:pPr>
      <w:r w:rsidRPr="00CF273E">
        <w:t>Keryn Negri, Victorian Civil</w:t>
      </w:r>
      <w:r>
        <w:t xml:space="preserve"> </w:t>
      </w:r>
      <w:r w:rsidRPr="00CF273E">
        <w:t>and</w:t>
      </w:r>
      <w:r>
        <w:t xml:space="preserve"> </w:t>
      </w:r>
      <w:r w:rsidRPr="00CF273E">
        <w:t>Administrative Tribunal</w:t>
      </w:r>
    </w:p>
    <w:p w14:paraId="46269F2C" w14:textId="77777777" w:rsidR="00686226" w:rsidRPr="00CF273E" w:rsidRDefault="00686226" w:rsidP="00F00065">
      <w:pPr>
        <w:pStyle w:val="ListBullet"/>
      </w:pPr>
      <w:r w:rsidRPr="00CF273E">
        <w:t>Simon McDonald, Children's Court of Victoria</w:t>
      </w:r>
    </w:p>
    <w:p w14:paraId="52B54814" w14:textId="77777777" w:rsidR="00686226" w:rsidRPr="00CF273E" w:rsidRDefault="00686226" w:rsidP="00F00065">
      <w:pPr>
        <w:pStyle w:val="ListBullet"/>
      </w:pPr>
      <w:r w:rsidRPr="00CF273E">
        <w:t>Samantha Hauge, Coroners Court of Victoria</w:t>
      </w:r>
    </w:p>
    <w:p w14:paraId="0F9B1317" w14:textId="77777777" w:rsidR="00686226" w:rsidRDefault="00686226" w:rsidP="00F00065">
      <w:pPr>
        <w:pStyle w:val="ListBullet"/>
      </w:pPr>
      <w:r w:rsidRPr="00CF273E">
        <w:t>Samantha Burchell, Judicial</w:t>
      </w:r>
      <w:r>
        <w:t xml:space="preserve"> </w:t>
      </w:r>
      <w:r w:rsidRPr="00CF273E">
        <w:t>College of Victoria</w:t>
      </w:r>
    </w:p>
    <w:p w14:paraId="4B381B71" w14:textId="77777777" w:rsidR="0082089A" w:rsidRPr="00CF273E" w:rsidRDefault="0082089A" w:rsidP="0082089A"/>
    <w:p w14:paraId="42819FD5" w14:textId="77777777" w:rsidR="00CF273E" w:rsidRPr="009A165F" w:rsidRDefault="00A51426" w:rsidP="0026354F">
      <w:pPr>
        <w:pStyle w:val="Heading1"/>
      </w:pPr>
      <w:r>
        <w:br w:type="page"/>
      </w:r>
      <w:bookmarkStart w:id="9" w:name="_Toc466381162"/>
      <w:r w:rsidR="00CF273E" w:rsidRPr="009A165F">
        <w:t>SECTION</w:t>
      </w:r>
      <w:r w:rsidR="002F0F12" w:rsidRPr="009A165F">
        <w:t xml:space="preserve"> </w:t>
      </w:r>
      <w:r w:rsidR="00CF273E" w:rsidRPr="009A165F">
        <w:t>2:</w:t>
      </w:r>
      <w:r w:rsidR="00D50277" w:rsidRPr="009A165F">
        <w:t xml:space="preserve"> </w:t>
      </w:r>
      <w:r w:rsidR="00CF273E" w:rsidRPr="009A165F">
        <w:t>YEAR</w:t>
      </w:r>
      <w:r w:rsidR="00D50277" w:rsidRPr="009A165F">
        <w:t xml:space="preserve"> </w:t>
      </w:r>
      <w:r w:rsidR="00CF273E" w:rsidRPr="009A165F">
        <w:t>IN REVIEW</w:t>
      </w:r>
      <w:bookmarkEnd w:id="9"/>
    </w:p>
    <w:p w14:paraId="04B106CF" w14:textId="77777777" w:rsidR="006E0EA5" w:rsidRPr="004079F1" w:rsidRDefault="0014299E" w:rsidP="00AB5679">
      <w:bookmarkStart w:id="10" w:name="_Toc330816339"/>
      <w:r w:rsidRPr="004079F1">
        <w:t>Jurisdiction Services (JS) provides administrative support and expertise to Victoria’s courts and tribunals to meet their operational needs, and CSV’s statutory obligations.</w:t>
      </w:r>
    </w:p>
    <w:p w14:paraId="013DFE08" w14:textId="165EE19F" w:rsidR="0014299E" w:rsidRPr="004079F1" w:rsidRDefault="0014299E" w:rsidP="00AB5679">
      <w:r w:rsidRPr="004079F1">
        <w:t xml:space="preserve"> </w:t>
      </w:r>
    </w:p>
    <w:p w14:paraId="098865AB" w14:textId="50B11767" w:rsidR="00B468D7" w:rsidRPr="004079F1" w:rsidRDefault="00B468D7" w:rsidP="00AB5679">
      <w:r w:rsidRPr="004079F1">
        <w:t>During 2015-16, the JS Divisional structure was altered with the aim of refining services and capability to better align with the needs of the jurisdictions and the College.</w:t>
      </w:r>
    </w:p>
    <w:p w14:paraId="34DBB2CB" w14:textId="77777777" w:rsidR="00B468D7" w:rsidRPr="004079F1" w:rsidRDefault="00B468D7" w:rsidP="00AB5679"/>
    <w:p w14:paraId="45C247DA" w14:textId="77777777" w:rsidR="0014299E" w:rsidRPr="004079F1" w:rsidRDefault="0014299E" w:rsidP="00AB5679">
      <w:r w:rsidRPr="004079F1">
        <w:t>The key achievements of each Division are outlined in this section.</w:t>
      </w:r>
    </w:p>
    <w:p w14:paraId="494B5474" w14:textId="77777777" w:rsidR="0014299E" w:rsidRPr="00CF273E" w:rsidRDefault="0014299E" w:rsidP="00AB5679">
      <w:pPr>
        <w:pStyle w:val="Heading2"/>
      </w:pPr>
      <w:bookmarkStart w:id="11" w:name="_Toc466381163"/>
      <w:r>
        <w:t>Corporate Services</w:t>
      </w:r>
      <w:bookmarkEnd w:id="10"/>
      <w:r>
        <w:t xml:space="preserve"> Division</w:t>
      </w:r>
      <w:bookmarkEnd w:id="11"/>
    </w:p>
    <w:p w14:paraId="2F80F4D9" w14:textId="13CAD629" w:rsidR="0014299E" w:rsidRDefault="0014299E" w:rsidP="00AB5679">
      <w:r>
        <w:t>The Corporate Services Division encompasses key business areas that support the operation of the jurisdictions and the college, as well as the promoting the ongoing sustainability of the CSV entity. The Division is led by the Chief Corporate Officer, Michael Carroll.</w:t>
      </w:r>
    </w:p>
    <w:p w14:paraId="530504F6" w14:textId="77777777" w:rsidR="002974B6" w:rsidRDefault="00A51426" w:rsidP="002974B6">
      <w:pPr>
        <w:pStyle w:val="Heading4"/>
      </w:pPr>
      <w:r>
        <w:t>Court Services Victoria Project Management Framework</w:t>
      </w:r>
    </w:p>
    <w:p w14:paraId="3F3A7F02" w14:textId="61ED0A7F" w:rsidR="00A51426" w:rsidRDefault="002974B6" w:rsidP="00A51426">
      <w:r w:rsidRPr="002974B6">
        <w:t xml:space="preserve">A </w:t>
      </w:r>
      <w:r w:rsidR="00A51426" w:rsidRPr="002974B6">
        <w:t>project</w:t>
      </w:r>
      <w:r w:rsidR="00A51426">
        <w:t xml:space="preserve"> management framework </w:t>
      </w:r>
      <w:r>
        <w:t>was</w:t>
      </w:r>
      <w:r w:rsidR="00A51426">
        <w:t xml:space="preserve"> developed to provide the support structure for the promotion and application of best practice project management and </w:t>
      </w:r>
      <w:r w:rsidR="00C551B7">
        <w:t xml:space="preserve">delivery. </w:t>
      </w:r>
      <w:r w:rsidR="00A51426">
        <w:t>The framework support</w:t>
      </w:r>
      <w:r w:rsidR="00C551B7">
        <w:t>s the</w:t>
      </w:r>
      <w:r w:rsidR="00A51426">
        <w:t xml:space="preserve"> </w:t>
      </w:r>
      <w:r w:rsidR="00500DD9">
        <w:t xml:space="preserve">enhancement of </w:t>
      </w:r>
      <w:r w:rsidR="00A51426">
        <w:t xml:space="preserve">staff project management capability and </w:t>
      </w:r>
      <w:r w:rsidR="00C551B7">
        <w:t>provides a</w:t>
      </w:r>
      <w:r w:rsidR="00A51426">
        <w:t xml:space="preserve"> ‘toolshed’ </w:t>
      </w:r>
      <w:r w:rsidR="00CE19E2">
        <w:t>that</w:t>
      </w:r>
      <w:r w:rsidR="00A51426">
        <w:t xml:space="preserve"> </w:t>
      </w:r>
      <w:r>
        <w:t>includes</w:t>
      </w:r>
      <w:r w:rsidR="00A51426">
        <w:t xml:space="preserve"> documents and tem</w:t>
      </w:r>
      <w:r w:rsidR="00CE19E2">
        <w:t>plates to support best practice</w:t>
      </w:r>
      <w:r>
        <w:t>.</w:t>
      </w:r>
      <w:r w:rsidR="00A51426">
        <w:t xml:space="preserve"> The framework has been supported through a new monthly reporting </w:t>
      </w:r>
      <w:r w:rsidR="00500DD9">
        <w:t>process that</w:t>
      </w:r>
      <w:r w:rsidR="00A51426">
        <w:t xml:space="preserve"> drives accountability for the deliver</w:t>
      </w:r>
      <w:r w:rsidR="00500DD9">
        <w:t xml:space="preserve">y of major entity initiatives. </w:t>
      </w:r>
      <w:r w:rsidR="00A51426">
        <w:t xml:space="preserve">Training and support activities have been provided to </w:t>
      </w:r>
      <w:r w:rsidR="00C551B7">
        <w:t>all staff</w:t>
      </w:r>
      <w:r w:rsidR="00A51426">
        <w:t xml:space="preserve">. </w:t>
      </w:r>
    </w:p>
    <w:p w14:paraId="422748F8" w14:textId="77777777" w:rsidR="002974B6" w:rsidRDefault="00A51426" w:rsidP="002974B6">
      <w:pPr>
        <w:pStyle w:val="Heading4"/>
      </w:pPr>
      <w:r w:rsidRPr="00321D9D">
        <w:t>Vesting Orders</w:t>
      </w:r>
    </w:p>
    <w:p w14:paraId="78272962" w14:textId="3BE73F4D" w:rsidR="00A51426" w:rsidRDefault="00A51426" w:rsidP="00A51426">
      <w:r>
        <w:t>Vesting Orders were made to allow t</w:t>
      </w:r>
      <w:r w:rsidRPr="00194476">
        <w:t>he vesting of 43 court premises in CSV and the subdivision and vesting of a further 12 court related allotments so that all but a handful of court related premises have been vested in CSV</w:t>
      </w:r>
      <w:r w:rsidR="00A4326A">
        <w:t xml:space="preserve">. CSV </w:t>
      </w:r>
      <w:r w:rsidRPr="00194476">
        <w:t>has become the Committee of Management with respect to each of those properties.</w:t>
      </w:r>
    </w:p>
    <w:p w14:paraId="116B85E5" w14:textId="216150C4" w:rsidR="00500DD9" w:rsidRDefault="00A51426" w:rsidP="00500DD9">
      <w:pPr>
        <w:pStyle w:val="Heading4"/>
      </w:pPr>
      <w:r w:rsidRPr="00246EFE">
        <w:t xml:space="preserve">CSV Governance Statement </w:t>
      </w:r>
      <w:r w:rsidR="003A50C3">
        <w:t>and</w:t>
      </w:r>
      <w:r w:rsidRPr="00246EFE">
        <w:t xml:space="preserve"> Handbook</w:t>
      </w:r>
    </w:p>
    <w:p w14:paraId="64FC6E3E" w14:textId="14BABE58" w:rsidR="00A51426" w:rsidRDefault="00500DD9" w:rsidP="00A51426">
      <w:pPr>
        <w:rPr>
          <w:rFonts w:ascii="Verdana" w:hAnsi="Verdana" w:cs="Verdana"/>
          <w:color w:val="4F4F4F"/>
          <w:sz w:val="20"/>
          <w:szCs w:val="20"/>
        </w:rPr>
      </w:pPr>
      <w:r w:rsidRPr="00500DD9">
        <w:t xml:space="preserve">A </w:t>
      </w:r>
      <w:r w:rsidR="00A51426">
        <w:t>G</w:t>
      </w:r>
      <w:r w:rsidR="00A51426" w:rsidRPr="00194476">
        <w:t xml:space="preserve">overnance Statement and </w:t>
      </w:r>
      <w:r w:rsidR="00ED7712">
        <w:t xml:space="preserve">a </w:t>
      </w:r>
      <w:r w:rsidR="00A51426" w:rsidRPr="00194476">
        <w:t>Governance Handbook for CSV</w:t>
      </w:r>
      <w:r w:rsidR="00A51426">
        <w:t xml:space="preserve"> have been developed</w:t>
      </w:r>
      <w:r w:rsidR="00A51426" w:rsidRPr="00194476">
        <w:t xml:space="preserve">. These documents </w:t>
      </w:r>
      <w:r w:rsidR="00A51426">
        <w:t xml:space="preserve">support </w:t>
      </w:r>
      <w:r w:rsidR="00A51426" w:rsidRPr="00194476">
        <w:t xml:space="preserve">CSV and the Courts Council, as the governing body of CSV, to clearly identify the governance framework in which CSV operates to achieve its objectives and maximise the performance of its statutory function, while ensuring compliance with its legal obligations and associated requirements </w:t>
      </w:r>
      <w:r w:rsidR="00ED7712">
        <w:t>(</w:t>
      </w:r>
      <w:r w:rsidR="00A51426" w:rsidRPr="00194476">
        <w:t>including accountability and risk management</w:t>
      </w:r>
      <w:r w:rsidR="00ED7712">
        <w:t>)</w:t>
      </w:r>
      <w:r w:rsidR="00A51426" w:rsidRPr="00194476">
        <w:t>.</w:t>
      </w:r>
      <w:r w:rsidR="00A51426">
        <w:rPr>
          <w:rFonts w:ascii="Verdana" w:hAnsi="Verdana" w:cs="Verdana"/>
          <w:color w:val="4F4F4F"/>
          <w:sz w:val="20"/>
          <w:szCs w:val="20"/>
        </w:rPr>
        <w:t xml:space="preserve"> </w:t>
      </w:r>
    </w:p>
    <w:p w14:paraId="431E2860" w14:textId="77777777" w:rsidR="00500DD9" w:rsidRDefault="00A51426" w:rsidP="00500DD9">
      <w:pPr>
        <w:pStyle w:val="Heading4"/>
      </w:pPr>
      <w:r>
        <w:t xml:space="preserve">Koori Inclusion Action Plan (KIAP) and </w:t>
      </w:r>
      <w:r w:rsidRPr="000363BB">
        <w:t>Koori Employment Strategy</w:t>
      </w:r>
    </w:p>
    <w:p w14:paraId="76FFBB45" w14:textId="54AAECC9" w:rsidR="00A51426" w:rsidRDefault="00A51426" w:rsidP="00A51426">
      <w:r>
        <w:t xml:space="preserve">There has been ongoing evolution with each jurisdiction’s KIAP. This process has been guided by the CSV KIAP </w:t>
      </w:r>
      <w:r w:rsidR="001615E1">
        <w:t>S</w:t>
      </w:r>
      <w:r>
        <w:t xml:space="preserve">teering </w:t>
      </w:r>
      <w:r w:rsidR="001615E1">
        <w:t>C</w:t>
      </w:r>
      <w:r>
        <w:t xml:space="preserve">ommittee chaired by Justice Stephen Kaye, AM.  </w:t>
      </w:r>
    </w:p>
    <w:p w14:paraId="4BC04272" w14:textId="77777777" w:rsidR="00A51426" w:rsidRDefault="00A51426" w:rsidP="00A51426"/>
    <w:p w14:paraId="29C1FD56" w14:textId="3B35B615" w:rsidR="00A51426" w:rsidRDefault="00A51426" w:rsidP="00A51426">
      <w:r>
        <w:t xml:space="preserve">A significant KIAP initiative was the Koori Employment </w:t>
      </w:r>
      <w:r w:rsidR="001579AB">
        <w:t xml:space="preserve">Strategy </w:t>
      </w:r>
      <w:r w:rsidR="001615E1">
        <w:t xml:space="preserve">which </w:t>
      </w:r>
      <w:r>
        <w:t>was endorsed by the Courts Council in</w:t>
      </w:r>
      <w:r w:rsidR="00A72EB6">
        <w:t xml:space="preserve"> March 2016. The s</w:t>
      </w:r>
      <w:r w:rsidR="001579AB">
        <w:t xml:space="preserve">trategy </w:t>
      </w:r>
      <w:r>
        <w:t xml:space="preserve">was developed under the guidance of the Human Resources Portfolio Committee </w:t>
      </w:r>
      <w:r w:rsidR="001579AB">
        <w:t xml:space="preserve">and </w:t>
      </w:r>
      <w:r>
        <w:t xml:space="preserve">will support the recruitment of Koori staff </w:t>
      </w:r>
      <w:r w:rsidR="00444024">
        <w:t>by providing</w:t>
      </w:r>
      <w:r>
        <w:t xml:space="preserve"> a culturally sensitive an</w:t>
      </w:r>
      <w:r w:rsidR="00444024">
        <w:t>d appropriate selection process</w:t>
      </w:r>
      <w:r>
        <w:t xml:space="preserve">. </w:t>
      </w:r>
      <w:r w:rsidR="00444024">
        <w:t>It is anticipated</w:t>
      </w:r>
      <w:r>
        <w:t xml:space="preserve"> that by increasing our K</w:t>
      </w:r>
      <w:r w:rsidR="00444024">
        <w:t xml:space="preserve">oori employment network, CSV will be </w:t>
      </w:r>
      <w:r>
        <w:t xml:space="preserve">better able to develop effective initiatives aimed at addressing the over-representation of </w:t>
      </w:r>
      <w:r w:rsidR="00AE1849">
        <w:rPr>
          <w:color w:val="000000"/>
        </w:rPr>
        <w:t xml:space="preserve">Aboriginal </w:t>
      </w:r>
      <w:r>
        <w:t xml:space="preserve">people within the criminal justice system. </w:t>
      </w:r>
    </w:p>
    <w:p w14:paraId="0D7E5AA9" w14:textId="62B757E7" w:rsidR="00500DD9" w:rsidRDefault="00A51426" w:rsidP="00A911FE">
      <w:pPr>
        <w:pStyle w:val="Heading4"/>
      </w:pPr>
      <w:r>
        <w:t>Appointment</w:t>
      </w:r>
      <w:r w:rsidR="00A0189C">
        <w:t xml:space="preserve"> of Koori Elders and Respected P</w:t>
      </w:r>
      <w:r>
        <w:t>ersons</w:t>
      </w:r>
    </w:p>
    <w:p w14:paraId="4368AD1B" w14:textId="1CD9E671" w:rsidR="00A51426" w:rsidRPr="00266E6D" w:rsidRDefault="00A911FE" w:rsidP="00A51426">
      <w:r w:rsidRPr="00A911FE">
        <w:t>T</w:t>
      </w:r>
      <w:r w:rsidR="00A51426">
        <w:t xml:space="preserve">he authority to appoint Koori Elders and Respected Persons for the purpose of performing functions in relation to the Koori Court Divisions was formally transferred from the Secretary, Department of Justice and Regulation to the </w:t>
      </w:r>
      <w:r w:rsidR="00AE1849">
        <w:t xml:space="preserve">CSV </w:t>
      </w:r>
      <w:r w:rsidR="00A51426">
        <w:t>CEO</w:t>
      </w:r>
      <w:r w:rsidR="00AE1849">
        <w:t xml:space="preserve"> </w:t>
      </w:r>
      <w:r w:rsidR="00A51426">
        <w:t>via amendments made by the</w:t>
      </w:r>
      <w:r w:rsidR="00A51426" w:rsidRPr="00165D90">
        <w:t xml:space="preserve"> </w:t>
      </w:r>
      <w:r w:rsidR="00A51426" w:rsidRPr="00266E6D">
        <w:rPr>
          <w:i/>
          <w:iCs/>
          <w:color w:val="000000"/>
        </w:rPr>
        <w:t>Justice Legislation Further Amendment Act 2016</w:t>
      </w:r>
      <w:r w:rsidR="00A51426" w:rsidRPr="00165D90">
        <w:rPr>
          <w:b/>
          <w:iCs/>
          <w:color w:val="000000"/>
        </w:rPr>
        <w:t>.</w:t>
      </w:r>
      <w:r w:rsidR="00A51426" w:rsidRPr="000363BB">
        <w:rPr>
          <w:rFonts w:ascii="Helv" w:hAnsi="Helv" w:cs="Helv"/>
          <w:color w:val="000000"/>
          <w:sz w:val="20"/>
          <w:szCs w:val="20"/>
        </w:rPr>
        <w:t xml:space="preserve"> </w:t>
      </w:r>
    </w:p>
    <w:p w14:paraId="21C5C8FD" w14:textId="77777777" w:rsidR="00A51426" w:rsidRDefault="00A51426" w:rsidP="00A51426"/>
    <w:p w14:paraId="3B26153E" w14:textId="77777777" w:rsidR="0014299E" w:rsidRPr="007F0F93" w:rsidRDefault="0014299E" w:rsidP="0014299E">
      <w:pPr>
        <w:pStyle w:val="Heading3"/>
      </w:pPr>
      <w:r w:rsidRPr="007F0F93">
        <w:t>Victorian Government Reporting Service</w:t>
      </w:r>
    </w:p>
    <w:p w14:paraId="3F09C271" w14:textId="77777777" w:rsidR="0014299E" w:rsidRDefault="0014299E" w:rsidP="0014299E">
      <w:r>
        <w:t>T</w:t>
      </w:r>
      <w:r w:rsidRPr="005B2EC3">
        <w:t>he Victorian Government Reporting Service</w:t>
      </w:r>
      <w:r>
        <w:t xml:space="preserve"> </w:t>
      </w:r>
      <w:r w:rsidRPr="005B2EC3">
        <w:t xml:space="preserve">(VGRS) </w:t>
      </w:r>
      <w:r>
        <w:t xml:space="preserve">team </w:t>
      </w:r>
      <w:r w:rsidRPr="005B2EC3">
        <w:t xml:space="preserve">continued to provide high-quality criminal recording and transcription services to Victoria’s courts. VGRS transcribed over 420,000 transcript pages and distributed in excess of one million pages of transcript to the judiciary and other parties. </w:t>
      </w:r>
      <w:r w:rsidRPr="005B2EC3">
        <w:rPr>
          <w:bCs/>
        </w:rPr>
        <w:t xml:space="preserve">This was complimented by auxiliary services to the courts including the delivery of training to the Magistrates' Court bench clerks and Coroners Court staff, </w:t>
      </w:r>
      <w:r w:rsidRPr="005B2EC3">
        <w:t>jury views across the state, and the recording and transcription of overseas witness examinations.</w:t>
      </w:r>
    </w:p>
    <w:p w14:paraId="7475377F" w14:textId="77777777" w:rsidR="0014299E" w:rsidRPr="005B2EC3" w:rsidRDefault="0014299E" w:rsidP="0014299E">
      <w:pPr>
        <w:rPr>
          <w:bCs/>
        </w:rPr>
      </w:pPr>
    </w:p>
    <w:p w14:paraId="4FDF0A28" w14:textId="77777777" w:rsidR="0014299E" w:rsidRDefault="0014299E" w:rsidP="0014299E">
      <w:r>
        <w:t xml:space="preserve">These </w:t>
      </w:r>
      <w:r w:rsidRPr="005B2EC3">
        <w:t>performance results demonstrate a reliable, flexible and fast service that consistently meets or exceeds the courts' needs. This has been achieved by highly skilled staff with specialist knowledge</w:t>
      </w:r>
      <w:r>
        <w:t>,</w:t>
      </w:r>
      <w:r w:rsidRPr="005B2EC3">
        <w:t xml:space="preserve"> and an organisational focus on technological improvements. </w:t>
      </w:r>
    </w:p>
    <w:p w14:paraId="3A9586A9" w14:textId="77777777" w:rsidR="0014299E" w:rsidRPr="005B2EC3" w:rsidRDefault="0014299E" w:rsidP="0014299E"/>
    <w:p w14:paraId="155BCAFA" w14:textId="77777777" w:rsidR="0014299E" w:rsidRDefault="0014299E" w:rsidP="0014299E">
      <w:r>
        <w:t>During 2015-16,</w:t>
      </w:r>
      <w:r w:rsidRPr="005B2EC3">
        <w:t xml:space="preserve"> VGRS completed its largest and most significant data consolidation project. </w:t>
      </w:r>
      <w:r>
        <w:t>More than 1,000,000</w:t>
      </w:r>
      <w:r w:rsidRPr="005B2EC3">
        <w:t xml:space="preserve"> recording and transcript files, held in multiple storage systems, were migrated to a centralised storage area network with specialised disaster recovery and redundancy features. This investment has improved responsi</w:t>
      </w:r>
      <w:r>
        <w:t>veness to the courts and other</w:t>
      </w:r>
      <w:r w:rsidRPr="005B2EC3">
        <w:t xml:space="preserve"> customers. </w:t>
      </w:r>
    </w:p>
    <w:p w14:paraId="7D869A87" w14:textId="77777777" w:rsidR="0014299E" w:rsidRDefault="0014299E" w:rsidP="0014299E"/>
    <w:p w14:paraId="2FE338B6" w14:textId="77777777" w:rsidR="0014299E" w:rsidRDefault="0014299E" w:rsidP="0014299E">
      <w:r w:rsidRPr="005B2EC3">
        <w:t>This year's performance for timely delivery of transcripts and quality exceed</w:t>
      </w:r>
      <w:r>
        <w:t>ed</w:t>
      </w:r>
      <w:r w:rsidRPr="005B2EC3">
        <w:t xml:space="preserve"> all service benchmarks.  More than 97% of transcripts </w:t>
      </w:r>
      <w:r>
        <w:t>were</w:t>
      </w:r>
      <w:r w:rsidRPr="005B2EC3">
        <w:t xml:space="preserve"> delivered on time</w:t>
      </w:r>
      <w:r>
        <w:t>,</w:t>
      </w:r>
      <w:r w:rsidRPr="005B2EC3">
        <w:t xml:space="preserve"> and on three separate quarter</w:t>
      </w:r>
      <w:r>
        <w:t xml:space="preserve">ly reporting occasions </w:t>
      </w:r>
      <w:r w:rsidRPr="005B2EC3">
        <w:t xml:space="preserve">achieved a result of 100%. </w:t>
      </w:r>
    </w:p>
    <w:p w14:paraId="3B0367C6" w14:textId="77777777" w:rsidR="0014299E" w:rsidRPr="00D011D6" w:rsidRDefault="0014299E" w:rsidP="0014299E"/>
    <w:p w14:paraId="0CB0DF9D" w14:textId="77777777" w:rsidR="0014299E" w:rsidRPr="005B2EC3" w:rsidRDefault="0014299E" w:rsidP="0014299E">
      <w:r w:rsidRPr="005B2EC3">
        <w:t xml:space="preserve">A comprehensive strategic review of alternate recording and transcription service delivery models in Australia and New </w:t>
      </w:r>
      <w:r>
        <w:t>Zealand was undertaken during 2015-16</w:t>
      </w:r>
      <w:r w:rsidRPr="005B2EC3">
        <w:t>. The review found t</w:t>
      </w:r>
      <w:r>
        <w:t>hat the current practice of outsourcing</w:t>
      </w:r>
      <w:r w:rsidRPr="005B2EC3">
        <w:t xml:space="preserve"> transcript production to contractors when demand for service peaks, is the optimum model for operational flexibility and responsive to the fluctuating demands of the courts. </w:t>
      </w:r>
    </w:p>
    <w:p w14:paraId="386CA5EC" w14:textId="77777777" w:rsidR="0014299E" w:rsidRPr="00CF273E" w:rsidRDefault="0014299E" w:rsidP="00A51426"/>
    <w:p w14:paraId="3BBC6621" w14:textId="09E8F132" w:rsidR="00A51426" w:rsidRPr="005D665B" w:rsidRDefault="00A51426" w:rsidP="00500DD9">
      <w:pPr>
        <w:pStyle w:val="Heading3"/>
      </w:pPr>
      <w:r w:rsidRPr="005D665B">
        <w:t>People and Culture</w:t>
      </w:r>
    </w:p>
    <w:p w14:paraId="338A5386" w14:textId="58346F08" w:rsidR="001B3967" w:rsidRDefault="00A911FE" w:rsidP="00A51426">
      <w:r>
        <w:t>During 2015-</w:t>
      </w:r>
      <w:r w:rsidR="00425BF7">
        <w:t>16</w:t>
      </w:r>
      <w:r w:rsidR="00733608">
        <w:t>,</w:t>
      </w:r>
      <w:r w:rsidR="00A51426">
        <w:t xml:space="preserve"> </w:t>
      </w:r>
      <w:r w:rsidR="00B021A5">
        <w:t xml:space="preserve">the </w:t>
      </w:r>
      <w:r w:rsidR="00A51426">
        <w:t xml:space="preserve">People and Culture </w:t>
      </w:r>
      <w:r w:rsidR="00B021A5">
        <w:t xml:space="preserve">Unit </w:t>
      </w:r>
      <w:r w:rsidR="00A51426">
        <w:t xml:space="preserve">was </w:t>
      </w:r>
      <w:r w:rsidR="001F075A">
        <w:t>restructured</w:t>
      </w:r>
      <w:r w:rsidR="00A51426">
        <w:t xml:space="preserve"> to better support CSV as an independent entity. </w:t>
      </w:r>
      <w:r w:rsidR="006E0EA5">
        <w:t>Gabrielle Reilly is the Director of People and Culture.</w:t>
      </w:r>
    </w:p>
    <w:p w14:paraId="5B75F632" w14:textId="77777777" w:rsidR="001B3967" w:rsidRDefault="001B3967" w:rsidP="00A51426"/>
    <w:p w14:paraId="45A6E01F" w14:textId="50DEA062" w:rsidR="00A911FE" w:rsidRDefault="00A51426" w:rsidP="00A51426">
      <w:r>
        <w:t xml:space="preserve">The </w:t>
      </w:r>
      <w:r w:rsidR="00B021A5">
        <w:t xml:space="preserve">Unit </w:t>
      </w:r>
      <w:r w:rsidR="00A911FE">
        <w:t>provide</w:t>
      </w:r>
      <w:r w:rsidR="00CF0E6C">
        <w:t>s</w:t>
      </w:r>
      <w:r w:rsidR="00A911FE">
        <w:t xml:space="preserve"> </w:t>
      </w:r>
      <w:r>
        <w:t>specialist advice, support, programs and initiatives</w:t>
      </w:r>
      <w:r w:rsidR="00CF0E6C">
        <w:t xml:space="preserve"> i</w:t>
      </w:r>
      <w:r>
        <w:t>n collaboration with the juris</w:t>
      </w:r>
      <w:r w:rsidR="007A5695">
        <w:t>dictions and the C</w:t>
      </w:r>
      <w:r w:rsidR="00425BF7">
        <w:t>ollege. It also identifies</w:t>
      </w:r>
      <w:r>
        <w:t xml:space="preserve"> opportunities and deliver</w:t>
      </w:r>
      <w:r w:rsidR="00425BF7">
        <w:t>s</w:t>
      </w:r>
      <w:r>
        <w:t xml:space="preserve"> human res</w:t>
      </w:r>
      <w:r w:rsidR="00A911FE">
        <w:t>ource services which contribute</w:t>
      </w:r>
      <w:r>
        <w:t xml:space="preserve"> to the development of a capable and engaged workforce.</w:t>
      </w:r>
    </w:p>
    <w:p w14:paraId="2DF0E0D3" w14:textId="77777777" w:rsidR="00A911FE" w:rsidRDefault="00A51426" w:rsidP="00A911FE">
      <w:pPr>
        <w:pStyle w:val="Heading4"/>
      </w:pPr>
      <w:r w:rsidRPr="004F3368">
        <w:t>Capability Framework</w:t>
      </w:r>
    </w:p>
    <w:p w14:paraId="0CEDD725" w14:textId="1B8E7249" w:rsidR="00A51426" w:rsidRDefault="00A51426" w:rsidP="00A51426">
      <w:r>
        <w:t xml:space="preserve">The </w:t>
      </w:r>
      <w:r w:rsidR="005924E2">
        <w:t xml:space="preserve">CSV </w:t>
      </w:r>
      <w:r>
        <w:t xml:space="preserve">Capability Framework was developed to provide a focus </w:t>
      </w:r>
      <w:r w:rsidR="00DB4FAC">
        <w:t>on</w:t>
      </w:r>
      <w:r>
        <w:t xml:space="preserve"> the key capabilities and behaviours that will drive the realisation of CSV’s organisational priorities and culture. It reflects the core and critical capabilities and behaviours required to support CSV as an independent and unique entity. The development of the</w:t>
      </w:r>
      <w:r w:rsidRPr="007E11CF">
        <w:t xml:space="preserve"> Capability Framework</w:t>
      </w:r>
      <w:r>
        <w:t xml:space="preserve"> was informed by results from the inaugural Culture and Engagement Survey, data from the 360 degree feedback process for senior managers, strategic planning and other consultation processes. </w:t>
      </w:r>
    </w:p>
    <w:p w14:paraId="0CFD3557" w14:textId="0E32F35F" w:rsidR="002E1BA0" w:rsidRDefault="00A51426" w:rsidP="002E1BA0">
      <w:pPr>
        <w:pStyle w:val="Heading4"/>
      </w:pPr>
      <w:r w:rsidRPr="004F3368">
        <w:t xml:space="preserve">Learning </w:t>
      </w:r>
      <w:r w:rsidR="00DB4FAC">
        <w:t>and</w:t>
      </w:r>
      <w:r w:rsidRPr="004F3368">
        <w:t xml:space="preserve"> Organisational Development</w:t>
      </w:r>
    </w:p>
    <w:p w14:paraId="68F409C5" w14:textId="16BDD380" w:rsidR="00A51426" w:rsidRDefault="00A51426" w:rsidP="00A51426">
      <w:pPr>
        <w:autoSpaceDE w:val="0"/>
        <w:autoSpaceDN w:val="0"/>
        <w:adjustRightInd w:val="0"/>
      </w:pPr>
      <w:r w:rsidRPr="0073621D">
        <w:t>T</w:t>
      </w:r>
      <w:r>
        <w:t>he Learning@CSV program provided</w:t>
      </w:r>
      <w:r w:rsidRPr="0073621D">
        <w:t xml:space="preserve"> staff with </w:t>
      </w:r>
      <w:r>
        <w:t xml:space="preserve">targeted </w:t>
      </w:r>
      <w:r w:rsidRPr="0073621D">
        <w:t>opportunities that enable</w:t>
      </w:r>
      <w:r>
        <w:t>d</w:t>
      </w:r>
      <w:r w:rsidRPr="0073621D">
        <w:t xml:space="preserve"> them to </w:t>
      </w:r>
      <w:r>
        <w:t xml:space="preserve">further </w:t>
      </w:r>
      <w:r w:rsidRPr="0073621D">
        <w:t xml:space="preserve">develop </w:t>
      </w:r>
      <w:r>
        <w:t xml:space="preserve">their professional expertise </w:t>
      </w:r>
      <w:r w:rsidRPr="0073621D">
        <w:t xml:space="preserve">and deliver service excellence. </w:t>
      </w:r>
      <w:r w:rsidRPr="0073621D">
        <w:rPr>
          <w:color w:val="000000"/>
        </w:rPr>
        <w:t>D</w:t>
      </w:r>
      <w:r w:rsidR="004754A2">
        <w:rPr>
          <w:color w:val="000000"/>
        </w:rPr>
        <w:t>uring 2015-</w:t>
      </w:r>
      <w:r>
        <w:rPr>
          <w:color w:val="000000"/>
        </w:rPr>
        <w:t>16 a range of</w:t>
      </w:r>
      <w:r w:rsidRPr="0073621D">
        <w:rPr>
          <w:color w:val="000000"/>
        </w:rPr>
        <w:t xml:space="preserve"> </w:t>
      </w:r>
      <w:r>
        <w:rPr>
          <w:color w:val="000000"/>
        </w:rPr>
        <w:t>capability-</w:t>
      </w:r>
      <w:r w:rsidRPr="0073621D">
        <w:rPr>
          <w:color w:val="000000"/>
        </w:rPr>
        <w:t xml:space="preserve">building programs were delivered </w:t>
      </w:r>
      <w:r w:rsidR="00865A15">
        <w:rPr>
          <w:color w:val="000000"/>
        </w:rPr>
        <w:t>catering for 569 CSV attendees</w:t>
      </w:r>
      <w:r w:rsidR="00865A15" w:rsidRPr="0073621D">
        <w:rPr>
          <w:color w:val="000000"/>
        </w:rPr>
        <w:t>.</w:t>
      </w:r>
      <w:r w:rsidR="00865A15">
        <w:rPr>
          <w:color w:val="000000"/>
        </w:rPr>
        <w:t xml:space="preserve"> </w:t>
      </w:r>
      <w:r w:rsidRPr="004E4E48">
        <w:t xml:space="preserve">Key areas of capability focus included performance management and development; foundational management for supervisors and team leaders; </w:t>
      </w:r>
      <w:r>
        <w:t>leadership and innovation for middle managers; peer mentoring; manager as coach; and strategic capability.</w:t>
      </w:r>
    </w:p>
    <w:p w14:paraId="7527A91F" w14:textId="77777777" w:rsidR="00A51426" w:rsidRPr="004E4E48" w:rsidRDefault="00A51426" w:rsidP="00A51426"/>
    <w:p w14:paraId="0D90134F" w14:textId="45403DFB" w:rsidR="00A51426" w:rsidRDefault="00A51426" w:rsidP="00A51426">
      <w:r w:rsidRPr="004E4E48">
        <w:t xml:space="preserve">Three online </w:t>
      </w:r>
      <w:r>
        <w:t xml:space="preserve">mandatory compliance </w:t>
      </w:r>
      <w:r w:rsidRPr="004E4E48">
        <w:t xml:space="preserve">learning modules were developed to </w:t>
      </w:r>
      <w:r>
        <w:t>form part</w:t>
      </w:r>
      <w:r w:rsidR="00DB4FAC">
        <w:t xml:space="preserve"> of</w:t>
      </w:r>
      <w:r w:rsidR="00A70AA7">
        <w:t xml:space="preserve"> the</w:t>
      </w:r>
      <w:r w:rsidR="00DB4FAC">
        <w:t xml:space="preserve"> induction for new staff</w:t>
      </w:r>
      <w:r>
        <w:t xml:space="preserve">. These modules </w:t>
      </w:r>
      <w:r w:rsidR="00A70AA7">
        <w:t>were</w:t>
      </w:r>
      <w:r w:rsidRPr="004E4E48">
        <w:t xml:space="preserve"> Respect in the Workplace; Code of Co</w:t>
      </w:r>
      <w:r w:rsidR="00A70AA7">
        <w:t>nduct; and Occupational Health and</w:t>
      </w:r>
      <w:r w:rsidRPr="004E4E48">
        <w:t xml:space="preserve"> Safety</w:t>
      </w:r>
      <w:r w:rsidRPr="002B07B7">
        <w:t>.</w:t>
      </w:r>
    </w:p>
    <w:p w14:paraId="49B2C9BE" w14:textId="77777777" w:rsidR="002E1BA0" w:rsidRDefault="00A51426" w:rsidP="002E1BA0">
      <w:pPr>
        <w:pStyle w:val="Heading4"/>
      </w:pPr>
      <w:r w:rsidRPr="004F3368">
        <w:t>Health, Safety and Wellbeing</w:t>
      </w:r>
    </w:p>
    <w:p w14:paraId="6AF25098" w14:textId="3A8D1D20" w:rsidR="00A51426" w:rsidRDefault="00A51426" w:rsidP="00A51426">
      <w:pPr>
        <w:rPr>
          <w:highlight w:val="yellow"/>
        </w:rPr>
      </w:pPr>
      <w:r>
        <w:t xml:space="preserve">An extensive review of </w:t>
      </w:r>
      <w:r w:rsidRPr="00A319C7">
        <w:t>existing responses to</w:t>
      </w:r>
      <w:r>
        <w:t>,</w:t>
      </w:r>
      <w:r w:rsidRPr="00A319C7">
        <w:t xml:space="preserve"> and management </w:t>
      </w:r>
      <w:r w:rsidR="005924E2">
        <w:t>of the potential for</w:t>
      </w:r>
      <w:r>
        <w:t xml:space="preserve"> vicarious trauma in courts </w:t>
      </w:r>
      <w:r w:rsidR="005924E2">
        <w:t xml:space="preserve">and tribunals </w:t>
      </w:r>
      <w:r>
        <w:t xml:space="preserve">was conducted during the second half of 2015. The resultant </w:t>
      </w:r>
      <w:r w:rsidRPr="00376176">
        <w:rPr>
          <w:i/>
        </w:rPr>
        <w:t>Assessment and Control of Vicarious Trauma Report</w:t>
      </w:r>
      <w:r>
        <w:rPr>
          <w:i/>
        </w:rPr>
        <w:t xml:space="preserve"> </w:t>
      </w:r>
      <w:r>
        <w:t>identified</w:t>
      </w:r>
      <w:r w:rsidRPr="00A319C7">
        <w:t xml:space="preserve"> opportunities for a more </w:t>
      </w:r>
      <w:r>
        <w:t xml:space="preserve">supportive </w:t>
      </w:r>
      <w:r w:rsidR="005924E2">
        <w:t xml:space="preserve">and integrated </w:t>
      </w:r>
      <w:r>
        <w:t>model</w:t>
      </w:r>
      <w:r w:rsidR="005924E2">
        <w:t>,</w:t>
      </w:r>
      <w:r>
        <w:t xml:space="preserve"> with three different points of intervention: </w:t>
      </w:r>
      <w:r w:rsidRPr="00C47232">
        <w:t>prevention, management and safety net</w:t>
      </w:r>
      <w:r>
        <w:t xml:space="preserve">. </w:t>
      </w:r>
    </w:p>
    <w:p w14:paraId="6D0AB780" w14:textId="77777777" w:rsidR="00A51426" w:rsidRDefault="00A51426" w:rsidP="00A51426"/>
    <w:p w14:paraId="4F2E9313" w14:textId="16654F2B" w:rsidR="00A51426" w:rsidRDefault="00A51426" w:rsidP="00A51426">
      <w:r>
        <w:t xml:space="preserve">A new Employee Assistance Program (EAP) provider was engaged and commenced on 1 September 2015. Available </w:t>
      </w:r>
      <w:r w:rsidR="00E15357">
        <w:t>to all employees</w:t>
      </w:r>
      <w:r>
        <w:t>, the EAP provides short-term, personal and confidentia</w:t>
      </w:r>
      <w:r w:rsidR="00E15357">
        <w:t>l counselling</w:t>
      </w:r>
      <w:r>
        <w:t>.</w:t>
      </w:r>
    </w:p>
    <w:p w14:paraId="48CD1732" w14:textId="77777777" w:rsidR="002E1BA0" w:rsidRDefault="00A51426" w:rsidP="002E1BA0">
      <w:pPr>
        <w:pStyle w:val="Heading4"/>
      </w:pPr>
      <w:r w:rsidRPr="004F3368">
        <w:t>Enterprise Agreement</w:t>
      </w:r>
    </w:p>
    <w:p w14:paraId="3046F8C6" w14:textId="75F13BBE" w:rsidR="00A51426" w:rsidRPr="00D95ED8" w:rsidRDefault="00A51426" w:rsidP="00A51426">
      <w:r w:rsidRPr="00D95ED8">
        <w:t>The Victori</w:t>
      </w:r>
      <w:r>
        <w:t xml:space="preserve">an Public Service Enterprise Agreement 2016 was finalised </w:t>
      </w:r>
      <w:r w:rsidR="00E15357">
        <w:t>in</w:t>
      </w:r>
      <w:r>
        <w:t xml:space="preserve"> </w:t>
      </w:r>
      <w:r w:rsidRPr="00B62144">
        <w:t>May 2016</w:t>
      </w:r>
      <w:r w:rsidRPr="00D95ED8">
        <w:t xml:space="preserve"> with the terms of the Agreement being backdated to 1 January 2016. </w:t>
      </w:r>
      <w:r w:rsidR="00E15357">
        <w:t xml:space="preserve">The </w:t>
      </w:r>
      <w:r>
        <w:t>People and Culture</w:t>
      </w:r>
      <w:r w:rsidR="00E15357">
        <w:t xml:space="preserve"> team</w:t>
      </w:r>
      <w:r>
        <w:t xml:space="preserve"> managed </w:t>
      </w:r>
      <w:r w:rsidRPr="00D95ED8">
        <w:t xml:space="preserve"> </w:t>
      </w:r>
      <w:r>
        <w:t>negotiations within CSV and Industrial Relations Victoria</w:t>
      </w:r>
      <w:r w:rsidR="00E15357">
        <w:t xml:space="preserve"> and the </w:t>
      </w:r>
      <w:r>
        <w:t xml:space="preserve">development of a </w:t>
      </w:r>
      <w:r w:rsidRPr="00D95ED8">
        <w:t>CSV-spec</w:t>
      </w:r>
      <w:r>
        <w:t>ific appendix that updates, simplifies and integrates all court-specific provisions.</w:t>
      </w:r>
    </w:p>
    <w:p w14:paraId="54CECA58" w14:textId="0FDBB271" w:rsidR="00A51426" w:rsidRPr="00CF273E" w:rsidRDefault="00A51426" w:rsidP="00EA594A">
      <w:pPr>
        <w:pStyle w:val="Heading2"/>
      </w:pPr>
      <w:bookmarkStart w:id="12" w:name="_Toc466381164"/>
      <w:r>
        <w:t>Financial Analysis, Planning a</w:t>
      </w:r>
      <w:r w:rsidRPr="00CF273E">
        <w:t>nd</w:t>
      </w:r>
      <w:r>
        <w:t xml:space="preserve"> </w:t>
      </w:r>
      <w:r w:rsidRPr="00CF273E">
        <w:t>Reporting</w:t>
      </w:r>
      <w:r w:rsidR="002D7011">
        <w:t xml:space="preserve"> Division</w:t>
      </w:r>
      <w:bookmarkEnd w:id="12"/>
    </w:p>
    <w:p w14:paraId="22D128F6" w14:textId="4D4943B1" w:rsidR="005B28C8" w:rsidRPr="00DE1EC7" w:rsidRDefault="005B28C8" w:rsidP="005B28C8">
      <w:r w:rsidRPr="00DE1EC7">
        <w:t>The Financial Analysis, Planning and Reporting Division works collaboratively with the jurisdictions to ensure a consistent and coordinated financial services capability.</w:t>
      </w:r>
      <w:r w:rsidR="001B3967">
        <w:t xml:space="preserve"> The Division is led by the Chief Finance Officer, Lisa Wills.</w:t>
      </w:r>
    </w:p>
    <w:p w14:paraId="4D1D25F4" w14:textId="77777777" w:rsidR="005B28C8" w:rsidRPr="00DE1EC7" w:rsidRDefault="005B28C8" w:rsidP="005B28C8"/>
    <w:p w14:paraId="7245F181" w14:textId="77777777" w:rsidR="005B28C8" w:rsidRPr="00DE1EC7" w:rsidRDefault="005B28C8" w:rsidP="005B28C8">
      <w:r w:rsidRPr="00DE1EC7">
        <w:t xml:space="preserve">The functions of this division include: </w:t>
      </w:r>
    </w:p>
    <w:p w14:paraId="004EE956" w14:textId="1362A335" w:rsidR="005B28C8" w:rsidRPr="00DE1EC7" w:rsidRDefault="005B28C8" w:rsidP="004079F1">
      <w:pPr>
        <w:pStyle w:val="ListBullet"/>
      </w:pPr>
      <w:r w:rsidRPr="00DE1EC7">
        <w:t xml:space="preserve">Finance </w:t>
      </w:r>
    </w:p>
    <w:p w14:paraId="6E5A4B4D" w14:textId="2D9ABAA3" w:rsidR="005B28C8" w:rsidRPr="00DE1EC7" w:rsidRDefault="005B28C8" w:rsidP="004079F1">
      <w:pPr>
        <w:pStyle w:val="ListBullet"/>
      </w:pPr>
      <w:r w:rsidRPr="00DE1EC7">
        <w:t xml:space="preserve">Strategic Analysis and Review </w:t>
      </w:r>
    </w:p>
    <w:p w14:paraId="1907B89F" w14:textId="507981E5" w:rsidR="005B28C8" w:rsidRPr="00DE1EC7" w:rsidRDefault="00C90859" w:rsidP="004079F1">
      <w:pPr>
        <w:pStyle w:val="ListBullet"/>
      </w:pPr>
      <w:r w:rsidRPr="00DE1EC7">
        <w:t>Procurement</w:t>
      </w:r>
    </w:p>
    <w:p w14:paraId="0569378B" w14:textId="77777777" w:rsidR="005B28C8" w:rsidRPr="00C73B1D" w:rsidRDefault="005B28C8" w:rsidP="004079F1">
      <w:pPr>
        <w:pStyle w:val="Heading3"/>
      </w:pPr>
      <w:r w:rsidRPr="00C73B1D">
        <w:t>Finance</w:t>
      </w:r>
    </w:p>
    <w:p w14:paraId="6622E1D1" w14:textId="0AE18A47" w:rsidR="005B28C8" w:rsidRPr="00DE1EC7" w:rsidRDefault="005B28C8" w:rsidP="005B28C8">
      <w:r w:rsidRPr="00DE1EC7">
        <w:t xml:space="preserve">Parliament provides a separate appropriation for the delivery of services and facilities to the courts, tribunals and the College. To meet this requirement, the Finance Team builds strong </w:t>
      </w:r>
      <w:r w:rsidR="00A943FC" w:rsidRPr="00DE1EC7">
        <w:t xml:space="preserve">financial management capacity, </w:t>
      </w:r>
      <w:r w:rsidRPr="00DE1EC7">
        <w:t>systems and processes to manage and report activities to the Courts Council and the Department of Treasury and Finance (DTF). The team also delivers corporate finance functions including appropriation management and reporting; production of financial statements and statutory reporting taxation; banking; and accounts receivable.</w:t>
      </w:r>
    </w:p>
    <w:p w14:paraId="633E0430" w14:textId="77777777" w:rsidR="005B28C8" w:rsidRPr="00DE1EC7" w:rsidRDefault="005B28C8" w:rsidP="005B28C8"/>
    <w:p w14:paraId="5D33898A" w14:textId="77777777" w:rsidR="005B28C8" w:rsidRDefault="005B28C8" w:rsidP="005B28C8">
      <w:r w:rsidRPr="00DE1EC7">
        <w:t>Over the last year, the team has:</w:t>
      </w:r>
    </w:p>
    <w:p w14:paraId="12F58F0A" w14:textId="77777777" w:rsidR="00796D12" w:rsidRPr="00DE1EC7" w:rsidRDefault="00796D12" w:rsidP="005B28C8"/>
    <w:p w14:paraId="1D3066C0" w14:textId="77777777" w:rsidR="005B28C8" w:rsidRPr="00DE1EC7" w:rsidRDefault="005B28C8" w:rsidP="005B28C8">
      <w:pPr>
        <w:numPr>
          <w:ilvl w:val="0"/>
          <w:numId w:val="33"/>
        </w:numPr>
        <w:spacing w:after="120"/>
        <w:ind w:left="360"/>
      </w:pPr>
      <w:r w:rsidRPr="00DE1EC7">
        <w:t>Continued to maintain productive relationships with the jurisdictions and DTF to support the work of the courts and tribunals.</w:t>
      </w:r>
    </w:p>
    <w:p w14:paraId="64E291A4" w14:textId="77777777" w:rsidR="005B28C8" w:rsidRPr="00DE1EC7" w:rsidRDefault="005B28C8" w:rsidP="005B28C8">
      <w:pPr>
        <w:numPr>
          <w:ilvl w:val="0"/>
          <w:numId w:val="33"/>
        </w:numPr>
        <w:spacing w:after="120"/>
        <w:ind w:left="360"/>
      </w:pPr>
      <w:r w:rsidRPr="00DE1EC7">
        <w:t xml:space="preserve">Maintained finance and procurement policies and procedures to ensure compliance with the Financial Management Compliance Framework. </w:t>
      </w:r>
    </w:p>
    <w:p w14:paraId="62FA1BC4" w14:textId="77777777" w:rsidR="005B28C8" w:rsidRPr="00DE1EC7" w:rsidRDefault="005B28C8" w:rsidP="005B28C8">
      <w:pPr>
        <w:numPr>
          <w:ilvl w:val="0"/>
          <w:numId w:val="33"/>
        </w:numPr>
        <w:spacing w:after="120"/>
        <w:ind w:left="360"/>
      </w:pPr>
      <w:r w:rsidRPr="00DE1EC7">
        <w:t>Established governance and reporting arrangements to meet the needs of the Courts Council, Finance Portfolio Committee, Audit and Risk Portfolio Committee and Courts Procurement Group.</w:t>
      </w:r>
    </w:p>
    <w:p w14:paraId="30080A37" w14:textId="77777777" w:rsidR="005B28C8" w:rsidRPr="00DE1EC7" w:rsidRDefault="005B28C8" w:rsidP="005B28C8">
      <w:pPr>
        <w:numPr>
          <w:ilvl w:val="0"/>
          <w:numId w:val="33"/>
        </w:numPr>
        <w:spacing w:after="120"/>
        <w:ind w:left="360"/>
      </w:pPr>
      <w:r w:rsidRPr="00DE1EC7">
        <w:t xml:space="preserve">Produced the CSV Annual Financial Statement, including setting policies and procedures as required in legislation and in accordance with best practice. </w:t>
      </w:r>
    </w:p>
    <w:p w14:paraId="3F7CBBEB" w14:textId="5F7E14CE" w:rsidR="005B28C8" w:rsidRPr="00DE1EC7" w:rsidRDefault="005B28C8" w:rsidP="005B28C8">
      <w:pPr>
        <w:numPr>
          <w:ilvl w:val="0"/>
          <w:numId w:val="33"/>
        </w:numPr>
        <w:spacing w:after="120"/>
        <w:ind w:left="360"/>
      </w:pPr>
      <w:r w:rsidRPr="00DE1EC7">
        <w:t xml:space="preserve">Undertook a significant review of </w:t>
      </w:r>
      <w:r w:rsidR="00294F67" w:rsidRPr="00DE1EC7">
        <w:t xml:space="preserve">the </w:t>
      </w:r>
      <w:r w:rsidRPr="00DE1EC7">
        <w:t>CSV financial position resulting in changes to internal financial management practices including use of appropriation funding and budget setting.</w:t>
      </w:r>
    </w:p>
    <w:p w14:paraId="2F41FB57" w14:textId="77777777" w:rsidR="005B28C8" w:rsidRPr="00DE1EC7" w:rsidRDefault="005B28C8" w:rsidP="005B28C8">
      <w:pPr>
        <w:numPr>
          <w:ilvl w:val="0"/>
          <w:numId w:val="33"/>
        </w:numPr>
        <w:spacing w:after="120"/>
        <w:ind w:left="360"/>
      </w:pPr>
      <w:r w:rsidRPr="00DE1EC7">
        <w:t>Commenced the establishment of the independent IT infrastructure for the CSV budget system.</w:t>
      </w:r>
    </w:p>
    <w:p w14:paraId="6137B261" w14:textId="0E7F0E73" w:rsidR="005B28C8" w:rsidRPr="00C73B1D" w:rsidRDefault="005B28C8" w:rsidP="004079F1">
      <w:pPr>
        <w:pStyle w:val="Heading3"/>
      </w:pPr>
      <w:r w:rsidRPr="00C73B1D">
        <w:t xml:space="preserve">Strategic Analysis and </w:t>
      </w:r>
      <w:r w:rsidR="00871C46">
        <w:t>Review</w:t>
      </w:r>
      <w:r w:rsidR="00871C46" w:rsidRPr="00C73B1D">
        <w:t xml:space="preserve"> </w:t>
      </w:r>
    </w:p>
    <w:p w14:paraId="463585CD" w14:textId="6E7988E1" w:rsidR="005B28C8" w:rsidRPr="00DE1EC7" w:rsidRDefault="005B28C8" w:rsidP="005B28C8">
      <w:r w:rsidRPr="00DE1EC7">
        <w:t>The team established specialist business intelligence capability to improve the quality of financial and performance reporting and meet the decision</w:t>
      </w:r>
      <w:r w:rsidR="001B3967">
        <w:t>-</w:t>
      </w:r>
      <w:r w:rsidRPr="00DE1EC7">
        <w:t>making needs of the Courts Council and Finance Portfolio Committee.</w:t>
      </w:r>
    </w:p>
    <w:p w14:paraId="0E5AD215" w14:textId="77777777" w:rsidR="005B28C8" w:rsidRPr="00DE1EC7" w:rsidRDefault="005B28C8" w:rsidP="005B28C8"/>
    <w:p w14:paraId="4D3A237B" w14:textId="77777777" w:rsidR="005B28C8" w:rsidRPr="00DE1EC7" w:rsidRDefault="005B28C8" w:rsidP="005B28C8">
      <w:r w:rsidRPr="00DE1EC7">
        <w:t>Key achievements for the team include:</w:t>
      </w:r>
    </w:p>
    <w:p w14:paraId="4A6FF3D5" w14:textId="77777777" w:rsidR="005B28C8" w:rsidRPr="00DE1EC7" w:rsidRDefault="005B28C8" w:rsidP="005B28C8"/>
    <w:p w14:paraId="43EA1D87" w14:textId="41DD68F1" w:rsidR="005B28C8" w:rsidRPr="00DE1EC7" w:rsidRDefault="00294F67" w:rsidP="005B28C8">
      <w:pPr>
        <w:numPr>
          <w:ilvl w:val="0"/>
          <w:numId w:val="33"/>
        </w:numPr>
        <w:spacing w:after="120"/>
        <w:ind w:left="360"/>
      </w:pPr>
      <w:r w:rsidRPr="00DE1EC7">
        <w:t xml:space="preserve">Supporting </w:t>
      </w:r>
      <w:r w:rsidR="005B28C8" w:rsidRPr="00DE1EC7">
        <w:t>funding submissions to government resulting in increased funding for the courts and tribunals.</w:t>
      </w:r>
    </w:p>
    <w:p w14:paraId="077B9425" w14:textId="59A5AC9B" w:rsidR="005B28C8" w:rsidRPr="00DE1EC7" w:rsidRDefault="005B28C8" w:rsidP="005B28C8">
      <w:pPr>
        <w:numPr>
          <w:ilvl w:val="0"/>
          <w:numId w:val="33"/>
        </w:numPr>
        <w:spacing w:after="120"/>
        <w:ind w:left="360"/>
      </w:pPr>
      <w:r w:rsidRPr="00DE1EC7">
        <w:t>Completing the establishment of key performance indicators across the jurisdictions in</w:t>
      </w:r>
      <w:r w:rsidR="001B3967">
        <w:t>-</w:t>
      </w:r>
      <w:r w:rsidRPr="00DE1EC7">
        <w:t>line with the</w:t>
      </w:r>
      <w:r w:rsidR="0007470A" w:rsidRPr="00DE1EC7">
        <w:t xml:space="preserve"> International Framework for Court Excellence </w:t>
      </w:r>
      <w:r w:rsidRPr="00DE1EC7">
        <w:t>for the State Budget.</w:t>
      </w:r>
    </w:p>
    <w:p w14:paraId="2AEF0996" w14:textId="3B5A0897" w:rsidR="005B28C8" w:rsidRPr="00DE1EC7" w:rsidRDefault="005B28C8" w:rsidP="005B28C8">
      <w:pPr>
        <w:numPr>
          <w:ilvl w:val="0"/>
          <w:numId w:val="33"/>
        </w:numPr>
        <w:spacing w:after="120"/>
        <w:ind w:left="360"/>
      </w:pPr>
      <w:r w:rsidRPr="00DE1EC7">
        <w:t>Continuing to improve external reporting for the Courts' Report on Government Services, the Australian Bureau of Statistics performance data and other external agencies.</w:t>
      </w:r>
    </w:p>
    <w:p w14:paraId="2F4F9789" w14:textId="08084A89" w:rsidR="005B28C8" w:rsidRPr="00DE1EC7" w:rsidRDefault="005B28C8" w:rsidP="005B28C8">
      <w:pPr>
        <w:numPr>
          <w:ilvl w:val="0"/>
          <w:numId w:val="33"/>
        </w:numPr>
        <w:spacing w:after="120"/>
        <w:ind w:left="360"/>
      </w:pPr>
      <w:r w:rsidRPr="00DE1EC7">
        <w:t xml:space="preserve">Establishing new analytics capability and developed a multiyear Business Intelligence </w:t>
      </w:r>
      <w:r w:rsidR="00871C46">
        <w:t xml:space="preserve">(BI) </w:t>
      </w:r>
      <w:r w:rsidRPr="00DE1EC7">
        <w:t xml:space="preserve">and Business Analytics strategy including an upgrade </w:t>
      </w:r>
      <w:r w:rsidR="00871C46">
        <w:t>of</w:t>
      </w:r>
      <w:r w:rsidR="00871C46" w:rsidRPr="00DE1EC7">
        <w:t xml:space="preserve"> </w:t>
      </w:r>
      <w:r w:rsidRPr="00DE1EC7">
        <w:t>data</w:t>
      </w:r>
      <w:r w:rsidR="00D431A1" w:rsidRPr="00DE1EC7">
        <w:t xml:space="preserve"> warehouse and </w:t>
      </w:r>
      <w:r w:rsidR="00871C46">
        <w:t xml:space="preserve">BI </w:t>
      </w:r>
      <w:r w:rsidR="00D431A1" w:rsidRPr="00DE1EC7">
        <w:t>p</w:t>
      </w:r>
      <w:r w:rsidRPr="00DE1EC7">
        <w:t>latforms.</w:t>
      </w:r>
    </w:p>
    <w:p w14:paraId="1B7526A8" w14:textId="41201215" w:rsidR="005B28C8" w:rsidRPr="00DE1EC7" w:rsidRDefault="005B28C8" w:rsidP="005B28C8">
      <w:pPr>
        <w:numPr>
          <w:ilvl w:val="0"/>
          <w:numId w:val="33"/>
        </w:numPr>
        <w:spacing w:after="120"/>
        <w:ind w:left="360"/>
      </w:pPr>
      <w:r w:rsidRPr="00DE1EC7">
        <w:t xml:space="preserve">Developing proof of concepts for advanced analytics </w:t>
      </w:r>
      <w:r w:rsidR="00871C46">
        <w:t>including</w:t>
      </w:r>
      <w:r w:rsidR="00871C46" w:rsidRPr="00DE1EC7">
        <w:t xml:space="preserve"> </w:t>
      </w:r>
      <w:r w:rsidRPr="00DE1EC7">
        <w:t>geospatial and predictive modelling.</w:t>
      </w:r>
    </w:p>
    <w:p w14:paraId="006D1D66" w14:textId="77777777" w:rsidR="005B28C8" w:rsidRPr="00C73B1D" w:rsidRDefault="005B28C8" w:rsidP="004079F1">
      <w:pPr>
        <w:pStyle w:val="Heading3"/>
      </w:pPr>
      <w:r w:rsidRPr="00C73B1D">
        <w:t xml:space="preserve">Procurement </w:t>
      </w:r>
    </w:p>
    <w:p w14:paraId="21D70EF2" w14:textId="474C4E04" w:rsidR="005B28C8" w:rsidRPr="00DE1EC7" w:rsidRDefault="005B28C8" w:rsidP="005B28C8">
      <w:r w:rsidRPr="00DE1EC7">
        <w:t xml:space="preserve">The </w:t>
      </w:r>
      <w:r w:rsidR="00D431A1" w:rsidRPr="00DE1EC7">
        <w:t>team</w:t>
      </w:r>
      <w:r w:rsidRPr="00DE1EC7">
        <w:t xml:space="preserve"> supported jurisdictions' procurement activity to ensure compliance, best practice and value-for-money. </w:t>
      </w:r>
      <w:r w:rsidR="00D431A1" w:rsidRPr="00DE1EC7">
        <w:t>They</w:t>
      </w:r>
      <w:r w:rsidRPr="00DE1EC7">
        <w:t xml:space="preserve"> also supported the CSV Procurement Board in ensuring the strategies, policies, procedures and probity arrangements are consistent with the CSV Procurement Framework. </w:t>
      </w:r>
    </w:p>
    <w:p w14:paraId="52651961" w14:textId="77777777" w:rsidR="005B28C8" w:rsidRPr="00DE1EC7" w:rsidRDefault="005B28C8" w:rsidP="005B28C8"/>
    <w:p w14:paraId="0B8B7250" w14:textId="77777777" w:rsidR="005B28C8" w:rsidRPr="00DE1EC7" w:rsidRDefault="005B28C8" w:rsidP="005B28C8">
      <w:r w:rsidRPr="00DE1EC7">
        <w:t>Key achievements for the team include:</w:t>
      </w:r>
    </w:p>
    <w:p w14:paraId="7FAD12E4" w14:textId="77777777" w:rsidR="005B28C8" w:rsidRPr="00DE1EC7" w:rsidRDefault="005B28C8" w:rsidP="005B28C8"/>
    <w:p w14:paraId="2DBABEFF" w14:textId="39CF9C73" w:rsidR="005B28C8" w:rsidRPr="00DE1EC7" w:rsidRDefault="005B28C8" w:rsidP="005B28C8">
      <w:pPr>
        <w:numPr>
          <w:ilvl w:val="0"/>
          <w:numId w:val="34"/>
        </w:numPr>
        <w:ind w:left="360"/>
      </w:pPr>
      <w:r w:rsidRPr="00DE1EC7">
        <w:t>Continuing to provide contract management services for the courts</w:t>
      </w:r>
      <w:r w:rsidR="00A4326A">
        <w:t>’</w:t>
      </w:r>
      <w:r w:rsidRPr="00DE1EC7">
        <w:t xml:space="preserve"> security contract.</w:t>
      </w:r>
    </w:p>
    <w:p w14:paraId="703E1460" w14:textId="77777777" w:rsidR="005B28C8" w:rsidRPr="00DE1EC7" w:rsidRDefault="005B28C8" w:rsidP="005B28C8"/>
    <w:p w14:paraId="18A09B9E" w14:textId="77777777" w:rsidR="005B28C8" w:rsidRPr="00DE1EC7" w:rsidRDefault="005B28C8" w:rsidP="005B28C8">
      <w:pPr>
        <w:numPr>
          <w:ilvl w:val="0"/>
          <w:numId w:val="34"/>
        </w:numPr>
        <w:ind w:left="360"/>
      </w:pPr>
      <w:r w:rsidRPr="00DE1EC7">
        <w:t>Establishing a CSV fleet management function previously provided by the Department of Justice and Regulation.</w:t>
      </w:r>
    </w:p>
    <w:p w14:paraId="647EAFDF" w14:textId="77777777" w:rsidR="005B28C8" w:rsidRPr="00DE1EC7" w:rsidRDefault="005B28C8" w:rsidP="005B28C8"/>
    <w:p w14:paraId="6B2DF60B" w14:textId="77777777" w:rsidR="005B28C8" w:rsidRPr="00DE1EC7" w:rsidRDefault="005B28C8" w:rsidP="005B28C8">
      <w:pPr>
        <w:numPr>
          <w:ilvl w:val="0"/>
          <w:numId w:val="34"/>
        </w:numPr>
        <w:ind w:left="360"/>
      </w:pPr>
      <w:r w:rsidRPr="00DE1EC7">
        <w:t>Supporting a number of significant tenders and contract negotiations including the transport of deceased persons, employee assistance programs, language services, transcription services, essential services maintenance and legal subscriptions.</w:t>
      </w:r>
    </w:p>
    <w:p w14:paraId="5D4503BF" w14:textId="77777777" w:rsidR="005B28C8" w:rsidRPr="00DE1EC7" w:rsidRDefault="005B28C8" w:rsidP="005B28C8"/>
    <w:p w14:paraId="38A8D758" w14:textId="77777777" w:rsidR="007E3611" w:rsidRPr="00CF273E" w:rsidRDefault="007E3611" w:rsidP="007E3611">
      <w:pPr>
        <w:pStyle w:val="Heading3"/>
      </w:pPr>
      <w:r>
        <w:t xml:space="preserve">Responding to </w:t>
      </w:r>
      <w:r w:rsidRPr="00CF273E">
        <w:t>Challenges</w:t>
      </w:r>
    </w:p>
    <w:p w14:paraId="0A804962" w14:textId="784B6C86" w:rsidR="004A7771" w:rsidRDefault="004A7771" w:rsidP="004A7771">
      <w:r w:rsidRPr="008458C7">
        <w:t>Financial sustainability continues to be a key priority for CSV to ensure an appropriate level of support</w:t>
      </w:r>
      <w:r w:rsidR="00D26CC3">
        <w:t xml:space="preserve"> for the judiciary, magistrate</w:t>
      </w:r>
      <w:r w:rsidR="008B0315">
        <w:t>s</w:t>
      </w:r>
      <w:r w:rsidRPr="008458C7">
        <w:t xml:space="preserve"> and tribunal members. CSV is striving to ensure that the courts are supported by contemporary services and systems that </w:t>
      </w:r>
      <w:r>
        <w:t>enable</w:t>
      </w:r>
      <w:r w:rsidRPr="008458C7">
        <w:t xml:space="preserve"> </w:t>
      </w:r>
      <w:r w:rsidR="00A4326A">
        <w:t>efficient and effective</w:t>
      </w:r>
      <w:r w:rsidR="00A4326A" w:rsidRPr="008458C7">
        <w:t xml:space="preserve"> </w:t>
      </w:r>
      <w:r w:rsidRPr="008458C7">
        <w:t>court administration.</w:t>
      </w:r>
    </w:p>
    <w:p w14:paraId="6E0B9330" w14:textId="77777777" w:rsidR="004A7771" w:rsidRDefault="004A7771" w:rsidP="004A7771"/>
    <w:p w14:paraId="07724450" w14:textId="5BC2561E" w:rsidR="006222D0" w:rsidRDefault="006222D0" w:rsidP="006222D0">
      <w:r>
        <w:t>Significant legacy issues in our built infrastructure and information technology require major investment to provide safe, secure and fit</w:t>
      </w:r>
      <w:r w:rsidR="008B0315">
        <w:t>-</w:t>
      </w:r>
      <w:r>
        <w:t>for</w:t>
      </w:r>
      <w:r w:rsidR="008B0315">
        <w:t>-</w:t>
      </w:r>
      <w:r>
        <w:t>purpose buildings and systems for the judiciary. As such</w:t>
      </w:r>
      <w:r w:rsidR="008B0315">
        <w:t>,</w:t>
      </w:r>
      <w:r>
        <w:t xml:space="preserve"> we will continue to work with government to secure the necessary investment.</w:t>
      </w:r>
    </w:p>
    <w:p w14:paraId="16B56F91" w14:textId="77777777" w:rsidR="006222D0" w:rsidRDefault="006222D0" w:rsidP="006222D0"/>
    <w:p w14:paraId="0813C117" w14:textId="77777777" w:rsidR="004079F1" w:rsidRDefault="006222D0" w:rsidP="006222D0">
      <w:r>
        <w:t>In addition</w:t>
      </w:r>
      <w:r w:rsidR="00C302A6">
        <w:t xml:space="preserve"> to</w:t>
      </w:r>
      <w:r>
        <w:t xml:space="preserve"> the challenges of providing </w:t>
      </w:r>
      <w:r w:rsidR="00C302A6">
        <w:t>appropriate infrastructure and i</w:t>
      </w:r>
      <w:r>
        <w:t xml:space="preserve">nformation technology, CSV has </w:t>
      </w:r>
      <w:r w:rsidR="00943B10">
        <w:t>absorbed</w:t>
      </w:r>
      <w:r>
        <w:t xml:space="preserve"> year</w:t>
      </w:r>
      <w:r w:rsidR="008B0315">
        <w:t>-</w:t>
      </w:r>
      <w:r>
        <w:t>on</w:t>
      </w:r>
      <w:r w:rsidR="008B0315">
        <w:t>-</w:t>
      </w:r>
      <w:r>
        <w:t>year effi</w:t>
      </w:r>
      <w:r w:rsidR="00C302A6">
        <w:t>c</w:t>
      </w:r>
      <w:r w:rsidR="004B46C5">
        <w:t xml:space="preserve">iency and productivity savings that </w:t>
      </w:r>
      <w:r w:rsidR="00C302A6">
        <w:t>h</w:t>
      </w:r>
      <w:r w:rsidR="004B46C5">
        <w:t>ave</w:t>
      </w:r>
      <w:r w:rsidR="00C302A6">
        <w:t xml:space="preserve"> reduced</w:t>
      </w:r>
      <w:r>
        <w:t xml:space="preserve"> the funding available </w:t>
      </w:r>
      <w:r w:rsidR="004B46C5">
        <w:t>to</w:t>
      </w:r>
      <w:r>
        <w:t xml:space="preserve"> the courts. </w:t>
      </w:r>
      <w:r w:rsidR="007841BF">
        <w:t>C</w:t>
      </w:r>
      <w:r w:rsidR="007841BF" w:rsidRPr="007841BF">
        <w:t xml:space="preserve">ombined with a cost base </w:t>
      </w:r>
      <w:r w:rsidR="007841BF">
        <w:t>that is rising faster than funding</w:t>
      </w:r>
      <w:r w:rsidR="007841BF" w:rsidRPr="007841BF">
        <w:t>, CSV will continue to operate in a fiscally demanding environment</w:t>
      </w:r>
      <w:r w:rsidR="007841BF">
        <w:t>.</w:t>
      </w:r>
      <w:r w:rsidR="007841BF" w:rsidRPr="007841BF">
        <w:t xml:space="preserve"> </w:t>
      </w:r>
    </w:p>
    <w:p w14:paraId="5140E497" w14:textId="65F3407B" w:rsidR="00A51426" w:rsidRPr="00CF273E" w:rsidRDefault="00A51426" w:rsidP="00EA594A">
      <w:pPr>
        <w:pStyle w:val="Heading2"/>
      </w:pPr>
      <w:bookmarkStart w:id="13" w:name="_Toc466381165"/>
      <w:r w:rsidRPr="00CF273E">
        <w:t>Information</w:t>
      </w:r>
      <w:r>
        <w:t xml:space="preserve"> </w:t>
      </w:r>
      <w:r w:rsidRPr="00CF273E">
        <w:t>Technology Services</w:t>
      </w:r>
      <w:r w:rsidR="005B7DC9">
        <w:t xml:space="preserve"> Division</w:t>
      </w:r>
      <w:bookmarkEnd w:id="13"/>
    </w:p>
    <w:p w14:paraId="418E47CD" w14:textId="78061126" w:rsidR="00A51426" w:rsidRDefault="005B7DC9" w:rsidP="00A51426">
      <w:r>
        <w:t>Infor</w:t>
      </w:r>
      <w:r w:rsidR="00377033">
        <w:t>mation Technology Services</w:t>
      </w:r>
      <w:r w:rsidR="00DC3C5B">
        <w:t xml:space="preserve"> </w:t>
      </w:r>
      <w:r w:rsidR="00877324">
        <w:t>D</w:t>
      </w:r>
      <w:r w:rsidR="00DC3C5B">
        <w:t>ivision</w:t>
      </w:r>
      <w:r w:rsidR="00377033">
        <w:t xml:space="preserve"> </w:t>
      </w:r>
      <w:r w:rsidR="00A51426">
        <w:t xml:space="preserve">provides </w:t>
      </w:r>
      <w:r w:rsidR="00A51426" w:rsidRPr="00070FFA">
        <w:t>high</w:t>
      </w:r>
      <w:r w:rsidR="00A51426">
        <w:t>-</w:t>
      </w:r>
      <w:r w:rsidR="00A51426" w:rsidRPr="00070FFA">
        <w:t>quality support and expert strategic advice</w:t>
      </w:r>
      <w:r w:rsidR="00A51426">
        <w:t xml:space="preserve"> to</w:t>
      </w:r>
      <w:r w:rsidR="00A51426" w:rsidRPr="00070FFA">
        <w:t xml:space="preserve"> </w:t>
      </w:r>
      <w:r w:rsidR="00A51426">
        <w:t>jurisdictions</w:t>
      </w:r>
      <w:r w:rsidR="00A51426" w:rsidRPr="00070FFA">
        <w:t xml:space="preserve"> </w:t>
      </w:r>
      <w:r w:rsidR="00A51426">
        <w:t>to support</w:t>
      </w:r>
      <w:r w:rsidR="00A51426" w:rsidRPr="00070FFA">
        <w:t xml:space="preserve"> </w:t>
      </w:r>
      <w:r w:rsidR="00A51426">
        <w:t>their</w:t>
      </w:r>
      <w:r w:rsidR="00A51426" w:rsidRPr="00070FFA">
        <w:t xml:space="preserve"> </w:t>
      </w:r>
      <w:r w:rsidR="00A51426">
        <w:t xml:space="preserve">information technology (IT) </w:t>
      </w:r>
      <w:r w:rsidR="00A51426" w:rsidRPr="00070FFA">
        <w:t>requirements and operations.</w:t>
      </w:r>
      <w:r w:rsidR="00A51426">
        <w:t xml:space="preserve"> </w:t>
      </w:r>
      <w:r w:rsidR="008B0315">
        <w:t>The Division is led by the Chief Information Officer, Justin Bree.</w:t>
      </w:r>
    </w:p>
    <w:p w14:paraId="0A65603D" w14:textId="77777777" w:rsidR="00893ACD" w:rsidRDefault="00893ACD" w:rsidP="00A51426"/>
    <w:p w14:paraId="6E29B2B0" w14:textId="3DF2A29D" w:rsidR="00893ACD" w:rsidRDefault="008B0315" w:rsidP="00A51426">
      <w:r>
        <w:t>The Division</w:t>
      </w:r>
      <w:r w:rsidR="005B7DC9">
        <w:t xml:space="preserve"> supports IT infrastructure</w:t>
      </w:r>
      <w:r w:rsidR="00A51426">
        <w:t xml:space="preserve">, </w:t>
      </w:r>
      <w:r w:rsidR="00A51426" w:rsidRPr="00070FFA">
        <w:t>case management syst</w:t>
      </w:r>
      <w:r w:rsidR="005B7DC9">
        <w:t>ems</w:t>
      </w:r>
      <w:r w:rsidR="00A51426" w:rsidRPr="00070FFA">
        <w:t xml:space="preserve"> </w:t>
      </w:r>
      <w:r w:rsidR="00A51426">
        <w:t xml:space="preserve">and </w:t>
      </w:r>
      <w:r w:rsidR="00A51426" w:rsidRPr="00070FFA">
        <w:t>in-court systems</w:t>
      </w:r>
      <w:r w:rsidR="00893ACD">
        <w:t xml:space="preserve"> with a focus on delivering a high-</w:t>
      </w:r>
      <w:r w:rsidR="00A51426">
        <w:t>val</w:t>
      </w:r>
      <w:r w:rsidR="005B7DC9">
        <w:t>ue service to the jurisdictions</w:t>
      </w:r>
      <w:r w:rsidR="00A51426">
        <w:t xml:space="preserve">.  </w:t>
      </w:r>
    </w:p>
    <w:p w14:paraId="50B9026C" w14:textId="77777777" w:rsidR="00893ACD" w:rsidRDefault="00893ACD" w:rsidP="00A51426"/>
    <w:p w14:paraId="649EC612" w14:textId="521DE6C0" w:rsidR="00893ACD" w:rsidRPr="00893ACD" w:rsidRDefault="00377033" w:rsidP="00A51426">
      <w:r>
        <w:t>The division</w:t>
      </w:r>
      <w:r w:rsidR="00893ACD">
        <w:t xml:space="preserve"> also leads </w:t>
      </w:r>
      <w:r w:rsidR="00BC1E23">
        <w:t>I</w:t>
      </w:r>
      <w:r w:rsidR="00A51426">
        <w:t>T strategy</w:t>
      </w:r>
      <w:r w:rsidR="00BC1E23">
        <w:t xml:space="preserve"> development</w:t>
      </w:r>
      <w:r w:rsidR="00A51426">
        <w:t xml:space="preserve"> working cooperatively with</w:t>
      </w:r>
      <w:r w:rsidR="00893ACD">
        <w:t xml:space="preserve"> the jurisdictions to ensure that</w:t>
      </w:r>
      <w:r w:rsidR="00A51426">
        <w:t xml:space="preserve"> </w:t>
      </w:r>
      <w:r w:rsidR="005B7DC9">
        <w:t>it</w:t>
      </w:r>
      <w:r w:rsidR="00A51426">
        <w:t xml:space="preserve"> supports jurisdictional objectives and outcomes. </w:t>
      </w:r>
    </w:p>
    <w:p w14:paraId="3A217C67" w14:textId="77777777" w:rsidR="00893ACD" w:rsidRDefault="00A51426" w:rsidP="00893ACD">
      <w:pPr>
        <w:pStyle w:val="Heading4"/>
      </w:pPr>
      <w:r w:rsidRPr="00C77067">
        <w:t>Desktop Refresh and Windows Upgrade Project</w:t>
      </w:r>
    </w:p>
    <w:p w14:paraId="31AE496B" w14:textId="19ED50DB" w:rsidR="00A51426" w:rsidRPr="0022080B" w:rsidRDefault="00E83157" w:rsidP="00A51426">
      <w:r>
        <w:t xml:space="preserve">A major upgrade of PC hardware and software </w:t>
      </w:r>
      <w:r w:rsidR="00A51426">
        <w:t>was comp</w:t>
      </w:r>
      <w:r>
        <w:t xml:space="preserve">leted in </w:t>
      </w:r>
      <w:r w:rsidR="00A51426">
        <w:t xml:space="preserve">February </w:t>
      </w:r>
      <w:r w:rsidR="00A51426" w:rsidRPr="00D47D36">
        <w:t>201</w:t>
      </w:r>
      <w:r w:rsidR="00A51426">
        <w:t>6.</w:t>
      </w:r>
      <w:r w:rsidRPr="00E83157">
        <w:t xml:space="preserve"> </w:t>
      </w:r>
      <w:r>
        <w:t>The upgrade involved replacing ageing hardware and out-of-s</w:t>
      </w:r>
      <w:r w:rsidR="00493135">
        <w:t>upport software for 2,700 users</w:t>
      </w:r>
      <w:r>
        <w:t>.</w:t>
      </w:r>
    </w:p>
    <w:p w14:paraId="06436B16" w14:textId="77777777" w:rsidR="00893ACD" w:rsidRDefault="00A51426" w:rsidP="00893ACD">
      <w:pPr>
        <w:pStyle w:val="Heading4"/>
      </w:pPr>
      <w:r w:rsidRPr="00396C9C">
        <w:t>IT Infrastructure Improvements</w:t>
      </w:r>
    </w:p>
    <w:p w14:paraId="636FDCF8" w14:textId="1ADD4BB2" w:rsidR="00F85EF4" w:rsidRDefault="00F85EF4" w:rsidP="00A51426">
      <w:pPr>
        <w:rPr>
          <w:bCs/>
          <w:iCs/>
        </w:rPr>
      </w:pPr>
      <w:r>
        <w:rPr>
          <w:bCs/>
          <w:iCs/>
        </w:rPr>
        <w:t>N</w:t>
      </w:r>
      <w:r w:rsidR="00A51426" w:rsidRPr="00396C9C">
        <w:rPr>
          <w:bCs/>
          <w:iCs/>
        </w:rPr>
        <w:t xml:space="preserve">etwork bandwidths </w:t>
      </w:r>
      <w:r>
        <w:rPr>
          <w:bCs/>
          <w:iCs/>
        </w:rPr>
        <w:t>were upgraded and</w:t>
      </w:r>
      <w:r w:rsidR="00A51426" w:rsidRPr="00396C9C">
        <w:rPr>
          <w:bCs/>
          <w:iCs/>
        </w:rPr>
        <w:t xml:space="preserve"> storage capacity</w:t>
      </w:r>
      <w:r>
        <w:rPr>
          <w:bCs/>
          <w:iCs/>
        </w:rPr>
        <w:t xml:space="preserve"> was increased at </w:t>
      </w:r>
      <w:r w:rsidR="00CA143E">
        <w:rPr>
          <w:bCs/>
          <w:iCs/>
        </w:rPr>
        <w:t xml:space="preserve">a </w:t>
      </w:r>
      <w:r>
        <w:rPr>
          <w:bCs/>
          <w:iCs/>
        </w:rPr>
        <w:t>number of courts to improve the reliability of access to information for users</w:t>
      </w:r>
      <w:r w:rsidR="00A51426" w:rsidRPr="00396C9C">
        <w:rPr>
          <w:bCs/>
          <w:iCs/>
        </w:rPr>
        <w:t xml:space="preserve">. </w:t>
      </w:r>
      <w:r>
        <w:rPr>
          <w:bCs/>
          <w:iCs/>
        </w:rPr>
        <w:t>M</w:t>
      </w:r>
      <w:r w:rsidR="00A51426" w:rsidRPr="00396C9C">
        <w:rPr>
          <w:bCs/>
          <w:iCs/>
        </w:rPr>
        <w:t>itigation of infrastructure risks for a number o</w:t>
      </w:r>
      <w:r>
        <w:rPr>
          <w:bCs/>
          <w:iCs/>
        </w:rPr>
        <w:t xml:space="preserve">f court case management systems was also undertaken </w:t>
      </w:r>
      <w:r w:rsidR="00A51426" w:rsidRPr="00396C9C">
        <w:rPr>
          <w:bCs/>
          <w:iCs/>
        </w:rPr>
        <w:t xml:space="preserve">to ensure </w:t>
      </w:r>
      <w:r w:rsidR="00E801C5">
        <w:rPr>
          <w:bCs/>
          <w:iCs/>
        </w:rPr>
        <w:t xml:space="preserve">the </w:t>
      </w:r>
      <w:r w:rsidR="00A51426" w:rsidRPr="00396C9C">
        <w:rPr>
          <w:bCs/>
          <w:iCs/>
        </w:rPr>
        <w:t xml:space="preserve">availability </w:t>
      </w:r>
      <w:r>
        <w:rPr>
          <w:bCs/>
          <w:iCs/>
        </w:rPr>
        <w:t xml:space="preserve">of systems </w:t>
      </w:r>
      <w:r w:rsidR="00E801C5">
        <w:rPr>
          <w:bCs/>
          <w:iCs/>
        </w:rPr>
        <w:t>for the</w:t>
      </w:r>
      <w:r w:rsidR="00A51426" w:rsidRPr="00396C9C">
        <w:rPr>
          <w:bCs/>
          <w:iCs/>
        </w:rPr>
        <w:t xml:space="preserve"> day</w:t>
      </w:r>
      <w:r>
        <w:rPr>
          <w:bCs/>
          <w:iCs/>
        </w:rPr>
        <w:t>-to-</w:t>
      </w:r>
      <w:r w:rsidR="00A51426" w:rsidRPr="00396C9C">
        <w:rPr>
          <w:bCs/>
          <w:iCs/>
        </w:rPr>
        <w:t>day operations of the courts.</w:t>
      </w:r>
      <w:r w:rsidRPr="00F85EF4">
        <w:rPr>
          <w:bCs/>
          <w:iCs/>
        </w:rPr>
        <w:t xml:space="preserve"> </w:t>
      </w:r>
    </w:p>
    <w:p w14:paraId="557CF5DA" w14:textId="77777777" w:rsidR="00893ACD" w:rsidRDefault="00A51426" w:rsidP="00893ACD">
      <w:pPr>
        <w:pStyle w:val="Heading4"/>
      </w:pPr>
      <w:r w:rsidRPr="00396C9C">
        <w:t>IT Risk Profile</w:t>
      </w:r>
    </w:p>
    <w:p w14:paraId="35F08B48" w14:textId="6D1B1995" w:rsidR="00F85EF4" w:rsidRDefault="00F85EF4" w:rsidP="00BC1E23">
      <w:r>
        <w:t>A</w:t>
      </w:r>
      <w:r w:rsidR="00A51426">
        <w:t xml:space="preserve"> program aimed at obtaining a clear understanding of the current aggregated IT risks was</w:t>
      </w:r>
      <w:r>
        <w:t xml:space="preserve"> initi</w:t>
      </w:r>
      <w:r w:rsidR="00D55913">
        <w:t>ated during 2015-16. The division</w:t>
      </w:r>
      <w:r w:rsidR="00BC1E23">
        <w:t xml:space="preserve"> will</w:t>
      </w:r>
      <w:r w:rsidR="00A51426">
        <w:t xml:space="preserve"> consult with the jurisdictions on an approach to mitigate the risks and implement future changes. </w:t>
      </w:r>
    </w:p>
    <w:p w14:paraId="385235CB" w14:textId="77777777" w:rsidR="007C30BB" w:rsidRDefault="007C30BB" w:rsidP="00C60580">
      <w:pPr>
        <w:pStyle w:val="Heading4"/>
      </w:pPr>
      <w:r w:rsidRPr="00396C9C">
        <w:t>eLodgement Project</w:t>
      </w:r>
    </w:p>
    <w:p w14:paraId="44E67CFF" w14:textId="77777777" w:rsidR="007C30BB" w:rsidRDefault="007C30BB" w:rsidP="007C30BB">
      <w:r>
        <w:t>The aim of e</w:t>
      </w:r>
      <w:r w:rsidRPr="00CF273E">
        <w:t>Lodgement</w:t>
      </w:r>
      <w:r>
        <w:t xml:space="preserve"> is to </w:t>
      </w:r>
      <w:r w:rsidRPr="00CF273E">
        <w:t>reduc</w:t>
      </w:r>
      <w:r>
        <w:t>e reliance on paper and to provide a greater level of convenience</w:t>
      </w:r>
      <w:r w:rsidRPr="00CF273E">
        <w:t>,</w:t>
      </w:r>
      <w:r>
        <w:t xml:space="preserve"> </w:t>
      </w:r>
      <w:r w:rsidRPr="00CF273E">
        <w:t>allowing court</w:t>
      </w:r>
      <w:r>
        <w:t xml:space="preserve"> </w:t>
      </w:r>
      <w:r w:rsidRPr="00CF273E">
        <w:t>users to submit documents</w:t>
      </w:r>
      <w:r>
        <w:t xml:space="preserve"> </w:t>
      </w:r>
      <w:r w:rsidRPr="00CF273E">
        <w:t>anytime, anywhere, without having to attend court.</w:t>
      </w:r>
    </w:p>
    <w:p w14:paraId="59560AB7" w14:textId="77777777" w:rsidR="007C30BB" w:rsidRDefault="007C30BB" w:rsidP="007C30BB">
      <w:pPr>
        <w:rPr>
          <w:highlight w:val="yellow"/>
        </w:rPr>
      </w:pPr>
    </w:p>
    <w:p w14:paraId="54E604A4" w14:textId="77777777" w:rsidR="007C30BB" w:rsidRDefault="007C30BB" w:rsidP="007C30BB">
      <w:r>
        <w:t>During the previous reporting period, systems were</w:t>
      </w:r>
      <w:r w:rsidRPr="00CF273E">
        <w:t xml:space="preserve"> introduced in the County Court of Victoria's Criminal</w:t>
      </w:r>
      <w:r>
        <w:t xml:space="preserve"> </w:t>
      </w:r>
      <w:r w:rsidRPr="00CF273E">
        <w:t>Division and VCAT's TAC list</w:t>
      </w:r>
      <w:r>
        <w:t xml:space="preserve"> </w:t>
      </w:r>
      <w:r w:rsidRPr="00CF273E">
        <w:t>to enable</w:t>
      </w:r>
      <w:r>
        <w:t xml:space="preserve"> </w:t>
      </w:r>
      <w:r w:rsidRPr="00CF273E">
        <w:t>court users,</w:t>
      </w:r>
      <w:r>
        <w:t xml:space="preserve"> </w:t>
      </w:r>
      <w:r w:rsidRPr="00CF273E">
        <w:t>including the legal</w:t>
      </w:r>
      <w:r>
        <w:t xml:space="preserve"> </w:t>
      </w:r>
      <w:r w:rsidRPr="00CF273E">
        <w:t>profession, to submit</w:t>
      </w:r>
      <w:r>
        <w:t xml:space="preserve"> </w:t>
      </w:r>
      <w:r w:rsidRPr="00CF273E">
        <w:t>documents and data electronically via</w:t>
      </w:r>
      <w:r>
        <w:t xml:space="preserve"> </w:t>
      </w:r>
      <w:r w:rsidRPr="00CF273E">
        <w:t>eLodgement.</w:t>
      </w:r>
      <w:r>
        <w:t xml:space="preserve"> </w:t>
      </w:r>
    </w:p>
    <w:p w14:paraId="174CF294" w14:textId="77777777" w:rsidR="007C30BB" w:rsidRDefault="007C30BB" w:rsidP="007C30BB"/>
    <w:p w14:paraId="7E02D9ED" w14:textId="77777777" w:rsidR="007C30BB" w:rsidRDefault="007C30BB" w:rsidP="007C30BB">
      <w:r w:rsidRPr="00930DFC">
        <w:t xml:space="preserve">In 2015-16, </w:t>
      </w:r>
      <w:r>
        <w:t>t</w:t>
      </w:r>
      <w:r w:rsidRPr="00930DFC">
        <w:t xml:space="preserve">hree new lists </w:t>
      </w:r>
      <w:r>
        <w:t>were</w:t>
      </w:r>
      <w:r w:rsidRPr="00930DFC">
        <w:t xml:space="preserve"> </w:t>
      </w:r>
      <w:r>
        <w:t xml:space="preserve">added to the eLodgement system – VOCAT’s Koori List, </w:t>
      </w:r>
      <w:r w:rsidRPr="00930DFC">
        <w:t>VCAT’s Review and Regulations and Legal list</w:t>
      </w:r>
      <w:r>
        <w:t>,</w:t>
      </w:r>
      <w:r w:rsidRPr="00930DFC">
        <w:t xml:space="preserve"> and the County Court Appeals list.  </w:t>
      </w:r>
    </w:p>
    <w:p w14:paraId="740FEBD2" w14:textId="77777777" w:rsidR="004079F1" w:rsidRDefault="004079F1" w:rsidP="007C30BB"/>
    <w:p w14:paraId="06AE7EF4" w14:textId="53F001D6" w:rsidR="00116A5F" w:rsidRDefault="007E3611" w:rsidP="006A57E2">
      <w:pPr>
        <w:pStyle w:val="Heading3"/>
      </w:pPr>
      <w:r>
        <w:t xml:space="preserve">Responding to </w:t>
      </w:r>
      <w:r w:rsidRPr="00CF273E">
        <w:t>Challenges</w:t>
      </w:r>
    </w:p>
    <w:p w14:paraId="129FE848" w14:textId="1F1B0FE3" w:rsidR="00686DFF" w:rsidRPr="001A2D06" w:rsidRDefault="00686DFF" w:rsidP="00686DFF">
      <w:pPr>
        <w:keepNext/>
        <w:autoSpaceDE w:val="0"/>
        <w:autoSpaceDN w:val="0"/>
        <w:adjustRightInd w:val="0"/>
        <w:spacing w:before="240" w:after="240"/>
      </w:pPr>
      <w:r w:rsidRPr="001A2D06">
        <w:t>A key challenge for CSV is managing information technology requirements in an environment of increasingly antiquated systems and ag</w:t>
      </w:r>
      <w:r w:rsidR="008B0315">
        <w:t>e</w:t>
      </w:r>
      <w:r w:rsidRPr="001A2D06">
        <w:t>ing technologies. A number of court systems, such as the case management systems, have reached the end of their serviceable life. Work is continuing to ensure these systems remain serviceable in the short term, however, a sustainable long term solution is necessary and requires significant additional funding.</w:t>
      </w:r>
    </w:p>
    <w:p w14:paraId="1BABF871" w14:textId="58E2E347" w:rsidR="00827DA5" w:rsidRDefault="00686DFF" w:rsidP="00306752">
      <w:r w:rsidRPr="001A2D06">
        <w:t>Another challenge is ensuring that information technology is fit</w:t>
      </w:r>
      <w:r w:rsidR="008B0315">
        <w:t>-</w:t>
      </w:r>
      <w:r w:rsidRPr="001A2D06">
        <w:t>for</w:t>
      </w:r>
      <w:r w:rsidR="008B0315">
        <w:t>-</w:t>
      </w:r>
      <w:r w:rsidRPr="001A2D06">
        <w:t>purpose and capable of supporting a modern and contemporary justice system. Investment in digital solutions is necessary to improve the efficiency and effectiveness of court admin</w:t>
      </w:r>
      <w:r w:rsidR="001A2D06">
        <w:t>istration</w:t>
      </w:r>
      <w:r w:rsidR="008B0315">
        <w:t>,</w:t>
      </w:r>
      <w:r w:rsidR="001A2D06">
        <w:t xml:space="preserve"> and</w:t>
      </w:r>
      <w:r w:rsidR="00891A96">
        <w:t xml:space="preserve"> </w:t>
      </w:r>
      <w:r w:rsidR="001A2D06">
        <w:t xml:space="preserve">improve access. </w:t>
      </w:r>
      <w:r w:rsidRPr="001A2D06">
        <w:t xml:space="preserve">CSV will continue to work with government to secure funding for digital technologies. </w:t>
      </w:r>
    </w:p>
    <w:p w14:paraId="07EA05D5" w14:textId="7ED2B252" w:rsidR="00A51426" w:rsidRPr="002B2838" w:rsidRDefault="00A51426" w:rsidP="00EA594A">
      <w:pPr>
        <w:pStyle w:val="Heading2"/>
      </w:pPr>
      <w:bookmarkStart w:id="14" w:name="_Toc466381166"/>
      <w:r>
        <w:t>Assets a</w:t>
      </w:r>
      <w:r w:rsidRPr="002B2838">
        <w:t xml:space="preserve">nd </w:t>
      </w:r>
      <w:r>
        <w:t>Security</w:t>
      </w:r>
      <w:r w:rsidR="00D06F65">
        <w:t xml:space="preserve"> Division</w:t>
      </w:r>
      <w:bookmarkEnd w:id="14"/>
    </w:p>
    <w:p w14:paraId="1AF46A2E" w14:textId="428DDB1D" w:rsidR="00827DA5" w:rsidRDefault="00E85561" w:rsidP="00A51426">
      <w:r>
        <w:t>T</w:t>
      </w:r>
      <w:r w:rsidR="00A51426" w:rsidRPr="00DD2E4C">
        <w:t xml:space="preserve">he Assets and Security </w:t>
      </w:r>
      <w:r>
        <w:t xml:space="preserve">Division </w:t>
      </w:r>
      <w:r w:rsidR="00A51426" w:rsidRPr="00DD2E4C">
        <w:t xml:space="preserve">works in partnership with jurisdictions to plan and manage CSV’s asset and security requirements. </w:t>
      </w:r>
      <w:r w:rsidR="00827DA5">
        <w:t>The Division is led by the Chief Operat</w:t>
      </w:r>
      <w:r w:rsidR="00074D79">
        <w:t>ing</w:t>
      </w:r>
      <w:r w:rsidR="00827DA5">
        <w:t xml:space="preserve"> Officer, Brian Stevenson.</w:t>
      </w:r>
    </w:p>
    <w:p w14:paraId="0F274FDE" w14:textId="77777777" w:rsidR="00827DA5" w:rsidRDefault="00827DA5" w:rsidP="00A51426"/>
    <w:p w14:paraId="51DB6F81" w14:textId="2D9A2FC4" w:rsidR="00A51426" w:rsidRPr="00DD2E4C" w:rsidRDefault="00A51426" w:rsidP="00A51426">
      <w:r w:rsidRPr="00DD2E4C">
        <w:t>This year, the Court</w:t>
      </w:r>
      <w:r>
        <w:t xml:space="preserve"> Security Unit joined the Division</w:t>
      </w:r>
      <w:r w:rsidRPr="00DD2E4C">
        <w:t xml:space="preserve"> ensuring greater strategic and operational alignment and supporting a range of key work that contributes to achieving safer and more secure courts across the state. </w:t>
      </w:r>
    </w:p>
    <w:p w14:paraId="1A38DC93" w14:textId="77777777" w:rsidR="00176A5B" w:rsidRDefault="00176A5B" w:rsidP="00176A5B">
      <w:pPr>
        <w:pStyle w:val="Heading4"/>
      </w:pPr>
      <w:r>
        <w:t>Delivery of Family Violence Initiative Facility U</w:t>
      </w:r>
      <w:r w:rsidRPr="002741BE">
        <w:t>pgrades</w:t>
      </w:r>
    </w:p>
    <w:p w14:paraId="1272B797" w14:textId="5F5D5480" w:rsidR="00176A5B" w:rsidRPr="00B906CE" w:rsidRDefault="00176A5B" w:rsidP="00176A5B">
      <w:r>
        <w:t>In</w:t>
      </w:r>
      <w:r w:rsidRPr="00B906CE">
        <w:t xml:space="preserve"> </w:t>
      </w:r>
      <w:r>
        <w:t xml:space="preserve">2015-16, work progressed on </w:t>
      </w:r>
      <w:r w:rsidRPr="001A2D06">
        <w:rPr>
          <w:color w:val="000000" w:themeColor="text1"/>
        </w:rPr>
        <w:t>court facilit</w:t>
      </w:r>
      <w:r w:rsidR="004272E2">
        <w:rPr>
          <w:color w:val="000000" w:themeColor="text1"/>
        </w:rPr>
        <w:t>y upgrades</w:t>
      </w:r>
      <w:r w:rsidRPr="001A2D06">
        <w:rPr>
          <w:color w:val="000000" w:themeColor="text1"/>
        </w:rPr>
        <w:t xml:space="preserve"> to support Victorian </w:t>
      </w:r>
      <w:r w:rsidR="004272E2">
        <w:rPr>
          <w:color w:val="000000" w:themeColor="text1"/>
        </w:rPr>
        <w:t>G</w:t>
      </w:r>
      <w:r w:rsidRPr="001A2D06">
        <w:rPr>
          <w:color w:val="000000" w:themeColor="text1"/>
        </w:rPr>
        <w:t xml:space="preserve">overnment Family </w:t>
      </w:r>
      <w:r>
        <w:t xml:space="preserve">Violence Initiatives, including accommodating new support workers and developing safer waiting areas. Following consultation with court Registrars to consider </w:t>
      </w:r>
      <w:r w:rsidRPr="00135E96">
        <w:t>building work impacts</w:t>
      </w:r>
      <w:r w:rsidR="001A2D06">
        <w:t>,</w:t>
      </w:r>
      <w:r w:rsidRPr="00135E96">
        <w:t xml:space="preserve"> </w:t>
      </w:r>
      <w:r>
        <w:t xml:space="preserve">works are being progressively developed </w:t>
      </w:r>
      <w:r w:rsidR="00891A96">
        <w:t xml:space="preserve">and </w:t>
      </w:r>
      <w:r>
        <w:t xml:space="preserve">completion of the full scope </w:t>
      </w:r>
      <w:r w:rsidR="004272E2">
        <w:t xml:space="preserve">is </w:t>
      </w:r>
      <w:r>
        <w:t xml:space="preserve">anticipated by mid-2017. </w:t>
      </w:r>
    </w:p>
    <w:p w14:paraId="55F9DA92" w14:textId="77777777" w:rsidR="00176A5B" w:rsidRPr="00A82EC8" w:rsidRDefault="00176A5B" w:rsidP="004079F1">
      <w:pPr>
        <w:pStyle w:val="Heading4"/>
      </w:pPr>
      <w:r w:rsidRPr="00A82EC8">
        <w:t xml:space="preserve">Court Safety and Security </w:t>
      </w:r>
    </w:p>
    <w:p w14:paraId="6D42EE26" w14:textId="7B463C56" w:rsidR="00176A5B" w:rsidRPr="002647BE" w:rsidRDefault="00176A5B" w:rsidP="00176A5B">
      <w:pPr>
        <w:autoSpaceDE w:val="0"/>
        <w:autoSpaceDN w:val="0"/>
        <w:adjustRightInd w:val="0"/>
        <w:rPr>
          <w:color w:val="000000"/>
        </w:rPr>
      </w:pPr>
      <w:r w:rsidRPr="002647BE">
        <w:rPr>
          <w:color w:val="000000"/>
        </w:rPr>
        <w:t xml:space="preserve">In 2015-16 the Victorian Government funded the Victorian Court Safety Audit Project. The purpose of the audit was to assess the physical structure and operations of Victorian Magistrates’ Court buildings to ensure that victims of family violence can be safe and free from intimidation while attending court. The audit also considered the safety of all other people attending Victorian courts and tribunals. The audit was a joint project between </w:t>
      </w:r>
      <w:r w:rsidR="001A2D06">
        <w:rPr>
          <w:color w:val="000000"/>
        </w:rPr>
        <w:t>JS</w:t>
      </w:r>
      <w:r w:rsidRPr="002647BE">
        <w:rPr>
          <w:color w:val="000000"/>
        </w:rPr>
        <w:t xml:space="preserve"> and the Magistrates’ Court of Victoria. </w:t>
      </w:r>
    </w:p>
    <w:p w14:paraId="4312D750" w14:textId="77777777" w:rsidR="00176A5B" w:rsidRDefault="00176A5B" w:rsidP="00176A5B">
      <w:pPr>
        <w:pStyle w:val="Heading4"/>
      </w:pPr>
      <w:r>
        <w:t>Delivery of Infrastructure U</w:t>
      </w:r>
      <w:r w:rsidRPr="002741BE">
        <w:t>pgrades</w:t>
      </w:r>
    </w:p>
    <w:p w14:paraId="44DAF0B4" w14:textId="77777777" w:rsidR="00176A5B" w:rsidRDefault="00176A5B" w:rsidP="00176A5B">
      <w:r>
        <w:t xml:space="preserve">A range of infrastructure upgrades continued to be delivered across all jurisdictions. Works have focussed on </w:t>
      </w:r>
      <w:r w:rsidRPr="00947E21">
        <w:t>critical asset risks</w:t>
      </w:r>
      <w:r>
        <w:t xml:space="preserve"> in the Supreme Court and Children’s Court, and in several Magistrates’ Court locations including Melbourne, Sunshine, Ballarat, Heidelberg and Geelong.</w:t>
      </w:r>
    </w:p>
    <w:p w14:paraId="1E50FEA9" w14:textId="77777777" w:rsidR="00176A5B" w:rsidRDefault="00176A5B" w:rsidP="00176A5B">
      <w:pPr>
        <w:pStyle w:val="Heading4"/>
      </w:pPr>
      <w:r w:rsidRPr="002741BE">
        <w:t>Hazardous Materials Audit</w:t>
      </w:r>
    </w:p>
    <w:p w14:paraId="244667FF" w14:textId="77777777" w:rsidR="00176A5B" w:rsidRDefault="00176A5B" w:rsidP="00176A5B">
      <w:r>
        <w:t>A Hazardous Materials Audit was commenced across CSV managed properties</w:t>
      </w:r>
      <w:r w:rsidRPr="0080352F">
        <w:t xml:space="preserve">. </w:t>
      </w:r>
      <w:r>
        <w:t xml:space="preserve">The audits </w:t>
      </w:r>
      <w:r w:rsidRPr="0080352F">
        <w:t xml:space="preserve">assess each court site for </w:t>
      </w:r>
      <w:r>
        <w:t xml:space="preserve">hazardous materials such as </w:t>
      </w:r>
      <w:r w:rsidRPr="0080352F">
        <w:t xml:space="preserve">asbestos, polychlorinated biphenyls and synthetic mineral fibre. The final report will inform </w:t>
      </w:r>
      <w:r>
        <w:t xml:space="preserve">and identify risks and plan </w:t>
      </w:r>
      <w:r w:rsidRPr="0080352F">
        <w:t xml:space="preserve">future </w:t>
      </w:r>
      <w:r>
        <w:t>remediation work.</w:t>
      </w:r>
    </w:p>
    <w:p w14:paraId="3C1069DE" w14:textId="77777777" w:rsidR="00176A5B" w:rsidRDefault="00176A5B" w:rsidP="00176A5B">
      <w:pPr>
        <w:pStyle w:val="Heading4"/>
      </w:pPr>
      <w:r>
        <w:t xml:space="preserve">Project and Asset Management Information Management </w:t>
      </w:r>
    </w:p>
    <w:p w14:paraId="5CBA4762" w14:textId="77777777" w:rsidR="00176A5B" w:rsidRPr="00AF3F4C" w:rsidRDefault="00176A5B" w:rsidP="00176A5B">
      <w:r>
        <w:t>A</w:t>
      </w:r>
      <w:r w:rsidRPr="00A14D0E">
        <w:t xml:space="preserve"> data management system </w:t>
      </w:r>
      <w:r>
        <w:t xml:space="preserve">was developed to </w:t>
      </w:r>
      <w:r w:rsidRPr="00A14D0E">
        <w:t xml:space="preserve">streamline project and asset information management. This will assist </w:t>
      </w:r>
      <w:r>
        <w:t>the division to</w:t>
      </w:r>
      <w:r w:rsidRPr="00A14D0E">
        <w:t xml:space="preserve"> efficiently maintai</w:t>
      </w:r>
      <w:r>
        <w:t>n project and asset information</w:t>
      </w:r>
      <w:r w:rsidRPr="00A14D0E">
        <w:t xml:space="preserve"> enabling systematic project management </w:t>
      </w:r>
      <w:r>
        <w:t>and reporting. It will also ensure</w:t>
      </w:r>
      <w:r w:rsidRPr="00A14D0E">
        <w:t xml:space="preserve"> asset management information is readily accessible to inform plann</w:t>
      </w:r>
      <w:r>
        <w:t>ing and management decisions. This system</w:t>
      </w:r>
      <w:r w:rsidRPr="00A14D0E">
        <w:t xml:space="preserve"> is a central plank in CSV's response to the Victorian Government's Asset Management and Accountability Framework.</w:t>
      </w:r>
    </w:p>
    <w:p w14:paraId="71515D5B" w14:textId="77777777" w:rsidR="00176A5B" w:rsidRDefault="00176A5B" w:rsidP="00176A5B">
      <w:pPr>
        <w:pStyle w:val="Heading4"/>
      </w:pPr>
      <w:r w:rsidRPr="002741BE">
        <w:t>Strategic Leased Properties Management Plan</w:t>
      </w:r>
    </w:p>
    <w:p w14:paraId="59775555" w14:textId="77777777" w:rsidR="00176A5B" w:rsidRPr="00A14D0E" w:rsidRDefault="00176A5B" w:rsidP="00176A5B">
      <w:r>
        <w:t>A S</w:t>
      </w:r>
      <w:r w:rsidRPr="00F00065">
        <w:t xml:space="preserve">trategic </w:t>
      </w:r>
      <w:r>
        <w:t>Leased Properties Management P</w:t>
      </w:r>
      <w:r w:rsidRPr="00F00065">
        <w:t xml:space="preserve">lan </w:t>
      </w:r>
      <w:r>
        <w:t xml:space="preserve">is being developed </w:t>
      </w:r>
      <w:r w:rsidRPr="00F00065">
        <w:t>to actively manage existing leased properties, prepare for end</w:t>
      </w:r>
      <w:r>
        <w:t>-of-lease term or renegotiation,</w:t>
      </w:r>
      <w:r w:rsidRPr="00F00065">
        <w:t xml:space="preserve"> and provide a comprehensive market assessment approach to determine if alternative leased accommodation delivers best value for money.</w:t>
      </w:r>
    </w:p>
    <w:p w14:paraId="52117FA9" w14:textId="77777777" w:rsidR="00176A5B" w:rsidRDefault="00176A5B" w:rsidP="00176A5B">
      <w:pPr>
        <w:pStyle w:val="Heading4"/>
      </w:pPr>
      <w:r w:rsidRPr="002741BE">
        <w:t>P</w:t>
      </w:r>
      <w:r>
        <w:t>roperty Services Team</w:t>
      </w:r>
    </w:p>
    <w:p w14:paraId="045B51D0" w14:textId="002351E4" w:rsidR="00176A5B" w:rsidRPr="00DD2E4C" w:rsidRDefault="00176A5B" w:rsidP="00176A5B">
      <w:r>
        <w:t xml:space="preserve">A Property Services </w:t>
      </w:r>
      <w:r w:rsidR="0043431E">
        <w:t>T</w:t>
      </w:r>
      <w:r>
        <w:t xml:space="preserve">eam was established </w:t>
      </w:r>
      <w:r w:rsidRPr="00DD2E4C">
        <w:t xml:space="preserve">to </w:t>
      </w:r>
      <w:r>
        <w:t>deliver end-to-</w:t>
      </w:r>
      <w:r w:rsidRPr="00DD2E4C">
        <w:t xml:space="preserve">end facility and asset management </w:t>
      </w:r>
      <w:r>
        <w:t xml:space="preserve">services to jurisdictions. </w:t>
      </w:r>
      <w:r w:rsidRPr="00DD2E4C">
        <w:t xml:space="preserve">This includes strategic planning and trend analysis, budget and reporting functions, capital planning and project delivery, project management, facilities management, performance analysis, property and contract management, security and safety and customer service. The </w:t>
      </w:r>
      <w:r>
        <w:t>team</w:t>
      </w:r>
      <w:r w:rsidRPr="00DD2E4C">
        <w:t xml:space="preserve"> support</w:t>
      </w:r>
      <w:r>
        <w:t>s</w:t>
      </w:r>
      <w:r w:rsidRPr="00DD2E4C">
        <w:t xml:space="preserve"> CSV to achieve financial and economic efficiency and effectiveness through consolidation of resources and streamlining of services.</w:t>
      </w:r>
    </w:p>
    <w:p w14:paraId="3E5E3CC1" w14:textId="77777777" w:rsidR="00176A5B" w:rsidRPr="001F061D" w:rsidRDefault="00176A5B" w:rsidP="00176A5B">
      <w:pPr>
        <w:pStyle w:val="Heading4"/>
      </w:pPr>
      <w:r w:rsidRPr="002741BE">
        <w:t>Essential Services Maintenance Contract</w:t>
      </w:r>
    </w:p>
    <w:p w14:paraId="404D87B0" w14:textId="77777777" w:rsidR="00176A5B" w:rsidRDefault="00176A5B" w:rsidP="00176A5B">
      <w:r>
        <w:t>A</w:t>
      </w:r>
      <w:r w:rsidRPr="00DD2E4C">
        <w:t xml:space="preserve"> robust procurement process </w:t>
      </w:r>
      <w:r>
        <w:t xml:space="preserve">was undertaken </w:t>
      </w:r>
      <w:r w:rsidRPr="00DD2E4C">
        <w:t>to establish an Essential Services Maintenance (ESM)</w:t>
      </w:r>
      <w:r>
        <w:t xml:space="preserve"> </w:t>
      </w:r>
      <w:r w:rsidRPr="00DD2E4C">
        <w:t xml:space="preserve">Contract </w:t>
      </w:r>
      <w:r>
        <w:t xml:space="preserve">which commenced on </w:t>
      </w:r>
      <w:r w:rsidRPr="00DD2E4C">
        <w:t xml:space="preserve">1 May 2016.  </w:t>
      </w:r>
      <w:r>
        <w:t>The</w:t>
      </w:r>
      <w:r w:rsidRPr="00DD2E4C">
        <w:t xml:space="preserve"> new contract </w:t>
      </w:r>
      <w:r>
        <w:t>will deliver benefits</w:t>
      </w:r>
      <w:r w:rsidRPr="00DD2E4C">
        <w:t xml:space="preserve"> through direct oversight of the delivery of ESM </w:t>
      </w:r>
      <w:r>
        <w:t xml:space="preserve">and other key </w:t>
      </w:r>
      <w:r w:rsidRPr="00DD2E4C">
        <w:t xml:space="preserve">services and transparency in the cost of those services. The contract provides for regular reporting on the condition of </w:t>
      </w:r>
      <w:r>
        <w:t>CSV’s</w:t>
      </w:r>
      <w:r w:rsidRPr="00DD2E4C">
        <w:t xml:space="preserve"> assets to inform strategic planning and life cycle management of the plant and equipment on each site.  </w:t>
      </w:r>
    </w:p>
    <w:p w14:paraId="0886FD1E" w14:textId="77777777" w:rsidR="004079F1" w:rsidRPr="00DD2E4C" w:rsidRDefault="004079F1" w:rsidP="00176A5B"/>
    <w:p w14:paraId="795B4107" w14:textId="77777777" w:rsidR="00176A5B" w:rsidRPr="00CF273E" w:rsidRDefault="00176A5B" w:rsidP="00176A5B">
      <w:pPr>
        <w:pStyle w:val="Heading3"/>
      </w:pPr>
      <w:r>
        <w:t xml:space="preserve">Responding to </w:t>
      </w:r>
      <w:r w:rsidRPr="00CF273E">
        <w:t>Challenges</w:t>
      </w:r>
    </w:p>
    <w:p w14:paraId="3CDA9E6E" w14:textId="02B16533" w:rsidR="00176A5B" w:rsidRPr="00DD2E4C" w:rsidRDefault="00176A5B" w:rsidP="00176A5B">
      <w:r w:rsidRPr="00DD2E4C">
        <w:t>A hi</w:t>
      </w:r>
      <w:r>
        <w:t xml:space="preserve">story of under investment in court assets </w:t>
      </w:r>
      <w:r w:rsidRPr="00DD2E4C">
        <w:t>remains a significant challenge for CSV. The development of the Strategic Asset Plan and Multi-Year Asset Investment Strategy will provide the evidence and catalyst for the ongoing i</w:t>
      </w:r>
      <w:r>
        <w:t>nvestment required to meet current and future challenges and needs,</w:t>
      </w:r>
      <w:r w:rsidRPr="00DD2E4C">
        <w:t xml:space="preserve"> </w:t>
      </w:r>
      <w:r w:rsidR="001A2D06">
        <w:t xml:space="preserve">also </w:t>
      </w:r>
      <w:r w:rsidR="001A2D06" w:rsidRPr="00DD2E4C">
        <w:t>ensuring</w:t>
      </w:r>
      <w:r w:rsidRPr="00DD2E4C">
        <w:t xml:space="preserve"> </w:t>
      </w:r>
      <w:r>
        <w:t>that our</w:t>
      </w:r>
      <w:r w:rsidRPr="00DD2E4C">
        <w:t xml:space="preserve"> assets are safe, secure and fit for purpose. </w:t>
      </w:r>
    </w:p>
    <w:p w14:paraId="29FCC997" w14:textId="77777777" w:rsidR="00176A5B" w:rsidRDefault="00176A5B" w:rsidP="00176A5B">
      <w:pPr>
        <w:pStyle w:val="Notes"/>
      </w:pPr>
    </w:p>
    <w:p w14:paraId="61CE6159" w14:textId="2CF593CB" w:rsidR="00176A5B" w:rsidRDefault="00176A5B" w:rsidP="00176A5B">
      <w:r>
        <w:t>The</w:t>
      </w:r>
      <w:r w:rsidRPr="002741BE">
        <w:t xml:space="preserve"> Strategic Asset Plan</w:t>
      </w:r>
      <w:r>
        <w:t xml:space="preserve">, which </w:t>
      </w:r>
      <w:r w:rsidR="001A2D06">
        <w:t xml:space="preserve">is </w:t>
      </w:r>
      <w:r w:rsidR="001A2D06" w:rsidRPr="002741BE">
        <w:t>in</w:t>
      </w:r>
      <w:r>
        <w:t xml:space="preserve"> the final stages of development, is intended to provide a </w:t>
      </w:r>
      <w:r w:rsidRPr="002741BE">
        <w:t>blueprint for strategic planning and future development</w:t>
      </w:r>
      <w:r>
        <w:t xml:space="preserve"> for the portfolio of courts and tribunal across the state. A</w:t>
      </w:r>
      <w:r w:rsidRPr="002741BE">
        <w:t>n investigation of best pract</w:t>
      </w:r>
      <w:r>
        <w:t>ice and emerging service trends</w:t>
      </w:r>
      <w:r w:rsidRPr="002741BE">
        <w:t>; analysis of demand; and</w:t>
      </w:r>
      <w:r>
        <w:t xml:space="preserve"> a review of</w:t>
      </w:r>
      <w:r w:rsidRPr="002741BE">
        <w:t xml:space="preserve"> </w:t>
      </w:r>
      <w:r>
        <w:t xml:space="preserve">court </w:t>
      </w:r>
      <w:r w:rsidRPr="002741BE">
        <w:t>building condition</w:t>
      </w:r>
      <w:r>
        <w:t>s</w:t>
      </w:r>
      <w:r w:rsidRPr="002741BE">
        <w:t xml:space="preserve"> and functionality </w:t>
      </w:r>
      <w:r>
        <w:t xml:space="preserve">has enabled </w:t>
      </w:r>
      <w:r w:rsidRPr="002741BE">
        <w:t xml:space="preserve">comprehensive service planning </w:t>
      </w:r>
      <w:r>
        <w:t>that informs</w:t>
      </w:r>
      <w:r w:rsidRPr="002741BE">
        <w:t xml:space="preserve"> priority asset needs and </w:t>
      </w:r>
      <w:r>
        <w:t xml:space="preserve">an </w:t>
      </w:r>
      <w:r w:rsidRPr="002741BE">
        <w:t>investment strategy for the next 15</w:t>
      </w:r>
      <w:r>
        <w:t>years</w:t>
      </w:r>
    </w:p>
    <w:p w14:paraId="25C0A9A5" w14:textId="77777777" w:rsidR="001D2BDD" w:rsidRDefault="001D2BDD" w:rsidP="00176A5B"/>
    <w:p w14:paraId="457975B6" w14:textId="0F30A053" w:rsidR="00176A5B" w:rsidRDefault="00176A5B" w:rsidP="00176A5B">
      <w:r>
        <w:t>The s</w:t>
      </w:r>
      <w:r w:rsidRPr="00DD2E4C">
        <w:t>trategy account</w:t>
      </w:r>
      <w:r>
        <w:t xml:space="preserve">s </w:t>
      </w:r>
      <w:r w:rsidRPr="00DD2E4C">
        <w:t>for the co</w:t>
      </w:r>
      <w:r>
        <w:t>mplexity of issues facing each j</w:t>
      </w:r>
      <w:r w:rsidRPr="00DD2E4C">
        <w:t xml:space="preserve">urisdiction and </w:t>
      </w:r>
      <w:r>
        <w:t xml:space="preserve">will </w:t>
      </w:r>
      <w:r w:rsidRPr="00DD2E4C">
        <w:t>enable transfo</w:t>
      </w:r>
      <w:r w:rsidR="001A2D06">
        <w:t>rmation into a modern,</w:t>
      </w:r>
      <w:r w:rsidR="009209C9">
        <w:t xml:space="preserve"> </w:t>
      </w:r>
      <w:r w:rsidRPr="00DD2E4C">
        <w:t>cohesive</w:t>
      </w:r>
      <w:r>
        <w:t>, flexible, fit-for-purpose</w:t>
      </w:r>
      <w:r w:rsidRPr="00DD2E4C">
        <w:t xml:space="preserve"> and high quality service environment </w:t>
      </w:r>
      <w:r>
        <w:t>throughout</w:t>
      </w:r>
      <w:r w:rsidRPr="00DD2E4C">
        <w:t xml:space="preserve"> Victoria.  </w:t>
      </w:r>
    </w:p>
    <w:p w14:paraId="4894F45D" w14:textId="25839BBF" w:rsidR="0055688B" w:rsidRDefault="0055688B" w:rsidP="004079F1">
      <w:pPr>
        <w:pStyle w:val="Heading2"/>
      </w:pPr>
      <w:bookmarkStart w:id="15" w:name="_Toc466381167"/>
      <w:r>
        <w:t>Capital Projects</w:t>
      </w:r>
      <w:bookmarkEnd w:id="15"/>
    </w:p>
    <w:p w14:paraId="156F75F2" w14:textId="77777777" w:rsidR="0055688B" w:rsidRDefault="0055688B" w:rsidP="004079F1">
      <w:pPr>
        <w:pStyle w:val="Heading3"/>
      </w:pPr>
      <w:r>
        <w:t>Shepparton Law Courts Redevelopment</w:t>
      </w:r>
    </w:p>
    <w:p w14:paraId="700C7670" w14:textId="543CA1F9" w:rsidR="0055688B" w:rsidRDefault="00A97A91" w:rsidP="0055688B">
      <w:r>
        <w:t xml:space="preserve">Construction </w:t>
      </w:r>
      <w:r w:rsidR="00D9156A">
        <w:t>of</w:t>
      </w:r>
      <w:r>
        <w:t xml:space="preserve"> the $73 million Shepparton Law Courts redevelopment </w:t>
      </w:r>
      <w:r w:rsidR="0055688B">
        <w:t xml:space="preserve">commenced </w:t>
      </w:r>
      <w:r w:rsidR="0043431E">
        <w:t xml:space="preserve">on </w:t>
      </w:r>
      <w:r w:rsidR="0055688B">
        <w:t>12 April 2016</w:t>
      </w:r>
      <w:r>
        <w:t xml:space="preserve"> and is scheduled for </w:t>
      </w:r>
      <w:r w:rsidR="0055688B">
        <w:t xml:space="preserve">completion </w:t>
      </w:r>
      <w:r w:rsidR="0043431E">
        <w:t xml:space="preserve">in </w:t>
      </w:r>
      <w:r>
        <w:t>late</w:t>
      </w:r>
      <w:r w:rsidR="0043431E">
        <w:t>-</w:t>
      </w:r>
      <w:r>
        <w:t>2017</w:t>
      </w:r>
      <w:r w:rsidR="0055688B">
        <w:t xml:space="preserve">. </w:t>
      </w:r>
      <w:r>
        <w:t xml:space="preserve">The </w:t>
      </w:r>
      <w:r w:rsidR="008B4982">
        <w:t xml:space="preserve">redevelopment </w:t>
      </w:r>
      <w:r>
        <w:t>will feature a five-</w:t>
      </w:r>
      <w:r w:rsidR="0055688B">
        <w:t>storey, state</w:t>
      </w:r>
      <w:r w:rsidR="0043431E">
        <w:t>-</w:t>
      </w:r>
      <w:r w:rsidR="0055688B">
        <w:t>of</w:t>
      </w:r>
      <w:r w:rsidR="0043431E">
        <w:t>-</w:t>
      </w:r>
      <w:r w:rsidR="0055688B">
        <w:t>the</w:t>
      </w:r>
      <w:r w:rsidR="0043431E">
        <w:t>-</w:t>
      </w:r>
      <w:r w:rsidR="0055688B">
        <w:t>art multi-jurisdictional court</w:t>
      </w:r>
      <w:r w:rsidR="008B4982">
        <w:t xml:space="preserve"> facility</w:t>
      </w:r>
      <w:r w:rsidR="0055688B">
        <w:t xml:space="preserve"> that </w:t>
      </w:r>
      <w:r w:rsidR="008B4982">
        <w:t xml:space="preserve">will also </w:t>
      </w:r>
      <w:r w:rsidR="0055688B">
        <w:t>accommodate a range of services for the Greater Shepparton community.</w:t>
      </w:r>
    </w:p>
    <w:p w14:paraId="2928A95D" w14:textId="77777777" w:rsidR="0055688B" w:rsidRDefault="0055688B" w:rsidP="0055688B"/>
    <w:p w14:paraId="17F6263C" w14:textId="74247EDB" w:rsidR="0055688B" w:rsidRDefault="0055688B" w:rsidP="0055688B">
      <w:r>
        <w:t>A number of key activities have been completed including the acquisition of the adjoining land, rezoning of the site, subdivision and consolidation of the four separate Crown Allotments that previously made up the Shepparton Law Courts. Ext</w:t>
      </w:r>
      <w:r w:rsidR="006D12EC">
        <w:t xml:space="preserve">ensive </w:t>
      </w:r>
      <w:r w:rsidR="004540BD">
        <w:t xml:space="preserve">local </w:t>
      </w:r>
      <w:r w:rsidR="006D12EC">
        <w:t>consultation, community engagement and</w:t>
      </w:r>
      <w:r>
        <w:t xml:space="preserve"> planning workshops were conducted to inform the maste</w:t>
      </w:r>
      <w:r w:rsidR="006D12EC">
        <w:t>r planning, feasibility, design and service requirements</w:t>
      </w:r>
      <w:r>
        <w:t>. Robust procurement and tender processes have resulted in the engagement of early</w:t>
      </w:r>
      <w:r w:rsidR="0043431E">
        <w:t>-</w:t>
      </w:r>
      <w:r>
        <w:t>works and main construction contractor</w:t>
      </w:r>
      <w:r w:rsidR="006D12EC">
        <w:t xml:space="preserve">s </w:t>
      </w:r>
      <w:r>
        <w:t xml:space="preserve">within project budget. The early works program was completed in April 2016 </w:t>
      </w:r>
      <w:r w:rsidR="006D12EC">
        <w:t xml:space="preserve">and </w:t>
      </w:r>
      <w:r>
        <w:t>enable</w:t>
      </w:r>
      <w:r w:rsidR="006D12EC">
        <w:t>d</w:t>
      </w:r>
      <w:r>
        <w:t xml:space="preserve"> the main construction to commence </w:t>
      </w:r>
      <w:r w:rsidR="006D12EC">
        <w:t>at that time</w:t>
      </w:r>
      <w:r>
        <w:t>.</w:t>
      </w:r>
    </w:p>
    <w:p w14:paraId="59259048" w14:textId="77777777" w:rsidR="0055688B" w:rsidRDefault="0055688B" w:rsidP="0055688B"/>
    <w:p w14:paraId="111CF4BF" w14:textId="52FB7A00" w:rsidR="0055688B" w:rsidRDefault="0055688B" w:rsidP="0055688B">
      <w:r>
        <w:t xml:space="preserve">The </w:t>
      </w:r>
      <w:r w:rsidR="00635FF2">
        <w:t xml:space="preserve">project </w:t>
      </w:r>
      <w:r>
        <w:t xml:space="preserve">governance </w:t>
      </w:r>
      <w:r w:rsidR="00635FF2">
        <w:t>is managed</w:t>
      </w:r>
      <w:r>
        <w:t xml:space="preserve"> by a </w:t>
      </w:r>
      <w:r w:rsidR="00635FF2">
        <w:t xml:space="preserve">steering </w:t>
      </w:r>
      <w:r>
        <w:t>committ</w:t>
      </w:r>
      <w:r w:rsidR="00635FF2">
        <w:t xml:space="preserve">ee with representatives from </w:t>
      </w:r>
      <w:r>
        <w:t>relevant jurisdictions, local community members and judicial officers.</w:t>
      </w:r>
    </w:p>
    <w:p w14:paraId="1EE60E05" w14:textId="77777777" w:rsidR="0055688B" w:rsidRDefault="0055688B" w:rsidP="0055688B"/>
    <w:p w14:paraId="7AB485FE" w14:textId="77777777" w:rsidR="00F81B43" w:rsidRDefault="00F81B43" w:rsidP="004079F1">
      <w:pPr>
        <w:pStyle w:val="Heading3"/>
      </w:pPr>
      <w:r w:rsidRPr="00DD2E4C">
        <w:t>Broadmeadows Children’s Court</w:t>
      </w:r>
    </w:p>
    <w:p w14:paraId="7A85599B" w14:textId="4C13B8CE" w:rsidR="00F81B43" w:rsidRDefault="00F81B43" w:rsidP="00F81B43">
      <w:r w:rsidRPr="00DD2E4C">
        <w:t>The $11.44 million Children’s Court in Broadmeadows opened in November 2015. This state</w:t>
      </w:r>
      <w:r w:rsidR="0043431E">
        <w:t>-</w:t>
      </w:r>
      <w:r w:rsidRPr="00DD2E4C">
        <w:t>of</w:t>
      </w:r>
      <w:r w:rsidR="0043431E">
        <w:t>-</w:t>
      </w:r>
      <w:r w:rsidRPr="00DD2E4C">
        <w:t>the</w:t>
      </w:r>
      <w:r w:rsidR="0043431E">
        <w:t>-</w:t>
      </w:r>
      <w:r w:rsidRPr="00DD2E4C">
        <w:t>art facility supports the Children’s Courts requirements including innovative approaches in resolving matters in the Family Division and the delivery of a range of support services to the community.</w:t>
      </w:r>
    </w:p>
    <w:p w14:paraId="7E7CB6E6" w14:textId="35F46D93" w:rsidR="00B539FA" w:rsidRPr="00B539FA" w:rsidRDefault="00B539FA" w:rsidP="00B539FA">
      <w:pPr>
        <w:shd w:val="clear" w:color="auto" w:fill="FFFFFF"/>
        <w:spacing w:before="240" w:after="120"/>
      </w:pPr>
      <w:r w:rsidRPr="00C73B1D">
        <w:t>In an Australian first, the court</w:t>
      </w:r>
      <w:r w:rsidR="009957CE" w:rsidRPr="00C73B1D">
        <w:t xml:space="preserve"> feature</w:t>
      </w:r>
      <w:r w:rsidR="0043431E">
        <w:t>s</w:t>
      </w:r>
      <w:r w:rsidRPr="00C73B1D">
        <w:t xml:space="preserve"> a purpose-built </w:t>
      </w:r>
      <w:r w:rsidR="0043431E">
        <w:t>C</w:t>
      </w:r>
      <w:r w:rsidRPr="00C73B1D">
        <w:t xml:space="preserve">ubby </w:t>
      </w:r>
      <w:r w:rsidR="0043431E">
        <w:t>H</w:t>
      </w:r>
      <w:r w:rsidRPr="00C73B1D">
        <w:t>ouse designed to provide a sanctuary for children to help them escape the emotional environment of the court</w:t>
      </w:r>
      <w:r w:rsidR="005B2597" w:rsidRPr="00C73B1D">
        <w:t xml:space="preserve">. </w:t>
      </w:r>
      <w:r w:rsidRPr="00C73B1D">
        <w:t xml:space="preserve">The </w:t>
      </w:r>
      <w:r w:rsidR="0043431E">
        <w:t>C</w:t>
      </w:r>
      <w:r w:rsidRPr="00C73B1D">
        <w:t xml:space="preserve">ubby </w:t>
      </w:r>
      <w:r w:rsidR="0043431E">
        <w:t>H</w:t>
      </w:r>
      <w:r w:rsidRPr="00C73B1D">
        <w:t xml:space="preserve">ouse </w:t>
      </w:r>
      <w:r w:rsidR="005B2597" w:rsidRPr="00C73B1D">
        <w:t>offers</w:t>
      </w:r>
      <w:r w:rsidRPr="00C73B1D">
        <w:t xml:space="preserve"> a relaxing and fun space with games, iPads, books, comfortable seating and an outdoor area with garden space. A youth worker is also on hand to provide support for the children.</w:t>
      </w:r>
      <w:r w:rsidR="0043431E">
        <w:t xml:space="preserve"> The Cubby House</w:t>
      </w:r>
      <w:r w:rsidRPr="00C73B1D">
        <w:t xml:space="preserve"> initiative was developed in partnership with the Alannah and Madeline Foundation.</w:t>
      </w:r>
    </w:p>
    <w:p w14:paraId="62AF78F5" w14:textId="3D352A34" w:rsidR="00CF273E" w:rsidRPr="00486D52" w:rsidRDefault="000931B9" w:rsidP="00D35369">
      <w:pPr>
        <w:pStyle w:val="Heading2"/>
      </w:pPr>
      <w:r w:rsidRPr="00B539FA">
        <w:rPr>
          <w:rFonts w:eastAsia="Calibri"/>
          <w:bCs w:val="0"/>
          <w:iCs w:val="0"/>
          <w:caps w:val="0"/>
          <w:sz w:val="22"/>
          <w:szCs w:val="22"/>
        </w:rPr>
        <w:br w:type="page"/>
      </w:r>
      <w:bookmarkStart w:id="16" w:name="_Toc466381168"/>
      <w:r w:rsidR="002D7DE8" w:rsidRPr="00486D52">
        <w:t xml:space="preserve">Output </w:t>
      </w:r>
      <w:r w:rsidR="008B4982">
        <w:t>performance</w:t>
      </w:r>
      <w:bookmarkEnd w:id="16"/>
    </w:p>
    <w:p w14:paraId="03DEF185" w14:textId="77777777" w:rsidR="007C20B8" w:rsidRDefault="007C20B8" w:rsidP="007C20B8">
      <w:r w:rsidRPr="00733750">
        <w:t xml:space="preserve">CSV's operational and budgetary objectives and performance are aligned with jurisdiction's performance. </w:t>
      </w:r>
      <w:r>
        <w:t xml:space="preserve">The State Budget Papers describe the objectives and associated performance indicators for the Courts output. </w:t>
      </w:r>
    </w:p>
    <w:p w14:paraId="1AE42727" w14:textId="77777777" w:rsidR="007C20B8" w:rsidRDefault="007C20B8" w:rsidP="007C20B8"/>
    <w:p w14:paraId="3DBEC09C" w14:textId="77777777" w:rsidR="007C20B8" w:rsidRPr="00486D52" w:rsidRDefault="007C20B8" w:rsidP="007C20B8">
      <w:r w:rsidRPr="00486D52">
        <w:t xml:space="preserve">The mission for the Courts output, as outlined in the </w:t>
      </w:r>
      <w:r>
        <w:t xml:space="preserve">Victorian Budget </w:t>
      </w:r>
      <w:r w:rsidRPr="00486D52">
        <w:t xml:space="preserve">2015–16 </w:t>
      </w:r>
      <w:r>
        <w:t>was</w:t>
      </w:r>
      <w:r w:rsidRPr="00486D52">
        <w:t>:</w:t>
      </w:r>
    </w:p>
    <w:p w14:paraId="59EFF869" w14:textId="77777777" w:rsidR="007C20B8" w:rsidRPr="00486D52" w:rsidRDefault="007C20B8" w:rsidP="007C20B8">
      <w:pPr>
        <w:pStyle w:val="Quote"/>
      </w:pPr>
      <w:r w:rsidRPr="00486D52">
        <w:t>Victoria’s courts and tribunals safeguard and maintain the rule of law through the fair, timely and efficient dispensing of justice.</w:t>
      </w:r>
    </w:p>
    <w:p w14:paraId="5CD860D6" w14:textId="77777777" w:rsidR="000A686B" w:rsidRDefault="000A686B" w:rsidP="00643BCF">
      <w:pPr>
        <w:pStyle w:val="Heading4"/>
      </w:pPr>
      <w:r>
        <w:t>Courts Output</w:t>
      </w:r>
      <w:r w:rsidRPr="006B53E1">
        <w:t xml:space="preserve"> objective</w:t>
      </w:r>
    </w:p>
    <w:p w14:paraId="7407E7C0" w14:textId="77777777" w:rsidR="000A686B" w:rsidRDefault="000A686B" w:rsidP="000A686B">
      <w:r w:rsidRPr="00B70772">
        <w:t>The fair, timely and efficient dispensing of justice</w:t>
      </w:r>
      <w:r>
        <w:t>.</w:t>
      </w:r>
    </w:p>
    <w:p w14:paraId="48B2E561" w14:textId="77777777" w:rsidR="00A03AA7" w:rsidRDefault="00A03AA7" w:rsidP="000A686B"/>
    <w:p w14:paraId="26FE4472" w14:textId="77777777" w:rsidR="00A03AA7" w:rsidRDefault="00A03AA7" w:rsidP="00A03AA7">
      <w:r w:rsidRPr="001C50C1">
        <w:t xml:space="preserve">There </w:t>
      </w:r>
      <w:r>
        <w:t xml:space="preserve">were </w:t>
      </w:r>
      <w:r w:rsidRPr="001C50C1">
        <w:t xml:space="preserve">no changes to </w:t>
      </w:r>
      <w:r>
        <w:t>the C</w:t>
      </w:r>
      <w:r w:rsidRPr="001C50C1">
        <w:t xml:space="preserve">ourts output structure for </w:t>
      </w:r>
      <w:r>
        <w:t>2015-16</w:t>
      </w:r>
      <w:r w:rsidRPr="001C50C1">
        <w:t>.</w:t>
      </w:r>
    </w:p>
    <w:p w14:paraId="1216A8E9" w14:textId="77777777" w:rsidR="00A03AA7" w:rsidRDefault="00A03AA7" w:rsidP="000A686B"/>
    <w:p w14:paraId="6E52B42C" w14:textId="77777777" w:rsidR="000A686B" w:rsidRDefault="000A686B" w:rsidP="00643BCF">
      <w:pPr>
        <w:pStyle w:val="Heading4"/>
      </w:pPr>
      <w:r w:rsidRPr="006B53E1">
        <w:t>Indicators</w:t>
      </w:r>
    </w:p>
    <w:p w14:paraId="75D6ECE6" w14:textId="77777777" w:rsidR="000A686B" w:rsidRDefault="000A686B" w:rsidP="000A686B">
      <w:pPr>
        <w:pStyle w:val="ListBullet"/>
      </w:pPr>
      <w:r w:rsidRPr="00B70772">
        <w:t xml:space="preserve">Clearance of criminal caseload (finalisations/Lodgements) </w:t>
      </w:r>
    </w:p>
    <w:p w14:paraId="514B2991" w14:textId="77777777" w:rsidR="000A686B" w:rsidRDefault="000A686B" w:rsidP="000A686B">
      <w:pPr>
        <w:pStyle w:val="ListBullet"/>
      </w:pPr>
      <w:r w:rsidRPr="00B70772">
        <w:t>Clearance of civil case load (finalisations/Lodgements</w:t>
      </w:r>
      <w:r>
        <w:t>)</w:t>
      </w:r>
    </w:p>
    <w:p w14:paraId="5533B27B" w14:textId="77777777" w:rsidR="007C20B8" w:rsidRDefault="007C20B8" w:rsidP="007C20B8"/>
    <w:p w14:paraId="016F08F0" w14:textId="55067A7E" w:rsidR="000A686B" w:rsidRDefault="000A686B" w:rsidP="007C20B8">
      <w:r>
        <w:t>Data in relation to the t</w:t>
      </w:r>
      <w:r w:rsidR="006F240E">
        <w:t>wo clearance rate indicators is</w:t>
      </w:r>
      <w:r>
        <w:t xml:space="preserve"> included in Table 1 with each of the Courts output measure results.</w:t>
      </w:r>
    </w:p>
    <w:p w14:paraId="580D628D" w14:textId="77777777" w:rsidR="000A686B" w:rsidRDefault="000A686B" w:rsidP="007C20B8"/>
    <w:p w14:paraId="23125DA9" w14:textId="4719928C" w:rsidR="000A686B" w:rsidRDefault="000A686B" w:rsidP="007C20B8">
      <w:r>
        <w:t>For more information about Courts outcomes and data, refer to the individual Annual Reports of each jurisdiction.</w:t>
      </w:r>
    </w:p>
    <w:p w14:paraId="3B52FA51" w14:textId="77777777" w:rsidR="007C20B8" w:rsidRDefault="007C20B8" w:rsidP="002D3822">
      <w:pPr>
        <w:pStyle w:val="Heading3"/>
      </w:pPr>
      <w:r>
        <w:t>International Framework for Court Excellence</w:t>
      </w:r>
    </w:p>
    <w:p w14:paraId="7959C2E6" w14:textId="3186EA9F" w:rsidR="007C20B8" w:rsidRDefault="007C20B8" w:rsidP="007C20B8">
      <w:r>
        <w:t>The</w:t>
      </w:r>
      <w:r w:rsidR="006F240E">
        <w:t xml:space="preserve"> </w:t>
      </w:r>
      <w:r>
        <w:t>International Framework for Court Excellence</w:t>
      </w:r>
      <w:r w:rsidR="006F240E">
        <w:t xml:space="preserve"> </w:t>
      </w:r>
      <w:r>
        <w:t xml:space="preserve">(IFCE) is a management framework designed to help courts improve their performance. Developed for court use internationally, the Framework covers values, concepts, and tools to assess and improve the quality of justice and court administration within the court and tribunal system. </w:t>
      </w:r>
    </w:p>
    <w:p w14:paraId="0396EAB8" w14:textId="77777777" w:rsidR="007C20B8" w:rsidRDefault="007C20B8" w:rsidP="007C20B8"/>
    <w:p w14:paraId="4FB73D61" w14:textId="77777777" w:rsidR="007C20B8" w:rsidRDefault="007C20B8" w:rsidP="007C20B8">
      <w:r>
        <w:t>In 2015-16 three of the Global Measures from the IFCE were integrated into the Courts output performance measures outlined in the Victorian Budget Papers (BP3), which are:</w:t>
      </w:r>
    </w:p>
    <w:p w14:paraId="43BA9658" w14:textId="77777777" w:rsidR="007C20B8" w:rsidRDefault="007C20B8" w:rsidP="007C20B8">
      <w:r>
        <w:t xml:space="preserve"> </w:t>
      </w:r>
    </w:p>
    <w:p w14:paraId="68267B38" w14:textId="77777777" w:rsidR="007C20B8" w:rsidRPr="004A0989" w:rsidRDefault="007C20B8" w:rsidP="007C20B8">
      <w:pPr>
        <w:pStyle w:val="ListParagraph"/>
        <w:numPr>
          <w:ilvl w:val="0"/>
          <w:numId w:val="35"/>
        </w:numPr>
      </w:pPr>
      <w:r w:rsidRPr="004A0989">
        <w:rPr>
          <w:b/>
        </w:rPr>
        <w:t>Cost Per Case:</w:t>
      </w:r>
      <w:r w:rsidRPr="004A0989">
        <w:t xml:space="preserve"> Money expenditures per case (net cost per finalisation).</w:t>
      </w:r>
    </w:p>
    <w:p w14:paraId="2751F79A" w14:textId="77777777" w:rsidR="007C20B8" w:rsidRPr="004A0989" w:rsidRDefault="007C20B8" w:rsidP="007C20B8">
      <w:pPr>
        <w:pStyle w:val="ListParagraph"/>
        <w:numPr>
          <w:ilvl w:val="0"/>
          <w:numId w:val="35"/>
        </w:numPr>
      </w:pPr>
      <w:r w:rsidRPr="004A0989">
        <w:rPr>
          <w:b/>
        </w:rPr>
        <w:t>Case Clearance Rate</w:t>
      </w:r>
      <w:r w:rsidRPr="004A0989">
        <w:t>: The number of finalised (outgoing) cases expressed as a percentage of registered/filed (incoming) cases.</w:t>
      </w:r>
    </w:p>
    <w:p w14:paraId="0E9483C6" w14:textId="77777777" w:rsidR="007C20B8" w:rsidRPr="004A0989" w:rsidRDefault="007C20B8" w:rsidP="007C20B8">
      <w:pPr>
        <w:pStyle w:val="ListParagraph"/>
        <w:numPr>
          <w:ilvl w:val="0"/>
          <w:numId w:val="35"/>
        </w:numPr>
      </w:pPr>
      <w:r w:rsidRPr="004A0989">
        <w:rPr>
          <w:b/>
        </w:rPr>
        <w:t>On-Time Case Processing</w:t>
      </w:r>
      <w:r w:rsidRPr="004A0989">
        <w:t>: The percentage of cases resolved or otherwise finalised within established timeframes.</w:t>
      </w:r>
    </w:p>
    <w:p w14:paraId="0BB3981B" w14:textId="77777777" w:rsidR="007C20B8" w:rsidRPr="002D3822" w:rsidRDefault="007C20B8">
      <w:pPr>
        <w:rPr>
          <w:lang w:eastAsia="en-US"/>
        </w:rPr>
      </w:pPr>
    </w:p>
    <w:p w14:paraId="62DE4161" w14:textId="77777777" w:rsidR="007C20B8" w:rsidRDefault="007C20B8" w:rsidP="002D3822">
      <w:pPr>
        <w:pStyle w:val="Heading3"/>
        <w:rPr>
          <w:lang w:eastAsia="en-US"/>
        </w:rPr>
      </w:pPr>
      <w:r>
        <w:rPr>
          <w:lang w:eastAsia="en-US"/>
        </w:rPr>
        <w:br w:type="page"/>
      </w:r>
    </w:p>
    <w:p w14:paraId="7CA30C08" w14:textId="185762A7" w:rsidR="00E45544" w:rsidRDefault="00E45544">
      <w:pPr>
        <w:pStyle w:val="Heading3"/>
      </w:pPr>
      <w:bookmarkStart w:id="17" w:name="_Toc452706262"/>
      <w:r w:rsidRPr="007C20B8">
        <w:t>Performance Against Measures</w:t>
      </w:r>
      <w:bookmarkEnd w:id="17"/>
    </w:p>
    <w:p w14:paraId="08A4792A" w14:textId="28C907D1" w:rsidR="000A686B" w:rsidRPr="000A686B" w:rsidRDefault="000A686B" w:rsidP="000A686B">
      <w:pPr>
        <w:pStyle w:val="Caption"/>
      </w:pPr>
      <w:r w:rsidRPr="00F34B26">
        <w:t xml:space="preserve">Table </w:t>
      </w:r>
      <w:r>
        <w:t>1</w:t>
      </w:r>
      <w:r w:rsidRPr="00F34B26">
        <w:t xml:space="preserve">: </w:t>
      </w:r>
      <w:r w:rsidRPr="00F34B26">
        <w:tab/>
      </w:r>
      <w:r>
        <w:t xml:space="preserve">Courts Output – Performance against measures </w:t>
      </w:r>
      <w:r w:rsidRPr="00F34B26">
        <w:t>2015 - 2016</w:t>
      </w:r>
    </w:p>
    <w:p w14:paraId="1A80B6AA" w14:textId="77777777" w:rsidR="006E0EA5" w:rsidRDefault="006E0EA5" w:rsidP="005B0771"/>
    <w:tbl>
      <w:tblPr>
        <w:tblW w:w="5250" w:type="pct"/>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116"/>
        <w:gridCol w:w="1123"/>
        <w:gridCol w:w="963"/>
        <w:gridCol w:w="982"/>
        <w:gridCol w:w="1263"/>
        <w:gridCol w:w="662"/>
      </w:tblGrid>
      <w:tr w:rsidR="006F240E" w:rsidRPr="00901EA1" w14:paraId="0077A365" w14:textId="77777777" w:rsidTr="00643BCF">
        <w:trPr>
          <w:cantSplit/>
          <w:tblHeader/>
        </w:trPr>
        <w:tc>
          <w:tcPr>
            <w:tcW w:w="5116" w:type="dxa"/>
            <w:shd w:val="clear" w:color="auto" w:fill="auto"/>
            <w:vAlign w:val="center"/>
          </w:tcPr>
          <w:p w14:paraId="41272799" w14:textId="77777777" w:rsidR="006F240E" w:rsidRPr="00901EA1" w:rsidRDefault="006F240E" w:rsidP="00AA398D">
            <w:pPr>
              <w:rPr>
                <w:b/>
                <w:iCs/>
                <w:sz w:val="18"/>
                <w:szCs w:val="18"/>
              </w:rPr>
            </w:pPr>
            <w:r w:rsidRPr="00901EA1">
              <w:rPr>
                <w:b/>
                <w:sz w:val="18"/>
                <w:szCs w:val="18"/>
              </w:rPr>
              <w:t>Performance Measures</w:t>
            </w:r>
          </w:p>
        </w:tc>
        <w:tc>
          <w:tcPr>
            <w:tcW w:w="1123" w:type="dxa"/>
            <w:shd w:val="clear" w:color="auto" w:fill="auto"/>
            <w:vAlign w:val="bottom"/>
          </w:tcPr>
          <w:p w14:paraId="1626DECB" w14:textId="77777777" w:rsidR="006F240E" w:rsidRPr="00901EA1" w:rsidRDefault="006F240E" w:rsidP="00AA398D">
            <w:pPr>
              <w:jc w:val="center"/>
              <w:rPr>
                <w:b/>
                <w:sz w:val="18"/>
                <w:szCs w:val="18"/>
              </w:rPr>
            </w:pPr>
            <w:r w:rsidRPr="00901EA1">
              <w:rPr>
                <w:b/>
                <w:sz w:val="18"/>
                <w:szCs w:val="18"/>
              </w:rPr>
              <w:t>Unit of measure</w:t>
            </w:r>
          </w:p>
        </w:tc>
        <w:tc>
          <w:tcPr>
            <w:tcW w:w="963" w:type="dxa"/>
            <w:shd w:val="clear" w:color="auto" w:fill="auto"/>
            <w:vAlign w:val="bottom"/>
          </w:tcPr>
          <w:p w14:paraId="6C3DCCCA" w14:textId="77777777" w:rsidR="006F240E" w:rsidRPr="00901EA1" w:rsidRDefault="006F240E" w:rsidP="00AA398D">
            <w:pPr>
              <w:jc w:val="center"/>
              <w:rPr>
                <w:b/>
                <w:sz w:val="18"/>
                <w:szCs w:val="18"/>
              </w:rPr>
            </w:pPr>
            <w:r w:rsidRPr="00901EA1">
              <w:rPr>
                <w:b/>
                <w:sz w:val="18"/>
                <w:szCs w:val="18"/>
              </w:rPr>
              <w:t>2015-16 Estimate</w:t>
            </w:r>
          </w:p>
        </w:tc>
        <w:tc>
          <w:tcPr>
            <w:tcW w:w="982" w:type="dxa"/>
            <w:shd w:val="clear" w:color="auto" w:fill="auto"/>
            <w:vAlign w:val="bottom"/>
          </w:tcPr>
          <w:p w14:paraId="19E64052" w14:textId="77777777" w:rsidR="006F240E" w:rsidRPr="00901EA1" w:rsidRDefault="006F240E" w:rsidP="00AA398D">
            <w:pPr>
              <w:jc w:val="center"/>
              <w:rPr>
                <w:b/>
                <w:sz w:val="18"/>
                <w:szCs w:val="18"/>
              </w:rPr>
            </w:pPr>
            <w:r w:rsidRPr="00901EA1">
              <w:rPr>
                <w:b/>
                <w:sz w:val="18"/>
                <w:szCs w:val="18"/>
              </w:rPr>
              <w:t>2015-16 Actual</w:t>
            </w:r>
          </w:p>
        </w:tc>
        <w:tc>
          <w:tcPr>
            <w:tcW w:w="1263" w:type="dxa"/>
          </w:tcPr>
          <w:p w14:paraId="313E42A9" w14:textId="77777777" w:rsidR="006F240E" w:rsidRPr="00901EA1" w:rsidRDefault="006F240E" w:rsidP="00AA398D">
            <w:pPr>
              <w:jc w:val="center"/>
              <w:rPr>
                <w:b/>
                <w:sz w:val="18"/>
                <w:szCs w:val="18"/>
              </w:rPr>
            </w:pPr>
            <w:r w:rsidRPr="00901EA1">
              <w:rPr>
                <w:b/>
                <w:sz w:val="18"/>
                <w:szCs w:val="18"/>
              </w:rPr>
              <w:t>Performance variation (%)</w:t>
            </w:r>
          </w:p>
        </w:tc>
        <w:tc>
          <w:tcPr>
            <w:tcW w:w="662" w:type="dxa"/>
            <w:shd w:val="clear" w:color="auto" w:fill="auto"/>
            <w:vAlign w:val="bottom"/>
          </w:tcPr>
          <w:p w14:paraId="3C902210" w14:textId="77777777" w:rsidR="006F240E" w:rsidRPr="00901EA1" w:rsidRDefault="006F240E" w:rsidP="00AA398D">
            <w:pPr>
              <w:jc w:val="center"/>
              <w:rPr>
                <w:b/>
                <w:sz w:val="18"/>
                <w:szCs w:val="18"/>
              </w:rPr>
            </w:pPr>
            <w:r w:rsidRPr="00901EA1">
              <w:rPr>
                <w:b/>
                <w:sz w:val="18"/>
                <w:szCs w:val="18"/>
              </w:rPr>
              <w:t>Notes</w:t>
            </w:r>
          </w:p>
        </w:tc>
      </w:tr>
      <w:tr w:rsidR="006F240E" w:rsidRPr="00901EA1" w14:paraId="346B1C26" w14:textId="77777777" w:rsidTr="00643BCF">
        <w:trPr>
          <w:cantSplit/>
        </w:trPr>
        <w:tc>
          <w:tcPr>
            <w:tcW w:w="5116" w:type="dxa"/>
            <w:shd w:val="clear" w:color="auto" w:fill="D9D9D9"/>
            <w:vAlign w:val="bottom"/>
          </w:tcPr>
          <w:p w14:paraId="08C41C88" w14:textId="77777777" w:rsidR="006F240E" w:rsidRPr="00901EA1" w:rsidRDefault="006F240E" w:rsidP="00AA398D">
            <w:pPr>
              <w:rPr>
                <w:b/>
                <w:sz w:val="18"/>
                <w:szCs w:val="18"/>
              </w:rPr>
            </w:pPr>
            <w:r w:rsidRPr="00901EA1">
              <w:rPr>
                <w:b/>
                <w:sz w:val="18"/>
                <w:szCs w:val="18"/>
              </w:rPr>
              <w:t>Quantity</w:t>
            </w:r>
          </w:p>
        </w:tc>
        <w:tc>
          <w:tcPr>
            <w:tcW w:w="1123" w:type="dxa"/>
            <w:shd w:val="clear" w:color="auto" w:fill="D9D9D9"/>
          </w:tcPr>
          <w:p w14:paraId="668741C8" w14:textId="77777777" w:rsidR="006F240E" w:rsidRPr="00901EA1" w:rsidRDefault="006F240E" w:rsidP="00AA398D">
            <w:pPr>
              <w:rPr>
                <w:b/>
                <w:sz w:val="18"/>
                <w:szCs w:val="18"/>
              </w:rPr>
            </w:pPr>
          </w:p>
        </w:tc>
        <w:tc>
          <w:tcPr>
            <w:tcW w:w="963" w:type="dxa"/>
            <w:shd w:val="clear" w:color="auto" w:fill="D9D9D9"/>
          </w:tcPr>
          <w:p w14:paraId="6DF379B8" w14:textId="77777777" w:rsidR="006F240E" w:rsidRPr="00901EA1" w:rsidRDefault="006F240E" w:rsidP="00AA398D">
            <w:pPr>
              <w:rPr>
                <w:b/>
                <w:sz w:val="18"/>
                <w:szCs w:val="18"/>
              </w:rPr>
            </w:pPr>
            <w:r w:rsidRPr="00901EA1">
              <w:rPr>
                <w:b/>
                <w:sz w:val="18"/>
                <w:szCs w:val="18"/>
              </w:rPr>
              <w:t xml:space="preserve"> </w:t>
            </w:r>
          </w:p>
        </w:tc>
        <w:tc>
          <w:tcPr>
            <w:tcW w:w="982" w:type="dxa"/>
            <w:shd w:val="clear" w:color="auto" w:fill="D9D9D9"/>
          </w:tcPr>
          <w:p w14:paraId="30918B1F" w14:textId="77777777" w:rsidR="006F240E" w:rsidRPr="00901EA1" w:rsidRDefault="006F240E" w:rsidP="00AA398D">
            <w:pPr>
              <w:rPr>
                <w:b/>
                <w:sz w:val="18"/>
                <w:szCs w:val="18"/>
              </w:rPr>
            </w:pPr>
          </w:p>
        </w:tc>
        <w:tc>
          <w:tcPr>
            <w:tcW w:w="1263" w:type="dxa"/>
            <w:shd w:val="clear" w:color="auto" w:fill="D9D9D9"/>
          </w:tcPr>
          <w:p w14:paraId="5A92E0BA" w14:textId="77777777" w:rsidR="006F240E" w:rsidRPr="00901EA1" w:rsidRDefault="006F240E" w:rsidP="00AA398D">
            <w:pPr>
              <w:rPr>
                <w:b/>
                <w:sz w:val="18"/>
                <w:szCs w:val="18"/>
              </w:rPr>
            </w:pPr>
          </w:p>
        </w:tc>
        <w:tc>
          <w:tcPr>
            <w:tcW w:w="662" w:type="dxa"/>
            <w:shd w:val="clear" w:color="auto" w:fill="D9D9D9"/>
          </w:tcPr>
          <w:p w14:paraId="4FC42FD0" w14:textId="77777777" w:rsidR="006F240E" w:rsidRPr="00901EA1" w:rsidRDefault="006F240E" w:rsidP="00AA398D">
            <w:pPr>
              <w:rPr>
                <w:b/>
                <w:sz w:val="18"/>
                <w:szCs w:val="18"/>
              </w:rPr>
            </w:pPr>
          </w:p>
        </w:tc>
      </w:tr>
      <w:tr w:rsidR="006F240E" w:rsidRPr="00901EA1" w14:paraId="0ED0BD17" w14:textId="77777777" w:rsidTr="00643BCF">
        <w:trPr>
          <w:cantSplit/>
        </w:trPr>
        <w:tc>
          <w:tcPr>
            <w:tcW w:w="5116" w:type="dxa"/>
            <w:shd w:val="clear" w:color="auto" w:fill="auto"/>
          </w:tcPr>
          <w:p w14:paraId="0C23B2A1" w14:textId="77777777" w:rsidR="006F240E" w:rsidRPr="00901EA1" w:rsidRDefault="006F240E" w:rsidP="00AA398D">
            <w:pPr>
              <w:rPr>
                <w:sz w:val="18"/>
                <w:szCs w:val="18"/>
              </w:rPr>
            </w:pPr>
            <w:r w:rsidRPr="00901EA1">
              <w:rPr>
                <w:sz w:val="18"/>
                <w:szCs w:val="18"/>
              </w:rPr>
              <w:t>Average cost per case – Civil matters disposed in the Supreme Court</w:t>
            </w:r>
          </w:p>
        </w:tc>
        <w:tc>
          <w:tcPr>
            <w:tcW w:w="1123" w:type="dxa"/>
            <w:shd w:val="clear" w:color="auto" w:fill="auto"/>
          </w:tcPr>
          <w:p w14:paraId="50886F47" w14:textId="77777777" w:rsidR="006F240E" w:rsidRPr="00901EA1" w:rsidRDefault="006F240E" w:rsidP="00AA398D">
            <w:pPr>
              <w:rPr>
                <w:sz w:val="18"/>
                <w:szCs w:val="18"/>
              </w:rPr>
            </w:pPr>
            <w:r w:rsidRPr="00901EA1">
              <w:rPr>
                <w:sz w:val="18"/>
                <w:szCs w:val="18"/>
              </w:rPr>
              <w:t>$ dollar</w:t>
            </w:r>
          </w:p>
        </w:tc>
        <w:tc>
          <w:tcPr>
            <w:tcW w:w="963" w:type="dxa"/>
            <w:shd w:val="clear" w:color="auto" w:fill="auto"/>
          </w:tcPr>
          <w:p w14:paraId="1D21D7C1" w14:textId="77777777" w:rsidR="006F240E" w:rsidRPr="00901EA1" w:rsidRDefault="006F240E" w:rsidP="00AA398D">
            <w:pPr>
              <w:jc w:val="right"/>
              <w:rPr>
                <w:sz w:val="18"/>
                <w:szCs w:val="18"/>
              </w:rPr>
            </w:pPr>
            <w:r w:rsidRPr="00901EA1">
              <w:rPr>
                <w:sz w:val="18"/>
                <w:szCs w:val="18"/>
              </w:rPr>
              <w:t>2,174</w:t>
            </w:r>
          </w:p>
        </w:tc>
        <w:tc>
          <w:tcPr>
            <w:tcW w:w="982" w:type="dxa"/>
            <w:shd w:val="clear" w:color="auto" w:fill="auto"/>
          </w:tcPr>
          <w:p w14:paraId="365EBC3D" w14:textId="77777777" w:rsidR="006F240E" w:rsidRPr="00901EA1" w:rsidRDefault="006F240E" w:rsidP="00AA398D">
            <w:pPr>
              <w:jc w:val="right"/>
              <w:rPr>
                <w:sz w:val="18"/>
                <w:szCs w:val="18"/>
              </w:rPr>
            </w:pPr>
            <w:r w:rsidRPr="00901EA1">
              <w:rPr>
                <w:sz w:val="18"/>
                <w:szCs w:val="18"/>
              </w:rPr>
              <w:t>2,119</w:t>
            </w:r>
          </w:p>
        </w:tc>
        <w:tc>
          <w:tcPr>
            <w:tcW w:w="1263" w:type="dxa"/>
          </w:tcPr>
          <w:p w14:paraId="6B6841AE" w14:textId="77777777" w:rsidR="006F240E" w:rsidRPr="00901EA1" w:rsidRDefault="006F240E" w:rsidP="00AA398D">
            <w:pPr>
              <w:jc w:val="right"/>
              <w:rPr>
                <w:sz w:val="18"/>
                <w:szCs w:val="18"/>
              </w:rPr>
            </w:pPr>
            <w:r w:rsidRPr="00901EA1">
              <w:rPr>
                <w:sz w:val="18"/>
                <w:szCs w:val="18"/>
              </w:rPr>
              <w:t>-2.5</w:t>
            </w:r>
          </w:p>
        </w:tc>
        <w:tc>
          <w:tcPr>
            <w:tcW w:w="662" w:type="dxa"/>
            <w:shd w:val="clear" w:color="auto" w:fill="auto"/>
          </w:tcPr>
          <w:p w14:paraId="19ACA208" w14:textId="77777777" w:rsidR="006F240E" w:rsidRPr="00901EA1" w:rsidRDefault="006F240E" w:rsidP="00AA398D">
            <w:pPr>
              <w:jc w:val="center"/>
              <w:rPr>
                <w:sz w:val="18"/>
                <w:szCs w:val="18"/>
              </w:rPr>
            </w:pPr>
            <w:r w:rsidRPr="00901EA1">
              <w:rPr>
                <w:sz w:val="18"/>
                <w:szCs w:val="18"/>
              </w:rPr>
              <w:t>1</w:t>
            </w:r>
          </w:p>
        </w:tc>
      </w:tr>
      <w:tr w:rsidR="006F240E" w:rsidRPr="00901EA1" w14:paraId="7F603211" w14:textId="77777777" w:rsidTr="00643BCF">
        <w:trPr>
          <w:cantSplit/>
        </w:trPr>
        <w:tc>
          <w:tcPr>
            <w:tcW w:w="5116" w:type="dxa"/>
            <w:shd w:val="clear" w:color="auto" w:fill="auto"/>
          </w:tcPr>
          <w:p w14:paraId="78F2C6F6" w14:textId="77777777" w:rsidR="006F240E" w:rsidRPr="00901EA1" w:rsidRDefault="006F240E" w:rsidP="00AA398D">
            <w:pPr>
              <w:rPr>
                <w:sz w:val="18"/>
                <w:szCs w:val="18"/>
              </w:rPr>
            </w:pPr>
            <w:r w:rsidRPr="00901EA1">
              <w:rPr>
                <w:sz w:val="18"/>
                <w:szCs w:val="18"/>
              </w:rPr>
              <w:t>Average cost per case – Civil matters disposed in the County Court</w:t>
            </w:r>
          </w:p>
        </w:tc>
        <w:tc>
          <w:tcPr>
            <w:tcW w:w="1123" w:type="dxa"/>
            <w:shd w:val="clear" w:color="auto" w:fill="auto"/>
          </w:tcPr>
          <w:p w14:paraId="14C7C0A2" w14:textId="77777777" w:rsidR="006F240E" w:rsidRPr="00901EA1" w:rsidRDefault="006F240E" w:rsidP="00AA398D">
            <w:pPr>
              <w:rPr>
                <w:sz w:val="18"/>
                <w:szCs w:val="18"/>
              </w:rPr>
            </w:pPr>
            <w:r w:rsidRPr="00901EA1">
              <w:rPr>
                <w:sz w:val="18"/>
                <w:szCs w:val="18"/>
              </w:rPr>
              <w:t>$ dollar</w:t>
            </w:r>
          </w:p>
        </w:tc>
        <w:tc>
          <w:tcPr>
            <w:tcW w:w="963" w:type="dxa"/>
            <w:shd w:val="clear" w:color="auto" w:fill="auto"/>
          </w:tcPr>
          <w:p w14:paraId="4E35C4AB" w14:textId="77777777" w:rsidR="006F240E" w:rsidRPr="00901EA1" w:rsidRDefault="006F240E" w:rsidP="00AA398D">
            <w:pPr>
              <w:jc w:val="right"/>
              <w:rPr>
                <w:sz w:val="18"/>
                <w:szCs w:val="18"/>
              </w:rPr>
            </w:pPr>
            <w:r w:rsidRPr="00901EA1">
              <w:rPr>
                <w:sz w:val="18"/>
                <w:szCs w:val="18"/>
              </w:rPr>
              <w:t>5,914</w:t>
            </w:r>
          </w:p>
        </w:tc>
        <w:tc>
          <w:tcPr>
            <w:tcW w:w="982" w:type="dxa"/>
            <w:shd w:val="clear" w:color="auto" w:fill="auto"/>
          </w:tcPr>
          <w:p w14:paraId="7FC6A856" w14:textId="77777777" w:rsidR="006F240E" w:rsidRPr="00901EA1" w:rsidRDefault="006F240E" w:rsidP="00AA398D">
            <w:pPr>
              <w:jc w:val="right"/>
              <w:rPr>
                <w:sz w:val="18"/>
                <w:szCs w:val="18"/>
              </w:rPr>
            </w:pPr>
            <w:r w:rsidRPr="00901EA1">
              <w:rPr>
                <w:sz w:val="18"/>
                <w:szCs w:val="18"/>
              </w:rPr>
              <w:t>5,282</w:t>
            </w:r>
          </w:p>
        </w:tc>
        <w:tc>
          <w:tcPr>
            <w:tcW w:w="1263" w:type="dxa"/>
          </w:tcPr>
          <w:p w14:paraId="0334F1BE" w14:textId="77777777" w:rsidR="006F240E" w:rsidRPr="00901EA1" w:rsidRDefault="006F240E" w:rsidP="00AA398D">
            <w:pPr>
              <w:jc w:val="right"/>
              <w:rPr>
                <w:sz w:val="18"/>
                <w:szCs w:val="18"/>
              </w:rPr>
            </w:pPr>
            <w:r w:rsidRPr="00901EA1">
              <w:rPr>
                <w:sz w:val="18"/>
                <w:szCs w:val="18"/>
              </w:rPr>
              <w:t>-11</w:t>
            </w:r>
          </w:p>
        </w:tc>
        <w:tc>
          <w:tcPr>
            <w:tcW w:w="662" w:type="dxa"/>
            <w:shd w:val="clear" w:color="auto" w:fill="auto"/>
          </w:tcPr>
          <w:p w14:paraId="212ABB4D" w14:textId="77777777" w:rsidR="006F240E" w:rsidRPr="00901EA1" w:rsidRDefault="006F240E" w:rsidP="00AA398D">
            <w:pPr>
              <w:jc w:val="center"/>
              <w:rPr>
                <w:sz w:val="18"/>
                <w:szCs w:val="18"/>
              </w:rPr>
            </w:pPr>
            <w:r w:rsidRPr="00901EA1">
              <w:rPr>
                <w:sz w:val="18"/>
                <w:szCs w:val="18"/>
              </w:rPr>
              <w:t>2</w:t>
            </w:r>
          </w:p>
        </w:tc>
      </w:tr>
      <w:tr w:rsidR="006F240E" w:rsidRPr="00901EA1" w14:paraId="36856891" w14:textId="77777777" w:rsidTr="00643BCF">
        <w:trPr>
          <w:cantSplit/>
        </w:trPr>
        <w:tc>
          <w:tcPr>
            <w:tcW w:w="5116" w:type="dxa"/>
            <w:shd w:val="clear" w:color="auto" w:fill="auto"/>
          </w:tcPr>
          <w:p w14:paraId="286DB6C1" w14:textId="77777777" w:rsidR="006F240E" w:rsidRPr="00901EA1" w:rsidRDefault="006F240E" w:rsidP="00AA398D">
            <w:pPr>
              <w:rPr>
                <w:sz w:val="18"/>
                <w:szCs w:val="18"/>
              </w:rPr>
            </w:pPr>
            <w:r w:rsidRPr="00901EA1">
              <w:rPr>
                <w:sz w:val="18"/>
                <w:szCs w:val="18"/>
              </w:rPr>
              <w:t>Average cost per case – Civil matters disposed in the Magistrates’ Court</w:t>
            </w:r>
          </w:p>
        </w:tc>
        <w:tc>
          <w:tcPr>
            <w:tcW w:w="1123" w:type="dxa"/>
            <w:shd w:val="clear" w:color="auto" w:fill="auto"/>
          </w:tcPr>
          <w:p w14:paraId="1408D844" w14:textId="77777777" w:rsidR="006F240E" w:rsidRPr="00901EA1" w:rsidRDefault="006F240E" w:rsidP="00AA398D">
            <w:pPr>
              <w:rPr>
                <w:sz w:val="18"/>
                <w:szCs w:val="18"/>
              </w:rPr>
            </w:pPr>
            <w:r w:rsidRPr="00901EA1">
              <w:rPr>
                <w:sz w:val="18"/>
                <w:szCs w:val="18"/>
              </w:rPr>
              <w:t>$ dollar</w:t>
            </w:r>
          </w:p>
        </w:tc>
        <w:tc>
          <w:tcPr>
            <w:tcW w:w="963" w:type="dxa"/>
            <w:shd w:val="clear" w:color="auto" w:fill="auto"/>
          </w:tcPr>
          <w:p w14:paraId="325D6D7D" w14:textId="77777777" w:rsidR="006F240E" w:rsidRPr="00901EA1" w:rsidRDefault="006F240E" w:rsidP="00AA398D">
            <w:pPr>
              <w:jc w:val="right"/>
              <w:rPr>
                <w:sz w:val="18"/>
                <w:szCs w:val="18"/>
              </w:rPr>
            </w:pPr>
            <w:r w:rsidRPr="00901EA1">
              <w:rPr>
                <w:sz w:val="18"/>
                <w:szCs w:val="18"/>
              </w:rPr>
              <w:t>989</w:t>
            </w:r>
          </w:p>
        </w:tc>
        <w:tc>
          <w:tcPr>
            <w:tcW w:w="982" w:type="dxa"/>
            <w:shd w:val="clear" w:color="auto" w:fill="auto"/>
          </w:tcPr>
          <w:p w14:paraId="453E2482" w14:textId="77777777" w:rsidR="006F240E" w:rsidRPr="00901EA1" w:rsidRDefault="006F240E" w:rsidP="00AA398D">
            <w:pPr>
              <w:jc w:val="right"/>
              <w:rPr>
                <w:sz w:val="18"/>
                <w:szCs w:val="18"/>
              </w:rPr>
            </w:pPr>
            <w:r w:rsidRPr="00901EA1">
              <w:rPr>
                <w:sz w:val="18"/>
                <w:szCs w:val="18"/>
              </w:rPr>
              <w:t>980</w:t>
            </w:r>
          </w:p>
        </w:tc>
        <w:tc>
          <w:tcPr>
            <w:tcW w:w="1263" w:type="dxa"/>
          </w:tcPr>
          <w:p w14:paraId="7C0B6FBB" w14:textId="77777777" w:rsidR="006F240E" w:rsidRPr="00901EA1" w:rsidRDefault="006F240E" w:rsidP="00AA398D">
            <w:pPr>
              <w:jc w:val="right"/>
              <w:rPr>
                <w:sz w:val="18"/>
                <w:szCs w:val="18"/>
              </w:rPr>
            </w:pPr>
            <w:r w:rsidRPr="00901EA1">
              <w:rPr>
                <w:sz w:val="18"/>
                <w:szCs w:val="18"/>
              </w:rPr>
              <w:t>-0.9</w:t>
            </w:r>
          </w:p>
        </w:tc>
        <w:tc>
          <w:tcPr>
            <w:tcW w:w="662" w:type="dxa"/>
            <w:shd w:val="clear" w:color="auto" w:fill="auto"/>
          </w:tcPr>
          <w:p w14:paraId="5DCA5756" w14:textId="77777777" w:rsidR="006F240E" w:rsidRPr="00901EA1" w:rsidRDefault="006F240E" w:rsidP="00AA398D">
            <w:pPr>
              <w:jc w:val="right"/>
              <w:rPr>
                <w:sz w:val="18"/>
                <w:szCs w:val="18"/>
              </w:rPr>
            </w:pPr>
          </w:p>
        </w:tc>
      </w:tr>
      <w:tr w:rsidR="006F240E" w:rsidRPr="001F5E52" w14:paraId="504DF29A" w14:textId="77777777" w:rsidTr="00643BCF">
        <w:trPr>
          <w:cantSplit/>
        </w:trPr>
        <w:tc>
          <w:tcPr>
            <w:tcW w:w="5116" w:type="dxa"/>
            <w:shd w:val="clear" w:color="auto" w:fill="auto"/>
          </w:tcPr>
          <w:p w14:paraId="370952DA" w14:textId="77777777" w:rsidR="006F240E" w:rsidRPr="001F5E52" w:rsidRDefault="006F240E" w:rsidP="00AA398D">
            <w:pPr>
              <w:rPr>
                <w:sz w:val="18"/>
                <w:szCs w:val="18"/>
              </w:rPr>
            </w:pPr>
            <w:r w:rsidRPr="001F5E52">
              <w:rPr>
                <w:sz w:val="18"/>
                <w:szCs w:val="18"/>
              </w:rPr>
              <w:t>Average cost per case – Civil matters disposed in the Victorian Civil and Administrative Tribunal</w:t>
            </w:r>
          </w:p>
        </w:tc>
        <w:tc>
          <w:tcPr>
            <w:tcW w:w="1123" w:type="dxa"/>
            <w:shd w:val="clear" w:color="auto" w:fill="auto"/>
          </w:tcPr>
          <w:p w14:paraId="7BBC364E" w14:textId="77777777" w:rsidR="006F240E" w:rsidRPr="001F5E52" w:rsidRDefault="006F240E" w:rsidP="00AA398D">
            <w:pPr>
              <w:rPr>
                <w:sz w:val="18"/>
                <w:szCs w:val="18"/>
              </w:rPr>
            </w:pPr>
            <w:r w:rsidRPr="001F5E52">
              <w:rPr>
                <w:sz w:val="18"/>
                <w:szCs w:val="18"/>
              </w:rPr>
              <w:t>$ dollar</w:t>
            </w:r>
          </w:p>
        </w:tc>
        <w:tc>
          <w:tcPr>
            <w:tcW w:w="963" w:type="dxa"/>
            <w:shd w:val="clear" w:color="auto" w:fill="auto"/>
          </w:tcPr>
          <w:p w14:paraId="7E7C489E" w14:textId="77777777" w:rsidR="006F240E" w:rsidRPr="001F5E52" w:rsidRDefault="006F240E" w:rsidP="00AA398D">
            <w:pPr>
              <w:jc w:val="right"/>
              <w:rPr>
                <w:sz w:val="18"/>
                <w:szCs w:val="18"/>
              </w:rPr>
            </w:pPr>
            <w:r w:rsidRPr="001F5E52">
              <w:rPr>
                <w:sz w:val="18"/>
                <w:szCs w:val="18"/>
              </w:rPr>
              <w:t>574</w:t>
            </w:r>
          </w:p>
        </w:tc>
        <w:tc>
          <w:tcPr>
            <w:tcW w:w="982" w:type="dxa"/>
            <w:shd w:val="clear" w:color="auto" w:fill="auto"/>
          </w:tcPr>
          <w:p w14:paraId="00FAC007" w14:textId="77777777" w:rsidR="006F240E" w:rsidRPr="001F5E52" w:rsidRDefault="006F240E" w:rsidP="00AA398D">
            <w:pPr>
              <w:jc w:val="right"/>
              <w:rPr>
                <w:sz w:val="18"/>
                <w:szCs w:val="18"/>
              </w:rPr>
            </w:pPr>
            <w:r w:rsidRPr="001F5E52">
              <w:rPr>
                <w:sz w:val="18"/>
                <w:szCs w:val="18"/>
              </w:rPr>
              <w:t>626</w:t>
            </w:r>
          </w:p>
        </w:tc>
        <w:tc>
          <w:tcPr>
            <w:tcW w:w="1263" w:type="dxa"/>
          </w:tcPr>
          <w:p w14:paraId="2EA56BF0" w14:textId="77777777" w:rsidR="006F240E" w:rsidRPr="001F5E52" w:rsidRDefault="006F240E" w:rsidP="00AA398D">
            <w:pPr>
              <w:jc w:val="right"/>
              <w:rPr>
                <w:sz w:val="18"/>
                <w:szCs w:val="18"/>
              </w:rPr>
            </w:pPr>
            <w:r w:rsidRPr="001F5E52">
              <w:rPr>
                <w:sz w:val="18"/>
                <w:szCs w:val="18"/>
              </w:rPr>
              <w:t>9.1</w:t>
            </w:r>
          </w:p>
        </w:tc>
        <w:tc>
          <w:tcPr>
            <w:tcW w:w="662" w:type="dxa"/>
            <w:shd w:val="clear" w:color="auto" w:fill="auto"/>
          </w:tcPr>
          <w:p w14:paraId="1B2AB427" w14:textId="77777777" w:rsidR="006F240E" w:rsidRPr="001F5E52" w:rsidRDefault="006F240E" w:rsidP="00AA398D">
            <w:pPr>
              <w:jc w:val="center"/>
              <w:rPr>
                <w:sz w:val="18"/>
                <w:szCs w:val="18"/>
              </w:rPr>
            </w:pPr>
            <w:r w:rsidRPr="001F5E52">
              <w:rPr>
                <w:sz w:val="18"/>
                <w:szCs w:val="18"/>
              </w:rPr>
              <w:t>3</w:t>
            </w:r>
          </w:p>
        </w:tc>
      </w:tr>
      <w:tr w:rsidR="006F240E" w:rsidRPr="001F5E52" w14:paraId="70CD1E27" w14:textId="77777777" w:rsidTr="00643BCF">
        <w:trPr>
          <w:cantSplit/>
        </w:trPr>
        <w:tc>
          <w:tcPr>
            <w:tcW w:w="5116" w:type="dxa"/>
            <w:shd w:val="clear" w:color="auto" w:fill="auto"/>
          </w:tcPr>
          <w:p w14:paraId="5960E981" w14:textId="77777777" w:rsidR="006F240E" w:rsidRPr="001F5E52" w:rsidRDefault="006F240E" w:rsidP="00AA398D">
            <w:pPr>
              <w:rPr>
                <w:sz w:val="18"/>
                <w:szCs w:val="18"/>
              </w:rPr>
            </w:pPr>
            <w:r w:rsidRPr="001F5E52">
              <w:rPr>
                <w:sz w:val="18"/>
                <w:szCs w:val="18"/>
              </w:rPr>
              <w:t>Average cost per case – Family Division matters disposed in the Children’s Court</w:t>
            </w:r>
          </w:p>
        </w:tc>
        <w:tc>
          <w:tcPr>
            <w:tcW w:w="1123" w:type="dxa"/>
            <w:shd w:val="clear" w:color="auto" w:fill="auto"/>
          </w:tcPr>
          <w:p w14:paraId="75EADD11" w14:textId="77777777" w:rsidR="006F240E" w:rsidRPr="001F5E52" w:rsidRDefault="006F240E" w:rsidP="00AA398D">
            <w:pPr>
              <w:rPr>
                <w:sz w:val="18"/>
                <w:szCs w:val="18"/>
              </w:rPr>
            </w:pPr>
            <w:r w:rsidRPr="001F5E52">
              <w:rPr>
                <w:sz w:val="18"/>
                <w:szCs w:val="18"/>
              </w:rPr>
              <w:t>$ dollar</w:t>
            </w:r>
          </w:p>
        </w:tc>
        <w:tc>
          <w:tcPr>
            <w:tcW w:w="963" w:type="dxa"/>
            <w:shd w:val="clear" w:color="auto" w:fill="auto"/>
          </w:tcPr>
          <w:p w14:paraId="4E2FC1E5" w14:textId="77777777" w:rsidR="006F240E" w:rsidRPr="001F5E52" w:rsidRDefault="006F240E" w:rsidP="00AA398D">
            <w:pPr>
              <w:jc w:val="right"/>
              <w:rPr>
                <w:sz w:val="18"/>
                <w:szCs w:val="18"/>
              </w:rPr>
            </w:pPr>
            <w:r w:rsidRPr="001F5E52">
              <w:rPr>
                <w:sz w:val="18"/>
                <w:szCs w:val="18"/>
              </w:rPr>
              <w:t>1,255</w:t>
            </w:r>
          </w:p>
        </w:tc>
        <w:tc>
          <w:tcPr>
            <w:tcW w:w="982" w:type="dxa"/>
            <w:shd w:val="clear" w:color="auto" w:fill="auto"/>
          </w:tcPr>
          <w:p w14:paraId="192E5D9D" w14:textId="77777777" w:rsidR="006F240E" w:rsidRPr="001F5E52" w:rsidRDefault="006F240E" w:rsidP="00AA398D">
            <w:pPr>
              <w:jc w:val="right"/>
              <w:rPr>
                <w:sz w:val="18"/>
                <w:szCs w:val="18"/>
              </w:rPr>
            </w:pPr>
            <w:r w:rsidRPr="001F5E52">
              <w:rPr>
                <w:sz w:val="18"/>
                <w:szCs w:val="18"/>
              </w:rPr>
              <w:t>976</w:t>
            </w:r>
          </w:p>
        </w:tc>
        <w:tc>
          <w:tcPr>
            <w:tcW w:w="1263" w:type="dxa"/>
          </w:tcPr>
          <w:p w14:paraId="22CA0756" w14:textId="77777777" w:rsidR="006F240E" w:rsidRPr="001F5E52" w:rsidRDefault="006F240E" w:rsidP="00AA398D">
            <w:pPr>
              <w:jc w:val="right"/>
              <w:rPr>
                <w:sz w:val="18"/>
                <w:szCs w:val="18"/>
              </w:rPr>
            </w:pPr>
            <w:r w:rsidRPr="001F5E52">
              <w:rPr>
                <w:sz w:val="18"/>
                <w:szCs w:val="18"/>
              </w:rPr>
              <w:t>-22.2</w:t>
            </w:r>
          </w:p>
        </w:tc>
        <w:tc>
          <w:tcPr>
            <w:tcW w:w="662" w:type="dxa"/>
            <w:shd w:val="clear" w:color="auto" w:fill="auto"/>
          </w:tcPr>
          <w:p w14:paraId="3B8823AB" w14:textId="77777777" w:rsidR="006F240E" w:rsidRPr="001F5E52" w:rsidRDefault="006F240E" w:rsidP="00AA398D">
            <w:pPr>
              <w:jc w:val="center"/>
              <w:rPr>
                <w:sz w:val="18"/>
                <w:szCs w:val="18"/>
              </w:rPr>
            </w:pPr>
            <w:r w:rsidRPr="001F5E52">
              <w:rPr>
                <w:sz w:val="18"/>
                <w:szCs w:val="18"/>
              </w:rPr>
              <w:t>4</w:t>
            </w:r>
          </w:p>
        </w:tc>
      </w:tr>
      <w:tr w:rsidR="006F240E" w:rsidRPr="001F5E52" w14:paraId="6C2F3CAE" w14:textId="77777777" w:rsidTr="00643BCF">
        <w:trPr>
          <w:cantSplit/>
        </w:trPr>
        <w:tc>
          <w:tcPr>
            <w:tcW w:w="5116" w:type="dxa"/>
            <w:shd w:val="clear" w:color="auto" w:fill="auto"/>
          </w:tcPr>
          <w:p w14:paraId="080A9F81" w14:textId="77777777" w:rsidR="006F240E" w:rsidRPr="001F5E52" w:rsidRDefault="006F240E" w:rsidP="00AA398D">
            <w:pPr>
              <w:rPr>
                <w:sz w:val="18"/>
                <w:szCs w:val="18"/>
              </w:rPr>
            </w:pPr>
            <w:r w:rsidRPr="001F5E52">
              <w:rPr>
                <w:sz w:val="18"/>
                <w:szCs w:val="18"/>
              </w:rPr>
              <w:t>Average cost per case – Coronial matters disposed in the Coroners Court</w:t>
            </w:r>
          </w:p>
        </w:tc>
        <w:tc>
          <w:tcPr>
            <w:tcW w:w="1123" w:type="dxa"/>
            <w:shd w:val="clear" w:color="auto" w:fill="auto"/>
          </w:tcPr>
          <w:p w14:paraId="1A95C98B" w14:textId="77777777" w:rsidR="006F240E" w:rsidRPr="001F5E52" w:rsidRDefault="006F240E" w:rsidP="00AA398D">
            <w:pPr>
              <w:rPr>
                <w:sz w:val="18"/>
                <w:szCs w:val="18"/>
              </w:rPr>
            </w:pPr>
            <w:r w:rsidRPr="001F5E52">
              <w:rPr>
                <w:sz w:val="18"/>
                <w:szCs w:val="18"/>
              </w:rPr>
              <w:t>$ dollar</w:t>
            </w:r>
          </w:p>
        </w:tc>
        <w:tc>
          <w:tcPr>
            <w:tcW w:w="963" w:type="dxa"/>
            <w:shd w:val="clear" w:color="auto" w:fill="auto"/>
          </w:tcPr>
          <w:p w14:paraId="7F619D61" w14:textId="77777777" w:rsidR="006F240E" w:rsidRPr="001F5E52" w:rsidRDefault="006F240E" w:rsidP="00AA398D">
            <w:pPr>
              <w:jc w:val="right"/>
              <w:rPr>
                <w:sz w:val="18"/>
                <w:szCs w:val="18"/>
              </w:rPr>
            </w:pPr>
            <w:r w:rsidRPr="001F5E52">
              <w:rPr>
                <w:sz w:val="18"/>
                <w:szCs w:val="18"/>
              </w:rPr>
              <w:t>3,218</w:t>
            </w:r>
          </w:p>
        </w:tc>
        <w:tc>
          <w:tcPr>
            <w:tcW w:w="982" w:type="dxa"/>
            <w:shd w:val="clear" w:color="auto" w:fill="auto"/>
          </w:tcPr>
          <w:p w14:paraId="5EDF81CE" w14:textId="77777777" w:rsidR="006F240E" w:rsidRPr="001F5E52" w:rsidRDefault="006F240E" w:rsidP="00AA398D">
            <w:pPr>
              <w:jc w:val="right"/>
              <w:rPr>
                <w:sz w:val="18"/>
                <w:szCs w:val="18"/>
              </w:rPr>
            </w:pPr>
            <w:r w:rsidRPr="001F5E52">
              <w:rPr>
                <w:sz w:val="18"/>
                <w:szCs w:val="18"/>
              </w:rPr>
              <w:t>2,566</w:t>
            </w:r>
          </w:p>
        </w:tc>
        <w:tc>
          <w:tcPr>
            <w:tcW w:w="1263" w:type="dxa"/>
          </w:tcPr>
          <w:p w14:paraId="3F83A782" w14:textId="77777777" w:rsidR="006F240E" w:rsidRPr="001F5E52" w:rsidRDefault="006F240E" w:rsidP="00AA398D">
            <w:pPr>
              <w:jc w:val="right"/>
              <w:rPr>
                <w:sz w:val="18"/>
                <w:szCs w:val="18"/>
              </w:rPr>
            </w:pPr>
            <w:r w:rsidRPr="001F5E52">
              <w:rPr>
                <w:sz w:val="18"/>
                <w:szCs w:val="18"/>
              </w:rPr>
              <w:t>-20.3</w:t>
            </w:r>
          </w:p>
        </w:tc>
        <w:tc>
          <w:tcPr>
            <w:tcW w:w="662" w:type="dxa"/>
            <w:shd w:val="clear" w:color="auto" w:fill="auto"/>
          </w:tcPr>
          <w:p w14:paraId="38BE00BE" w14:textId="77777777" w:rsidR="006F240E" w:rsidRPr="001F5E52" w:rsidRDefault="006F240E" w:rsidP="00AA398D">
            <w:pPr>
              <w:jc w:val="center"/>
              <w:rPr>
                <w:sz w:val="18"/>
                <w:szCs w:val="18"/>
              </w:rPr>
            </w:pPr>
            <w:r w:rsidRPr="001F5E52">
              <w:rPr>
                <w:sz w:val="18"/>
                <w:szCs w:val="18"/>
              </w:rPr>
              <w:t>5</w:t>
            </w:r>
          </w:p>
        </w:tc>
      </w:tr>
      <w:tr w:rsidR="006F240E" w:rsidRPr="001F5E52" w14:paraId="7531987A" w14:textId="77777777" w:rsidTr="00643BCF">
        <w:trPr>
          <w:cantSplit/>
        </w:trPr>
        <w:tc>
          <w:tcPr>
            <w:tcW w:w="5116" w:type="dxa"/>
            <w:shd w:val="clear" w:color="auto" w:fill="auto"/>
          </w:tcPr>
          <w:p w14:paraId="6B37E03C" w14:textId="77777777" w:rsidR="006F240E" w:rsidRPr="001F5E52" w:rsidRDefault="006F240E" w:rsidP="00AA398D">
            <w:pPr>
              <w:rPr>
                <w:sz w:val="18"/>
                <w:szCs w:val="18"/>
              </w:rPr>
            </w:pPr>
            <w:r w:rsidRPr="001F5E52">
              <w:rPr>
                <w:sz w:val="18"/>
                <w:szCs w:val="18"/>
              </w:rPr>
              <w:t>Average cost per case – Criminal matters disposed in the Supreme Court</w:t>
            </w:r>
          </w:p>
        </w:tc>
        <w:tc>
          <w:tcPr>
            <w:tcW w:w="1123" w:type="dxa"/>
            <w:shd w:val="clear" w:color="auto" w:fill="auto"/>
          </w:tcPr>
          <w:p w14:paraId="59A255E8" w14:textId="77777777" w:rsidR="006F240E" w:rsidRPr="001F5E52" w:rsidRDefault="006F240E" w:rsidP="00AA398D">
            <w:pPr>
              <w:rPr>
                <w:sz w:val="18"/>
                <w:szCs w:val="18"/>
              </w:rPr>
            </w:pPr>
            <w:r w:rsidRPr="001F5E52">
              <w:rPr>
                <w:sz w:val="18"/>
                <w:szCs w:val="18"/>
              </w:rPr>
              <w:t>$ dollar</w:t>
            </w:r>
          </w:p>
        </w:tc>
        <w:tc>
          <w:tcPr>
            <w:tcW w:w="963" w:type="dxa"/>
            <w:shd w:val="clear" w:color="auto" w:fill="auto"/>
          </w:tcPr>
          <w:p w14:paraId="43C685B7" w14:textId="77777777" w:rsidR="006F240E" w:rsidRPr="001F5E52" w:rsidRDefault="006F240E" w:rsidP="00AA398D">
            <w:pPr>
              <w:jc w:val="right"/>
              <w:rPr>
                <w:sz w:val="18"/>
                <w:szCs w:val="18"/>
              </w:rPr>
            </w:pPr>
            <w:r w:rsidRPr="001F5E52">
              <w:rPr>
                <w:sz w:val="18"/>
                <w:szCs w:val="18"/>
              </w:rPr>
              <w:t>45,527</w:t>
            </w:r>
          </w:p>
        </w:tc>
        <w:tc>
          <w:tcPr>
            <w:tcW w:w="982" w:type="dxa"/>
            <w:shd w:val="clear" w:color="auto" w:fill="auto"/>
          </w:tcPr>
          <w:p w14:paraId="32048E8E" w14:textId="77777777" w:rsidR="006F240E" w:rsidRPr="001F5E52" w:rsidRDefault="006F240E" w:rsidP="00AA398D">
            <w:pPr>
              <w:jc w:val="right"/>
              <w:rPr>
                <w:sz w:val="18"/>
                <w:szCs w:val="18"/>
              </w:rPr>
            </w:pPr>
            <w:r w:rsidRPr="001F5E52">
              <w:rPr>
                <w:sz w:val="18"/>
                <w:szCs w:val="18"/>
              </w:rPr>
              <w:t>34,163</w:t>
            </w:r>
          </w:p>
        </w:tc>
        <w:tc>
          <w:tcPr>
            <w:tcW w:w="1263" w:type="dxa"/>
          </w:tcPr>
          <w:p w14:paraId="73DDA597" w14:textId="77777777" w:rsidR="006F240E" w:rsidRPr="001F5E52" w:rsidRDefault="006F240E" w:rsidP="00AA398D">
            <w:pPr>
              <w:jc w:val="right"/>
              <w:rPr>
                <w:sz w:val="18"/>
                <w:szCs w:val="18"/>
              </w:rPr>
            </w:pPr>
            <w:r w:rsidRPr="001F5E52">
              <w:rPr>
                <w:sz w:val="18"/>
                <w:szCs w:val="18"/>
              </w:rPr>
              <w:t>-25.0</w:t>
            </w:r>
          </w:p>
        </w:tc>
        <w:tc>
          <w:tcPr>
            <w:tcW w:w="662" w:type="dxa"/>
            <w:shd w:val="clear" w:color="auto" w:fill="auto"/>
          </w:tcPr>
          <w:p w14:paraId="1926810D" w14:textId="77777777" w:rsidR="006F240E" w:rsidRPr="001F5E52" w:rsidRDefault="006F240E" w:rsidP="00AA398D">
            <w:pPr>
              <w:jc w:val="center"/>
              <w:rPr>
                <w:sz w:val="18"/>
                <w:szCs w:val="18"/>
              </w:rPr>
            </w:pPr>
            <w:r w:rsidRPr="001F5E52">
              <w:rPr>
                <w:sz w:val="18"/>
                <w:szCs w:val="18"/>
              </w:rPr>
              <w:t>6</w:t>
            </w:r>
          </w:p>
        </w:tc>
      </w:tr>
      <w:tr w:rsidR="006F240E" w:rsidRPr="001F5E52" w14:paraId="47737374" w14:textId="77777777" w:rsidTr="00643BCF">
        <w:trPr>
          <w:cantSplit/>
        </w:trPr>
        <w:tc>
          <w:tcPr>
            <w:tcW w:w="5116" w:type="dxa"/>
            <w:shd w:val="clear" w:color="auto" w:fill="auto"/>
          </w:tcPr>
          <w:p w14:paraId="0AB36879" w14:textId="77777777" w:rsidR="006F240E" w:rsidRPr="001F5E52" w:rsidRDefault="006F240E" w:rsidP="00AA398D">
            <w:pPr>
              <w:rPr>
                <w:sz w:val="18"/>
                <w:szCs w:val="18"/>
              </w:rPr>
            </w:pPr>
            <w:r w:rsidRPr="001F5E52">
              <w:rPr>
                <w:sz w:val="18"/>
                <w:szCs w:val="18"/>
              </w:rPr>
              <w:t>Average cost per case – Criminal matters disposed in the County Court</w:t>
            </w:r>
          </w:p>
        </w:tc>
        <w:tc>
          <w:tcPr>
            <w:tcW w:w="1123" w:type="dxa"/>
            <w:shd w:val="clear" w:color="auto" w:fill="auto"/>
          </w:tcPr>
          <w:p w14:paraId="1FBBB004" w14:textId="77777777" w:rsidR="006F240E" w:rsidRPr="001F5E52" w:rsidRDefault="006F240E" w:rsidP="00AA398D">
            <w:pPr>
              <w:rPr>
                <w:sz w:val="18"/>
                <w:szCs w:val="18"/>
              </w:rPr>
            </w:pPr>
            <w:r w:rsidRPr="001F5E52">
              <w:rPr>
                <w:sz w:val="18"/>
                <w:szCs w:val="18"/>
              </w:rPr>
              <w:t>$ dollar</w:t>
            </w:r>
          </w:p>
        </w:tc>
        <w:tc>
          <w:tcPr>
            <w:tcW w:w="963" w:type="dxa"/>
            <w:shd w:val="clear" w:color="auto" w:fill="auto"/>
          </w:tcPr>
          <w:p w14:paraId="7E5C5CEB" w14:textId="77777777" w:rsidR="006F240E" w:rsidRPr="001F5E52" w:rsidRDefault="006F240E" w:rsidP="00AA398D">
            <w:pPr>
              <w:jc w:val="right"/>
              <w:rPr>
                <w:sz w:val="18"/>
                <w:szCs w:val="18"/>
              </w:rPr>
            </w:pPr>
            <w:r w:rsidRPr="001F5E52">
              <w:rPr>
                <w:sz w:val="18"/>
                <w:szCs w:val="18"/>
              </w:rPr>
              <w:t>18,181</w:t>
            </w:r>
          </w:p>
        </w:tc>
        <w:tc>
          <w:tcPr>
            <w:tcW w:w="982" w:type="dxa"/>
            <w:shd w:val="clear" w:color="auto" w:fill="auto"/>
          </w:tcPr>
          <w:p w14:paraId="3865B0E9" w14:textId="77777777" w:rsidR="006F240E" w:rsidRPr="001F5E52" w:rsidRDefault="006F240E" w:rsidP="00AA398D">
            <w:pPr>
              <w:jc w:val="right"/>
              <w:rPr>
                <w:sz w:val="18"/>
                <w:szCs w:val="18"/>
              </w:rPr>
            </w:pPr>
            <w:r w:rsidRPr="001F5E52">
              <w:rPr>
                <w:sz w:val="18"/>
                <w:szCs w:val="18"/>
              </w:rPr>
              <w:t>15,741</w:t>
            </w:r>
          </w:p>
        </w:tc>
        <w:tc>
          <w:tcPr>
            <w:tcW w:w="1263" w:type="dxa"/>
          </w:tcPr>
          <w:p w14:paraId="3040B921" w14:textId="77777777" w:rsidR="006F240E" w:rsidRPr="001F5E52" w:rsidRDefault="006F240E" w:rsidP="00AA398D">
            <w:pPr>
              <w:jc w:val="right"/>
              <w:rPr>
                <w:sz w:val="18"/>
                <w:szCs w:val="18"/>
              </w:rPr>
            </w:pPr>
            <w:r w:rsidRPr="001F5E52">
              <w:rPr>
                <w:sz w:val="18"/>
                <w:szCs w:val="18"/>
              </w:rPr>
              <w:t>-13</w:t>
            </w:r>
          </w:p>
        </w:tc>
        <w:tc>
          <w:tcPr>
            <w:tcW w:w="662" w:type="dxa"/>
            <w:shd w:val="clear" w:color="auto" w:fill="auto"/>
          </w:tcPr>
          <w:p w14:paraId="3E0B02B3" w14:textId="77777777" w:rsidR="006F240E" w:rsidRPr="001F5E52" w:rsidRDefault="006F240E" w:rsidP="00AA398D">
            <w:pPr>
              <w:jc w:val="center"/>
              <w:rPr>
                <w:sz w:val="18"/>
                <w:szCs w:val="18"/>
              </w:rPr>
            </w:pPr>
            <w:r w:rsidRPr="001F5E52">
              <w:rPr>
                <w:sz w:val="18"/>
                <w:szCs w:val="18"/>
              </w:rPr>
              <w:t>7</w:t>
            </w:r>
          </w:p>
        </w:tc>
      </w:tr>
      <w:tr w:rsidR="006F240E" w:rsidRPr="001F5E52" w14:paraId="126F9AB4" w14:textId="77777777" w:rsidTr="00643BCF">
        <w:trPr>
          <w:cantSplit/>
        </w:trPr>
        <w:tc>
          <w:tcPr>
            <w:tcW w:w="5116" w:type="dxa"/>
            <w:shd w:val="clear" w:color="auto" w:fill="auto"/>
          </w:tcPr>
          <w:p w14:paraId="33210E98" w14:textId="77777777" w:rsidR="006F240E" w:rsidRPr="001F5E52" w:rsidRDefault="006F240E" w:rsidP="00AA398D">
            <w:pPr>
              <w:rPr>
                <w:sz w:val="18"/>
                <w:szCs w:val="18"/>
              </w:rPr>
            </w:pPr>
            <w:r w:rsidRPr="001F5E52">
              <w:rPr>
                <w:sz w:val="18"/>
                <w:szCs w:val="18"/>
              </w:rPr>
              <w:t>Average cost per case – Criminal matters disposed in the Magistrates’ Court</w:t>
            </w:r>
          </w:p>
        </w:tc>
        <w:tc>
          <w:tcPr>
            <w:tcW w:w="1123" w:type="dxa"/>
            <w:shd w:val="clear" w:color="auto" w:fill="auto"/>
          </w:tcPr>
          <w:p w14:paraId="1639B4D0" w14:textId="77777777" w:rsidR="006F240E" w:rsidRPr="001F5E52" w:rsidRDefault="006F240E" w:rsidP="00AA398D">
            <w:pPr>
              <w:rPr>
                <w:sz w:val="18"/>
                <w:szCs w:val="18"/>
              </w:rPr>
            </w:pPr>
            <w:r w:rsidRPr="001F5E52">
              <w:rPr>
                <w:sz w:val="18"/>
                <w:szCs w:val="18"/>
              </w:rPr>
              <w:t>$ dollar</w:t>
            </w:r>
          </w:p>
        </w:tc>
        <w:tc>
          <w:tcPr>
            <w:tcW w:w="963" w:type="dxa"/>
            <w:shd w:val="clear" w:color="auto" w:fill="auto"/>
          </w:tcPr>
          <w:p w14:paraId="3EDA5000" w14:textId="77777777" w:rsidR="006F240E" w:rsidRPr="001F5E52" w:rsidRDefault="006F240E" w:rsidP="00AA398D">
            <w:pPr>
              <w:jc w:val="right"/>
              <w:rPr>
                <w:sz w:val="18"/>
                <w:szCs w:val="18"/>
              </w:rPr>
            </w:pPr>
            <w:r w:rsidRPr="001F5E52">
              <w:rPr>
                <w:sz w:val="18"/>
                <w:szCs w:val="18"/>
              </w:rPr>
              <w:t>458</w:t>
            </w:r>
          </w:p>
        </w:tc>
        <w:tc>
          <w:tcPr>
            <w:tcW w:w="982" w:type="dxa"/>
            <w:shd w:val="clear" w:color="auto" w:fill="auto"/>
          </w:tcPr>
          <w:p w14:paraId="583BF1EE" w14:textId="77777777" w:rsidR="006F240E" w:rsidRPr="001F5E52" w:rsidRDefault="006F240E" w:rsidP="00AA398D">
            <w:pPr>
              <w:jc w:val="right"/>
              <w:rPr>
                <w:sz w:val="18"/>
                <w:szCs w:val="18"/>
              </w:rPr>
            </w:pPr>
            <w:r w:rsidRPr="001F5E52">
              <w:rPr>
                <w:sz w:val="18"/>
                <w:szCs w:val="18"/>
              </w:rPr>
              <w:t>571</w:t>
            </w:r>
          </w:p>
        </w:tc>
        <w:tc>
          <w:tcPr>
            <w:tcW w:w="1263" w:type="dxa"/>
          </w:tcPr>
          <w:p w14:paraId="0EBD20D0" w14:textId="77777777" w:rsidR="006F240E" w:rsidRPr="001F5E52" w:rsidRDefault="006F240E" w:rsidP="00AA398D">
            <w:pPr>
              <w:jc w:val="right"/>
              <w:rPr>
                <w:sz w:val="18"/>
                <w:szCs w:val="18"/>
              </w:rPr>
            </w:pPr>
            <w:r w:rsidRPr="001F5E52">
              <w:rPr>
                <w:sz w:val="18"/>
                <w:szCs w:val="18"/>
              </w:rPr>
              <w:t>24.7</w:t>
            </w:r>
          </w:p>
        </w:tc>
        <w:tc>
          <w:tcPr>
            <w:tcW w:w="662" w:type="dxa"/>
            <w:shd w:val="clear" w:color="auto" w:fill="auto"/>
          </w:tcPr>
          <w:p w14:paraId="08A08DE1" w14:textId="77777777" w:rsidR="006F240E" w:rsidRPr="001F5E52" w:rsidRDefault="006F240E" w:rsidP="00AA398D">
            <w:pPr>
              <w:jc w:val="center"/>
              <w:rPr>
                <w:sz w:val="18"/>
                <w:szCs w:val="18"/>
              </w:rPr>
            </w:pPr>
            <w:r w:rsidRPr="001F5E52">
              <w:rPr>
                <w:sz w:val="18"/>
                <w:szCs w:val="18"/>
              </w:rPr>
              <w:t>8</w:t>
            </w:r>
          </w:p>
        </w:tc>
      </w:tr>
      <w:tr w:rsidR="006F240E" w:rsidRPr="00901EA1" w14:paraId="7E7ED5AE" w14:textId="77777777" w:rsidTr="00643BCF">
        <w:trPr>
          <w:cantSplit/>
        </w:trPr>
        <w:tc>
          <w:tcPr>
            <w:tcW w:w="5116" w:type="dxa"/>
            <w:shd w:val="clear" w:color="auto" w:fill="auto"/>
          </w:tcPr>
          <w:p w14:paraId="5E8E9413" w14:textId="77777777" w:rsidR="006F240E" w:rsidRPr="001F5E52" w:rsidRDefault="006F240E" w:rsidP="00AA398D">
            <w:pPr>
              <w:rPr>
                <w:sz w:val="18"/>
                <w:szCs w:val="18"/>
              </w:rPr>
            </w:pPr>
            <w:r w:rsidRPr="001F5E52">
              <w:rPr>
                <w:sz w:val="18"/>
                <w:szCs w:val="18"/>
              </w:rPr>
              <w:t>Average cost per case – Criminal matters disposed in the Children’s Court</w:t>
            </w:r>
          </w:p>
        </w:tc>
        <w:tc>
          <w:tcPr>
            <w:tcW w:w="1123" w:type="dxa"/>
            <w:shd w:val="clear" w:color="auto" w:fill="auto"/>
          </w:tcPr>
          <w:p w14:paraId="1ED38EF2" w14:textId="77777777" w:rsidR="006F240E" w:rsidRPr="001F5E52" w:rsidRDefault="006F240E" w:rsidP="00AA398D">
            <w:pPr>
              <w:rPr>
                <w:sz w:val="18"/>
                <w:szCs w:val="18"/>
              </w:rPr>
            </w:pPr>
            <w:r w:rsidRPr="001F5E52">
              <w:rPr>
                <w:sz w:val="18"/>
                <w:szCs w:val="18"/>
              </w:rPr>
              <w:t>$ dollar</w:t>
            </w:r>
          </w:p>
        </w:tc>
        <w:tc>
          <w:tcPr>
            <w:tcW w:w="963" w:type="dxa"/>
            <w:shd w:val="clear" w:color="auto" w:fill="auto"/>
          </w:tcPr>
          <w:p w14:paraId="351F9EED" w14:textId="77777777" w:rsidR="006F240E" w:rsidRPr="001F5E52" w:rsidRDefault="006F240E" w:rsidP="00AA398D">
            <w:pPr>
              <w:jc w:val="right"/>
              <w:rPr>
                <w:sz w:val="18"/>
                <w:szCs w:val="18"/>
              </w:rPr>
            </w:pPr>
            <w:r w:rsidRPr="001F5E52">
              <w:rPr>
                <w:sz w:val="18"/>
                <w:szCs w:val="18"/>
              </w:rPr>
              <w:t>264</w:t>
            </w:r>
          </w:p>
        </w:tc>
        <w:tc>
          <w:tcPr>
            <w:tcW w:w="982" w:type="dxa"/>
            <w:shd w:val="clear" w:color="auto" w:fill="auto"/>
          </w:tcPr>
          <w:p w14:paraId="1920A8BE" w14:textId="77777777" w:rsidR="006F240E" w:rsidRPr="001F5E52" w:rsidRDefault="006F240E" w:rsidP="00AA398D">
            <w:pPr>
              <w:jc w:val="right"/>
              <w:rPr>
                <w:sz w:val="18"/>
                <w:szCs w:val="18"/>
              </w:rPr>
            </w:pPr>
            <w:r w:rsidRPr="001F5E52">
              <w:rPr>
                <w:sz w:val="18"/>
                <w:szCs w:val="18"/>
              </w:rPr>
              <w:t>227</w:t>
            </w:r>
          </w:p>
        </w:tc>
        <w:tc>
          <w:tcPr>
            <w:tcW w:w="1263" w:type="dxa"/>
          </w:tcPr>
          <w:p w14:paraId="14F62ECF" w14:textId="77777777" w:rsidR="006F240E" w:rsidRPr="001F5E52" w:rsidRDefault="006F240E" w:rsidP="00AA398D">
            <w:pPr>
              <w:jc w:val="right"/>
              <w:rPr>
                <w:sz w:val="18"/>
                <w:szCs w:val="18"/>
              </w:rPr>
            </w:pPr>
            <w:r w:rsidRPr="001F5E52">
              <w:rPr>
                <w:sz w:val="18"/>
                <w:szCs w:val="18"/>
              </w:rPr>
              <w:t>-14.0</w:t>
            </w:r>
          </w:p>
        </w:tc>
        <w:tc>
          <w:tcPr>
            <w:tcW w:w="662" w:type="dxa"/>
            <w:shd w:val="clear" w:color="auto" w:fill="auto"/>
          </w:tcPr>
          <w:p w14:paraId="436E6E00" w14:textId="77777777" w:rsidR="006F240E" w:rsidRPr="00901EA1" w:rsidRDefault="006F240E" w:rsidP="00AA398D">
            <w:pPr>
              <w:jc w:val="center"/>
              <w:rPr>
                <w:sz w:val="18"/>
                <w:szCs w:val="18"/>
              </w:rPr>
            </w:pPr>
            <w:r w:rsidRPr="001F5E52">
              <w:rPr>
                <w:sz w:val="18"/>
                <w:szCs w:val="18"/>
              </w:rPr>
              <w:t>9</w:t>
            </w:r>
          </w:p>
        </w:tc>
      </w:tr>
      <w:tr w:rsidR="006F240E" w:rsidRPr="00901EA1" w14:paraId="58E6C5BD" w14:textId="77777777" w:rsidTr="00643BCF">
        <w:trPr>
          <w:cantSplit/>
        </w:trPr>
        <w:tc>
          <w:tcPr>
            <w:tcW w:w="5116" w:type="dxa"/>
            <w:shd w:val="clear" w:color="auto" w:fill="auto"/>
          </w:tcPr>
          <w:p w14:paraId="62D872B0" w14:textId="77777777" w:rsidR="006F240E" w:rsidRPr="00901EA1" w:rsidRDefault="006F240E" w:rsidP="00AA398D">
            <w:pPr>
              <w:rPr>
                <w:sz w:val="18"/>
                <w:szCs w:val="18"/>
              </w:rPr>
            </w:pPr>
            <w:r w:rsidRPr="00901EA1">
              <w:rPr>
                <w:sz w:val="18"/>
                <w:szCs w:val="18"/>
              </w:rPr>
              <w:t>Case clearance rate – Civil matters disposed in the Supreme Court</w:t>
            </w:r>
          </w:p>
        </w:tc>
        <w:tc>
          <w:tcPr>
            <w:tcW w:w="1123" w:type="dxa"/>
            <w:shd w:val="clear" w:color="auto" w:fill="auto"/>
          </w:tcPr>
          <w:p w14:paraId="24B4BB28" w14:textId="77777777" w:rsidR="006F240E" w:rsidRPr="00901EA1" w:rsidRDefault="006F240E" w:rsidP="00AA398D">
            <w:pPr>
              <w:rPr>
                <w:sz w:val="18"/>
                <w:szCs w:val="18"/>
              </w:rPr>
            </w:pPr>
            <w:r w:rsidRPr="00901EA1">
              <w:rPr>
                <w:sz w:val="18"/>
                <w:szCs w:val="18"/>
              </w:rPr>
              <w:t>per cent</w:t>
            </w:r>
          </w:p>
        </w:tc>
        <w:tc>
          <w:tcPr>
            <w:tcW w:w="963" w:type="dxa"/>
            <w:shd w:val="clear" w:color="auto" w:fill="auto"/>
          </w:tcPr>
          <w:p w14:paraId="447CB29D" w14:textId="77777777" w:rsidR="006F240E" w:rsidRPr="00901EA1" w:rsidRDefault="006F240E" w:rsidP="00AA398D">
            <w:pPr>
              <w:jc w:val="right"/>
              <w:rPr>
                <w:sz w:val="18"/>
                <w:szCs w:val="18"/>
              </w:rPr>
            </w:pPr>
            <w:r w:rsidRPr="00901EA1">
              <w:rPr>
                <w:sz w:val="18"/>
                <w:szCs w:val="18"/>
              </w:rPr>
              <w:t>100</w:t>
            </w:r>
          </w:p>
        </w:tc>
        <w:tc>
          <w:tcPr>
            <w:tcW w:w="982" w:type="dxa"/>
            <w:shd w:val="clear" w:color="auto" w:fill="auto"/>
          </w:tcPr>
          <w:p w14:paraId="7EDD1D01" w14:textId="77777777" w:rsidR="006F240E" w:rsidRPr="00901EA1" w:rsidRDefault="006F240E" w:rsidP="00AA398D">
            <w:pPr>
              <w:jc w:val="right"/>
              <w:rPr>
                <w:sz w:val="18"/>
                <w:szCs w:val="18"/>
              </w:rPr>
            </w:pPr>
            <w:r w:rsidRPr="00901EA1">
              <w:rPr>
                <w:sz w:val="18"/>
                <w:szCs w:val="18"/>
              </w:rPr>
              <w:t>102.8</w:t>
            </w:r>
          </w:p>
          <w:p w14:paraId="03AEA5C1" w14:textId="77777777" w:rsidR="006F240E" w:rsidRPr="00901EA1" w:rsidRDefault="006F240E" w:rsidP="00AA398D">
            <w:pPr>
              <w:jc w:val="right"/>
              <w:rPr>
                <w:sz w:val="18"/>
                <w:szCs w:val="18"/>
              </w:rPr>
            </w:pPr>
            <w:r w:rsidRPr="00901EA1">
              <w:rPr>
                <w:sz w:val="18"/>
                <w:szCs w:val="18"/>
              </w:rPr>
              <w:t>(28,579/</w:t>
            </w:r>
          </w:p>
          <w:p w14:paraId="5E19904A" w14:textId="77777777" w:rsidR="006F240E" w:rsidRPr="00901EA1" w:rsidRDefault="006F240E" w:rsidP="00AA398D">
            <w:pPr>
              <w:jc w:val="right"/>
              <w:rPr>
                <w:sz w:val="18"/>
                <w:szCs w:val="18"/>
              </w:rPr>
            </w:pPr>
            <w:r w:rsidRPr="00901EA1">
              <w:rPr>
                <w:sz w:val="18"/>
                <w:szCs w:val="18"/>
              </w:rPr>
              <w:t>27,808)</w:t>
            </w:r>
          </w:p>
        </w:tc>
        <w:tc>
          <w:tcPr>
            <w:tcW w:w="1263" w:type="dxa"/>
          </w:tcPr>
          <w:p w14:paraId="15C1430C" w14:textId="77777777" w:rsidR="006F240E" w:rsidRPr="00901EA1" w:rsidRDefault="006F240E" w:rsidP="00AA398D">
            <w:pPr>
              <w:jc w:val="right"/>
              <w:rPr>
                <w:sz w:val="18"/>
                <w:szCs w:val="18"/>
              </w:rPr>
            </w:pPr>
            <w:r w:rsidRPr="00901EA1">
              <w:rPr>
                <w:sz w:val="18"/>
                <w:szCs w:val="18"/>
              </w:rPr>
              <w:t>2.8</w:t>
            </w:r>
          </w:p>
        </w:tc>
        <w:tc>
          <w:tcPr>
            <w:tcW w:w="662" w:type="dxa"/>
            <w:shd w:val="clear" w:color="auto" w:fill="auto"/>
          </w:tcPr>
          <w:p w14:paraId="3235E6DF" w14:textId="77777777" w:rsidR="006F240E" w:rsidRPr="00901EA1" w:rsidRDefault="006F240E" w:rsidP="00AA398D">
            <w:pPr>
              <w:jc w:val="center"/>
              <w:rPr>
                <w:sz w:val="18"/>
                <w:szCs w:val="18"/>
              </w:rPr>
            </w:pPr>
            <w:r w:rsidRPr="00901EA1">
              <w:rPr>
                <w:sz w:val="18"/>
                <w:szCs w:val="18"/>
              </w:rPr>
              <w:t xml:space="preserve">10 </w:t>
            </w:r>
          </w:p>
        </w:tc>
      </w:tr>
      <w:tr w:rsidR="006F240E" w:rsidRPr="00901EA1" w14:paraId="5DA1F1EC" w14:textId="77777777" w:rsidTr="00643BCF">
        <w:trPr>
          <w:cantSplit/>
        </w:trPr>
        <w:tc>
          <w:tcPr>
            <w:tcW w:w="5116" w:type="dxa"/>
            <w:shd w:val="clear" w:color="auto" w:fill="auto"/>
          </w:tcPr>
          <w:p w14:paraId="283CBD80" w14:textId="77777777" w:rsidR="006F240E" w:rsidRPr="00901EA1" w:rsidRDefault="006F240E" w:rsidP="00AA398D">
            <w:pPr>
              <w:rPr>
                <w:sz w:val="18"/>
                <w:szCs w:val="18"/>
              </w:rPr>
            </w:pPr>
            <w:r w:rsidRPr="00901EA1">
              <w:rPr>
                <w:sz w:val="18"/>
                <w:szCs w:val="18"/>
              </w:rPr>
              <w:t>Case clearance rate – Civil matters disposed in the County Court</w:t>
            </w:r>
          </w:p>
        </w:tc>
        <w:tc>
          <w:tcPr>
            <w:tcW w:w="1123" w:type="dxa"/>
            <w:shd w:val="clear" w:color="auto" w:fill="auto"/>
          </w:tcPr>
          <w:p w14:paraId="3D3EA92C" w14:textId="77777777" w:rsidR="006F240E" w:rsidRPr="00901EA1" w:rsidRDefault="006F240E" w:rsidP="00AA398D">
            <w:pPr>
              <w:rPr>
                <w:sz w:val="18"/>
                <w:szCs w:val="18"/>
              </w:rPr>
            </w:pPr>
            <w:r w:rsidRPr="00901EA1">
              <w:rPr>
                <w:sz w:val="18"/>
                <w:szCs w:val="18"/>
              </w:rPr>
              <w:t>per cent</w:t>
            </w:r>
          </w:p>
        </w:tc>
        <w:tc>
          <w:tcPr>
            <w:tcW w:w="963" w:type="dxa"/>
            <w:shd w:val="clear" w:color="auto" w:fill="auto"/>
          </w:tcPr>
          <w:p w14:paraId="27ECD660" w14:textId="77777777" w:rsidR="006F240E" w:rsidRPr="00901EA1" w:rsidRDefault="006F240E" w:rsidP="00AA398D">
            <w:pPr>
              <w:jc w:val="right"/>
              <w:rPr>
                <w:sz w:val="18"/>
                <w:szCs w:val="18"/>
              </w:rPr>
            </w:pPr>
            <w:r w:rsidRPr="00901EA1">
              <w:rPr>
                <w:sz w:val="18"/>
                <w:szCs w:val="18"/>
              </w:rPr>
              <w:t>100</w:t>
            </w:r>
          </w:p>
        </w:tc>
        <w:tc>
          <w:tcPr>
            <w:tcW w:w="982" w:type="dxa"/>
            <w:shd w:val="clear" w:color="auto" w:fill="auto"/>
          </w:tcPr>
          <w:p w14:paraId="43E8EF1A" w14:textId="77777777" w:rsidR="006F240E" w:rsidRPr="00901EA1" w:rsidRDefault="006F240E" w:rsidP="00AA398D">
            <w:pPr>
              <w:jc w:val="right"/>
              <w:rPr>
                <w:sz w:val="18"/>
                <w:szCs w:val="18"/>
              </w:rPr>
            </w:pPr>
            <w:r w:rsidRPr="00901EA1">
              <w:rPr>
                <w:sz w:val="18"/>
                <w:szCs w:val="18"/>
              </w:rPr>
              <w:t>111</w:t>
            </w:r>
          </w:p>
          <w:p w14:paraId="5A298432" w14:textId="77777777" w:rsidR="006F240E" w:rsidRPr="00901EA1" w:rsidRDefault="006F240E" w:rsidP="00AA398D">
            <w:pPr>
              <w:jc w:val="right"/>
              <w:rPr>
                <w:sz w:val="18"/>
                <w:szCs w:val="18"/>
              </w:rPr>
            </w:pPr>
            <w:r w:rsidRPr="00901EA1">
              <w:rPr>
                <w:sz w:val="18"/>
                <w:szCs w:val="18"/>
              </w:rPr>
              <w:t>(6,473/</w:t>
            </w:r>
          </w:p>
          <w:p w14:paraId="05C16482" w14:textId="77777777" w:rsidR="006F240E" w:rsidRPr="00901EA1" w:rsidRDefault="006F240E" w:rsidP="00AA398D">
            <w:pPr>
              <w:jc w:val="right"/>
              <w:rPr>
                <w:sz w:val="18"/>
                <w:szCs w:val="18"/>
              </w:rPr>
            </w:pPr>
            <w:r w:rsidRPr="00901EA1">
              <w:rPr>
                <w:sz w:val="18"/>
                <w:szCs w:val="18"/>
              </w:rPr>
              <w:t>5,821)</w:t>
            </w:r>
          </w:p>
        </w:tc>
        <w:tc>
          <w:tcPr>
            <w:tcW w:w="1263" w:type="dxa"/>
          </w:tcPr>
          <w:p w14:paraId="673989BE" w14:textId="77777777" w:rsidR="006F240E" w:rsidRPr="00901EA1" w:rsidRDefault="006F240E" w:rsidP="00AA398D">
            <w:pPr>
              <w:jc w:val="right"/>
              <w:rPr>
                <w:sz w:val="18"/>
                <w:szCs w:val="18"/>
              </w:rPr>
            </w:pPr>
            <w:r w:rsidRPr="00901EA1">
              <w:rPr>
                <w:sz w:val="18"/>
                <w:szCs w:val="18"/>
              </w:rPr>
              <w:t>11</w:t>
            </w:r>
          </w:p>
        </w:tc>
        <w:tc>
          <w:tcPr>
            <w:tcW w:w="662" w:type="dxa"/>
            <w:shd w:val="clear" w:color="auto" w:fill="auto"/>
          </w:tcPr>
          <w:p w14:paraId="256638E8" w14:textId="77777777" w:rsidR="006F240E" w:rsidRPr="00901EA1" w:rsidRDefault="006F240E" w:rsidP="00AA398D">
            <w:pPr>
              <w:jc w:val="center"/>
              <w:rPr>
                <w:sz w:val="18"/>
                <w:szCs w:val="18"/>
              </w:rPr>
            </w:pPr>
            <w:r w:rsidRPr="00901EA1">
              <w:rPr>
                <w:sz w:val="18"/>
                <w:szCs w:val="18"/>
              </w:rPr>
              <w:t>10, 11</w:t>
            </w:r>
          </w:p>
        </w:tc>
      </w:tr>
      <w:tr w:rsidR="006F240E" w:rsidRPr="00901EA1" w14:paraId="49D62F30" w14:textId="77777777" w:rsidTr="00643BCF">
        <w:trPr>
          <w:cantSplit/>
        </w:trPr>
        <w:tc>
          <w:tcPr>
            <w:tcW w:w="5116" w:type="dxa"/>
            <w:shd w:val="clear" w:color="auto" w:fill="auto"/>
          </w:tcPr>
          <w:p w14:paraId="28CADC2D" w14:textId="77777777" w:rsidR="006F240E" w:rsidRPr="00901EA1" w:rsidRDefault="006F240E" w:rsidP="00AA398D">
            <w:pPr>
              <w:rPr>
                <w:sz w:val="18"/>
                <w:szCs w:val="18"/>
              </w:rPr>
            </w:pPr>
            <w:r w:rsidRPr="00901EA1">
              <w:rPr>
                <w:sz w:val="18"/>
                <w:szCs w:val="18"/>
              </w:rPr>
              <w:t>Case clearance rate – Civil matters disposed in the Magistrates’ Court</w:t>
            </w:r>
          </w:p>
        </w:tc>
        <w:tc>
          <w:tcPr>
            <w:tcW w:w="1123" w:type="dxa"/>
            <w:shd w:val="clear" w:color="auto" w:fill="auto"/>
          </w:tcPr>
          <w:p w14:paraId="096D8457" w14:textId="77777777" w:rsidR="006F240E" w:rsidRPr="00901EA1" w:rsidRDefault="006F240E" w:rsidP="00AA398D">
            <w:pPr>
              <w:rPr>
                <w:sz w:val="18"/>
                <w:szCs w:val="18"/>
              </w:rPr>
            </w:pPr>
            <w:r w:rsidRPr="00901EA1">
              <w:rPr>
                <w:sz w:val="18"/>
                <w:szCs w:val="18"/>
              </w:rPr>
              <w:t>per cent</w:t>
            </w:r>
          </w:p>
        </w:tc>
        <w:tc>
          <w:tcPr>
            <w:tcW w:w="963" w:type="dxa"/>
            <w:shd w:val="clear" w:color="auto" w:fill="auto"/>
          </w:tcPr>
          <w:p w14:paraId="497AB6DA" w14:textId="77777777" w:rsidR="006F240E" w:rsidRPr="00901EA1" w:rsidRDefault="006F240E" w:rsidP="00AA398D">
            <w:pPr>
              <w:jc w:val="right"/>
              <w:rPr>
                <w:sz w:val="18"/>
                <w:szCs w:val="18"/>
              </w:rPr>
            </w:pPr>
            <w:r w:rsidRPr="00901EA1">
              <w:rPr>
                <w:sz w:val="18"/>
                <w:szCs w:val="18"/>
              </w:rPr>
              <w:t>100</w:t>
            </w:r>
          </w:p>
        </w:tc>
        <w:tc>
          <w:tcPr>
            <w:tcW w:w="982" w:type="dxa"/>
            <w:shd w:val="clear" w:color="auto" w:fill="auto"/>
          </w:tcPr>
          <w:p w14:paraId="03C59A59" w14:textId="77777777" w:rsidR="006F240E" w:rsidRPr="00901EA1" w:rsidRDefault="006F240E" w:rsidP="00AA398D">
            <w:pPr>
              <w:jc w:val="right"/>
              <w:rPr>
                <w:sz w:val="18"/>
                <w:szCs w:val="18"/>
              </w:rPr>
            </w:pPr>
            <w:r w:rsidRPr="00901EA1">
              <w:rPr>
                <w:sz w:val="18"/>
                <w:szCs w:val="18"/>
              </w:rPr>
              <w:t>91</w:t>
            </w:r>
          </w:p>
          <w:p w14:paraId="4EBEF0F1" w14:textId="77777777" w:rsidR="006F240E" w:rsidRPr="00901EA1" w:rsidRDefault="006F240E" w:rsidP="00AA398D">
            <w:pPr>
              <w:jc w:val="right"/>
              <w:rPr>
                <w:sz w:val="18"/>
                <w:szCs w:val="18"/>
              </w:rPr>
            </w:pPr>
            <w:r w:rsidRPr="00901EA1">
              <w:rPr>
                <w:sz w:val="18"/>
                <w:szCs w:val="18"/>
              </w:rPr>
              <w:t>(55,316/</w:t>
            </w:r>
          </w:p>
          <w:p w14:paraId="0E2E38A0" w14:textId="77777777" w:rsidR="006F240E" w:rsidRPr="00901EA1" w:rsidRDefault="006F240E" w:rsidP="00AA398D">
            <w:pPr>
              <w:jc w:val="right"/>
              <w:rPr>
                <w:sz w:val="18"/>
                <w:szCs w:val="18"/>
              </w:rPr>
            </w:pPr>
            <w:r w:rsidRPr="00901EA1">
              <w:rPr>
                <w:sz w:val="18"/>
                <w:szCs w:val="18"/>
              </w:rPr>
              <w:t>60,699)</w:t>
            </w:r>
          </w:p>
        </w:tc>
        <w:tc>
          <w:tcPr>
            <w:tcW w:w="1263" w:type="dxa"/>
          </w:tcPr>
          <w:p w14:paraId="1E3F1B42" w14:textId="77777777" w:rsidR="006F240E" w:rsidRPr="00901EA1" w:rsidRDefault="006F240E" w:rsidP="00AA398D">
            <w:pPr>
              <w:jc w:val="right"/>
              <w:rPr>
                <w:sz w:val="18"/>
                <w:szCs w:val="18"/>
              </w:rPr>
            </w:pPr>
            <w:r w:rsidRPr="00901EA1">
              <w:rPr>
                <w:sz w:val="18"/>
                <w:szCs w:val="18"/>
              </w:rPr>
              <w:t>-9</w:t>
            </w:r>
          </w:p>
        </w:tc>
        <w:tc>
          <w:tcPr>
            <w:tcW w:w="662" w:type="dxa"/>
            <w:shd w:val="clear" w:color="auto" w:fill="auto"/>
          </w:tcPr>
          <w:p w14:paraId="7605713D" w14:textId="77777777" w:rsidR="006F240E" w:rsidRPr="00901EA1" w:rsidRDefault="006F240E" w:rsidP="00AA398D">
            <w:pPr>
              <w:jc w:val="center"/>
              <w:rPr>
                <w:sz w:val="18"/>
                <w:szCs w:val="18"/>
              </w:rPr>
            </w:pPr>
            <w:r w:rsidRPr="00901EA1">
              <w:rPr>
                <w:sz w:val="18"/>
                <w:szCs w:val="18"/>
              </w:rPr>
              <w:t>10, 12</w:t>
            </w:r>
          </w:p>
        </w:tc>
      </w:tr>
      <w:tr w:rsidR="006F240E" w:rsidRPr="00901EA1" w14:paraId="66E29918" w14:textId="77777777" w:rsidTr="00643BCF">
        <w:trPr>
          <w:cantSplit/>
        </w:trPr>
        <w:tc>
          <w:tcPr>
            <w:tcW w:w="5116" w:type="dxa"/>
            <w:shd w:val="clear" w:color="auto" w:fill="auto"/>
          </w:tcPr>
          <w:p w14:paraId="38DD325C" w14:textId="77777777" w:rsidR="006F240E" w:rsidRPr="00901EA1" w:rsidRDefault="006F240E" w:rsidP="00AA398D">
            <w:pPr>
              <w:rPr>
                <w:sz w:val="18"/>
                <w:szCs w:val="18"/>
              </w:rPr>
            </w:pPr>
            <w:r w:rsidRPr="00901EA1">
              <w:rPr>
                <w:sz w:val="18"/>
                <w:szCs w:val="18"/>
              </w:rPr>
              <w:t>Case clearance rate – Civil matters disposed in the Victorian Civil and Administrative Tribunal</w:t>
            </w:r>
          </w:p>
        </w:tc>
        <w:tc>
          <w:tcPr>
            <w:tcW w:w="1123" w:type="dxa"/>
            <w:shd w:val="clear" w:color="auto" w:fill="auto"/>
          </w:tcPr>
          <w:p w14:paraId="18E1B8CF" w14:textId="77777777" w:rsidR="006F240E" w:rsidRPr="00901EA1" w:rsidRDefault="006F240E" w:rsidP="00AA398D">
            <w:pPr>
              <w:rPr>
                <w:sz w:val="18"/>
                <w:szCs w:val="18"/>
              </w:rPr>
            </w:pPr>
            <w:r w:rsidRPr="00901EA1">
              <w:rPr>
                <w:sz w:val="18"/>
                <w:szCs w:val="18"/>
              </w:rPr>
              <w:t>per cent</w:t>
            </w:r>
          </w:p>
        </w:tc>
        <w:tc>
          <w:tcPr>
            <w:tcW w:w="963" w:type="dxa"/>
            <w:shd w:val="clear" w:color="auto" w:fill="auto"/>
          </w:tcPr>
          <w:p w14:paraId="267B9852" w14:textId="77777777" w:rsidR="006F240E" w:rsidRPr="00901EA1" w:rsidRDefault="006F240E" w:rsidP="00AA398D">
            <w:pPr>
              <w:jc w:val="right"/>
              <w:rPr>
                <w:sz w:val="18"/>
                <w:szCs w:val="18"/>
              </w:rPr>
            </w:pPr>
            <w:r w:rsidRPr="00901EA1">
              <w:rPr>
                <w:sz w:val="18"/>
                <w:szCs w:val="18"/>
              </w:rPr>
              <w:t>100</w:t>
            </w:r>
          </w:p>
        </w:tc>
        <w:tc>
          <w:tcPr>
            <w:tcW w:w="982" w:type="dxa"/>
            <w:shd w:val="clear" w:color="auto" w:fill="auto"/>
          </w:tcPr>
          <w:p w14:paraId="6E8F4153" w14:textId="77777777" w:rsidR="006F240E" w:rsidRPr="00901EA1" w:rsidRDefault="006F240E" w:rsidP="00AA398D">
            <w:pPr>
              <w:jc w:val="right"/>
              <w:rPr>
                <w:sz w:val="18"/>
                <w:szCs w:val="18"/>
              </w:rPr>
            </w:pPr>
            <w:r w:rsidRPr="00901EA1">
              <w:rPr>
                <w:sz w:val="18"/>
                <w:szCs w:val="18"/>
              </w:rPr>
              <w:t>102</w:t>
            </w:r>
          </w:p>
          <w:p w14:paraId="08CA0E8F" w14:textId="77777777" w:rsidR="006F240E" w:rsidRPr="00901EA1" w:rsidRDefault="006F240E" w:rsidP="00AA398D">
            <w:pPr>
              <w:jc w:val="right"/>
              <w:rPr>
                <w:sz w:val="18"/>
                <w:szCs w:val="18"/>
              </w:rPr>
            </w:pPr>
            <w:r w:rsidRPr="00901EA1">
              <w:rPr>
                <w:sz w:val="18"/>
                <w:szCs w:val="18"/>
              </w:rPr>
              <w:t>(87,448/</w:t>
            </w:r>
          </w:p>
          <w:p w14:paraId="4A9D2BBC" w14:textId="77777777" w:rsidR="006F240E" w:rsidRPr="00901EA1" w:rsidRDefault="006F240E" w:rsidP="00AA398D">
            <w:pPr>
              <w:jc w:val="right"/>
              <w:rPr>
                <w:sz w:val="18"/>
                <w:szCs w:val="18"/>
              </w:rPr>
            </w:pPr>
            <w:r w:rsidRPr="00901EA1">
              <w:rPr>
                <w:sz w:val="18"/>
                <w:szCs w:val="18"/>
              </w:rPr>
              <w:t>85,961)</w:t>
            </w:r>
          </w:p>
        </w:tc>
        <w:tc>
          <w:tcPr>
            <w:tcW w:w="1263" w:type="dxa"/>
          </w:tcPr>
          <w:p w14:paraId="0AA3B673" w14:textId="77777777" w:rsidR="006F240E" w:rsidRPr="00901EA1" w:rsidRDefault="006F240E" w:rsidP="00AA398D">
            <w:pPr>
              <w:jc w:val="right"/>
              <w:rPr>
                <w:sz w:val="18"/>
                <w:szCs w:val="18"/>
              </w:rPr>
            </w:pPr>
            <w:r w:rsidRPr="00901EA1">
              <w:rPr>
                <w:sz w:val="18"/>
                <w:szCs w:val="18"/>
              </w:rPr>
              <w:t>2</w:t>
            </w:r>
          </w:p>
        </w:tc>
        <w:tc>
          <w:tcPr>
            <w:tcW w:w="662" w:type="dxa"/>
            <w:shd w:val="clear" w:color="auto" w:fill="auto"/>
          </w:tcPr>
          <w:p w14:paraId="459B0383" w14:textId="77777777" w:rsidR="006F240E" w:rsidRPr="00901EA1" w:rsidRDefault="006F240E" w:rsidP="00AA398D">
            <w:pPr>
              <w:jc w:val="center"/>
              <w:rPr>
                <w:sz w:val="18"/>
                <w:szCs w:val="18"/>
              </w:rPr>
            </w:pPr>
            <w:r w:rsidRPr="00901EA1">
              <w:rPr>
                <w:sz w:val="18"/>
                <w:szCs w:val="18"/>
              </w:rPr>
              <w:t>10</w:t>
            </w:r>
          </w:p>
        </w:tc>
      </w:tr>
      <w:tr w:rsidR="006F240E" w:rsidRPr="00901EA1" w14:paraId="07A18AE8" w14:textId="77777777" w:rsidTr="00643BCF">
        <w:trPr>
          <w:cantSplit/>
        </w:trPr>
        <w:tc>
          <w:tcPr>
            <w:tcW w:w="5116" w:type="dxa"/>
            <w:shd w:val="clear" w:color="auto" w:fill="auto"/>
          </w:tcPr>
          <w:p w14:paraId="1E182C20" w14:textId="77777777" w:rsidR="006F240E" w:rsidRPr="00901EA1" w:rsidRDefault="006F240E" w:rsidP="00AA398D">
            <w:pPr>
              <w:rPr>
                <w:sz w:val="18"/>
                <w:szCs w:val="18"/>
              </w:rPr>
            </w:pPr>
            <w:r w:rsidRPr="00901EA1">
              <w:rPr>
                <w:sz w:val="18"/>
                <w:szCs w:val="18"/>
              </w:rPr>
              <w:t>Case clearance rate – Family Division matters disposed in the Children’s Court</w:t>
            </w:r>
          </w:p>
        </w:tc>
        <w:tc>
          <w:tcPr>
            <w:tcW w:w="1123" w:type="dxa"/>
            <w:shd w:val="clear" w:color="auto" w:fill="auto"/>
          </w:tcPr>
          <w:p w14:paraId="20618B83" w14:textId="77777777" w:rsidR="006F240E" w:rsidRPr="00901EA1" w:rsidRDefault="006F240E" w:rsidP="00AA398D">
            <w:pPr>
              <w:rPr>
                <w:sz w:val="18"/>
                <w:szCs w:val="18"/>
              </w:rPr>
            </w:pPr>
            <w:r w:rsidRPr="00901EA1">
              <w:rPr>
                <w:sz w:val="18"/>
                <w:szCs w:val="18"/>
              </w:rPr>
              <w:t>per cent</w:t>
            </w:r>
          </w:p>
        </w:tc>
        <w:tc>
          <w:tcPr>
            <w:tcW w:w="963" w:type="dxa"/>
            <w:shd w:val="clear" w:color="auto" w:fill="auto"/>
          </w:tcPr>
          <w:p w14:paraId="5931E9CB" w14:textId="77777777" w:rsidR="006F240E" w:rsidRPr="00901EA1" w:rsidRDefault="006F240E" w:rsidP="00AA398D">
            <w:pPr>
              <w:jc w:val="right"/>
              <w:rPr>
                <w:sz w:val="18"/>
                <w:szCs w:val="18"/>
              </w:rPr>
            </w:pPr>
            <w:r w:rsidRPr="00901EA1">
              <w:rPr>
                <w:sz w:val="18"/>
                <w:szCs w:val="18"/>
              </w:rPr>
              <w:t>85</w:t>
            </w:r>
          </w:p>
        </w:tc>
        <w:tc>
          <w:tcPr>
            <w:tcW w:w="982" w:type="dxa"/>
            <w:shd w:val="clear" w:color="auto" w:fill="auto"/>
          </w:tcPr>
          <w:p w14:paraId="6AE2FC57" w14:textId="77777777" w:rsidR="006F240E" w:rsidRPr="00901EA1" w:rsidRDefault="006F240E" w:rsidP="00AA398D">
            <w:pPr>
              <w:jc w:val="right"/>
              <w:rPr>
                <w:sz w:val="18"/>
                <w:szCs w:val="18"/>
              </w:rPr>
            </w:pPr>
            <w:r w:rsidRPr="00901EA1">
              <w:rPr>
                <w:sz w:val="18"/>
                <w:szCs w:val="18"/>
              </w:rPr>
              <w:t>95.5</w:t>
            </w:r>
          </w:p>
          <w:p w14:paraId="20F78F84" w14:textId="77777777" w:rsidR="006F240E" w:rsidRPr="00901EA1" w:rsidRDefault="006F240E" w:rsidP="00AA398D">
            <w:pPr>
              <w:jc w:val="right"/>
              <w:rPr>
                <w:sz w:val="18"/>
                <w:szCs w:val="18"/>
              </w:rPr>
            </w:pPr>
            <w:r w:rsidRPr="00901EA1">
              <w:rPr>
                <w:sz w:val="18"/>
                <w:szCs w:val="18"/>
              </w:rPr>
              <w:t>(19,110/</w:t>
            </w:r>
          </w:p>
          <w:p w14:paraId="544982CF" w14:textId="77777777" w:rsidR="006F240E" w:rsidRPr="00901EA1" w:rsidRDefault="006F240E" w:rsidP="00AA398D">
            <w:pPr>
              <w:jc w:val="right"/>
              <w:rPr>
                <w:sz w:val="18"/>
                <w:szCs w:val="18"/>
              </w:rPr>
            </w:pPr>
            <w:r w:rsidRPr="00901EA1">
              <w:rPr>
                <w:sz w:val="18"/>
                <w:szCs w:val="18"/>
              </w:rPr>
              <w:t>20,003)</w:t>
            </w:r>
          </w:p>
        </w:tc>
        <w:tc>
          <w:tcPr>
            <w:tcW w:w="1263" w:type="dxa"/>
          </w:tcPr>
          <w:p w14:paraId="232C2075" w14:textId="77777777" w:rsidR="006F240E" w:rsidRPr="00901EA1" w:rsidRDefault="006F240E" w:rsidP="00AA398D">
            <w:pPr>
              <w:jc w:val="right"/>
              <w:rPr>
                <w:sz w:val="18"/>
                <w:szCs w:val="18"/>
              </w:rPr>
            </w:pPr>
            <w:r w:rsidRPr="00901EA1">
              <w:rPr>
                <w:sz w:val="18"/>
                <w:szCs w:val="18"/>
              </w:rPr>
              <w:t>12.3</w:t>
            </w:r>
          </w:p>
        </w:tc>
        <w:tc>
          <w:tcPr>
            <w:tcW w:w="662" w:type="dxa"/>
            <w:shd w:val="clear" w:color="auto" w:fill="auto"/>
          </w:tcPr>
          <w:p w14:paraId="6EE5F980" w14:textId="77777777" w:rsidR="006F240E" w:rsidRPr="00901EA1" w:rsidRDefault="006F240E" w:rsidP="00AA398D">
            <w:pPr>
              <w:jc w:val="center"/>
              <w:rPr>
                <w:sz w:val="18"/>
                <w:szCs w:val="18"/>
              </w:rPr>
            </w:pPr>
            <w:r w:rsidRPr="00901EA1">
              <w:rPr>
                <w:sz w:val="18"/>
                <w:szCs w:val="18"/>
              </w:rPr>
              <w:t>10, 13</w:t>
            </w:r>
          </w:p>
        </w:tc>
      </w:tr>
      <w:tr w:rsidR="006F240E" w:rsidRPr="00901EA1" w14:paraId="70F2D200" w14:textId="77777777" w:rsidTr="00643BCF">
        <w:trPr>
          <w:cantSplit/>
        </w:trPr>
        <w:tc>
          <w:tcPr>
            <w:tcW w:w="5116" w:type="dxa"/>
            <w:shd w:val="clear" w:color="auto" w:fill="auto"/>
          </w:tcPr>
          <w:p w14:paraId="5DEA5B00" w14:textId="77777777" w:rsidR="006F240E" w:rsidRPr="00901EA1" w:rsidRDefault="006F240E" w:rsidP="00AA398D">
            <w:pPr>
              <w:rPr>
                <w:sz w:val="18"/>
                <w:szCs w:val="18"/>
              </w:rPr>
            </w:pPr>
            <w:r w:rsidRPr="00901EA1">
              <w:rPr>
                <w:sz w:val="18"/>
                <w:szCs w:val="18"/>
              </w:rPr>
              <w:t>Case clearance rate – Coronial matters disposed in the Coroners Court</w:t>
            </w:r>
          </w:p>
        </w:tc>
        <w:tc>
          <w:tcPr>
            <w:tcW w:w="1123" w:type="dxa"/>
            <w:shd w:val="clear" w:color="auto" w:fill="auto"/>
          </w:tcPr>
          <w:p w14:paraId="02B1E984" w14:textId="77777777" w:rsidR="006F240E" w:rsidRPr="00901EA1" w:rsidRDefault="006F240E" w:rsidP="00AA398D">
            <w:pPr>
              <w:rPr>
                <w:sz w:val="18"/>
                <w:szCs w:val="18"/>
              </w:rPr>
            </w:pPr>
            <w:r w:rsidRPr="00901EA1">
              <w:rPr>
                <w:sz w:val="18"/>
                <w:szCs w:val="18"/>
              </w:rPr>
              <w:t>per cent</w:t>
            </w:r>
          </w:p>
        </w:tc>
        <w:tc>
          <w:tcPr>
            <w:tcW w:w="963" w:type="dxa"/>
            <w:shd w:val="clear" w:color="auto" w:fill="auto"/>
          </w:tcPr>
          <w:p w14:paraId="7E58309C" w14:textId="77777777" w:rsidR="006F240E" w:rsidRPr="00901EA1" w:rsidRDefault="006F240E" w:rsidP="00AA398D">
            <w:pPr>
              <w:jc w:val="right"/>
              <w:rPr>
                <w:sz w:val="18"/>
                <w:szCs w:val="18"/>
              </w:rPr>
            </w:pPr>
            <w:r w:rsidRPr="00901EA1">
              <w:rPr>
                <w:sz w:val="18"/>
                <w:szCs w:val="18"/>
              </w:rPr>
              <w:t>100</w:t>
            </w:r>
          </w:p>
        </w:tc>
        <w:tc>
          <w:tcPr>
            <w:tcW w:w="982" w:type="dxa"/>
            <w:shd w:val="clear" w:color="auto" w:fill="auto"/>
          </w:tcPr>
          <w:p w14:paraId="184DD1B4" w14:textId="77777777" w:rsidR="006F240E" w:rsidRPr="00901EA1" w:rsidRDefault="006F240E" w:rsidP="00AA398D">
            <w:pPr>
              <w:jc w:val="right"/>
              <w:rPr>
                <w:sz w:val="18"/>
                <w:szCs w:val="18"/>
              </w:rPr>
            </w:pPr>
            <w:r w:rsidRPr="00901EA1">
              <w:rPr>
                <w:sz w:val="18"/>
                <w:szCs w:val="18"/>
              </w:rPr>
              <w:t>104.6</w:t>
            </w:r>
          </w:p>
          <w:p w14:paraId="7C72A8B3" w14:textId="77777777" w:rsidR="006F240E" w:rsidRPr="00901EA1" w:rsidRDefault="006F240E" w:rsidP="00AA398D">
            <w:pPr>
              <w:jc w:val="right"/>
              <w:rPr>
                <w:sz w:val="18"/>
                <w:szCs w:val="18"/>
              </w:rPr>
            </w:pPr>
            <w:r w:rsidRPr="00901EA1">
              <w:rPr>
                <w:sz w:val="18"/>
                <w:szCs w:val="18"/>
              </w:rPr>
              <w:t>(6,596/</w:t>
            </w:r>
          </w:p>
          <w:p w14:paraId="55BED1B6" w14:textId="77777777" w:rsidR="006F240E" w:rsidRPr="00901EA1" w:rsidRDefault="006F240E" w:rsidP="00AA398D">
            <w:pPr>
              <w:jc w:val="right"/>
              <w:rPr>
                <w:sz w:val="18"/>
                <w:szCs w:val="18"/>
              </w:rPr>
            </w:pPr>
            <w:r w:rsidRPr="00901EA1">
              <w:rPr>
                <w:sz w:val="18"/>
                <w:szCs w:val="18"/>
              </w:rPr>
              <w:t>6,305)</w:t>
            </w:r>
          </w:p>
        </w:tc>
        <w:tc>
          <w:tcPr>
            <w:tcW w:w="1263" w:type="dxa"/>
          </w:tcPr>
          <w:p w14:paraId="14802888" w14:textId="77777777" w:rsidR="006F240E" w:rsidRPr="00901EA1" w:rsidRDefault="006F240E" w:rsidP="00AA398D">
            <w:pPr>
              <w:jc w:val="right"/>
              <w:rPr>
                <w:sz w:val="18"/>
                <w:szCs w:val="18"/>
              </w:rPr>
            </w:pPr>
            <w:r w:rsidRPr="00901EA1">
              <w:rPr>
                <w:sz w:val="18"/>
                <w:szCs w:val="18"/>
              </w:rPr>
              <w:t>4.6</w:t>
            </w:r>
          </w:p>
        </w:tc>
        <w:tc>
          <w:tcPr>
            <w:tcW w:w="662" w:type="dxa"/>
            <w:shd w:val="clear" w:color="auto" w:fill="auto"/>
          </w:tcPr>
          <w:p w14:paraId="139FB516" w14:textId="77777777" w:rsidR="006F240E" w:rsidRPr="00901EA1" w:rsidRDefault="006F240E" w:rsidP="00AA398D">
            <w:pPr>
              <w:jc w:val="center"/>
              <w:rPr>
                <w:sz w:val="18"/>
                <w:szCs w:val="18"/>
              </w:rPr>
            </w:pPr>
            <w:r w:rsidRPr="00901EA1">
              <w:rPr>
                <w:sz w:val="18"/>
                <w:szCs w:val="18"/>
              </w:rPr>
              <w:t>10</w:t>
            </w:r>
          </w:p>
        </w:tc>
      </w:tr>
      <w:tr w:rsidR="006F240E" w:rsidRPr="00901EA1" w14:paraId="45494B23" w14:textId="77777777" w:rsidTr="00643BCF">
        <w:trPr>
          <w:cantSplit/>
        </w:trPr>
        <w:tc>
          <w:tcPr>
            <w:tcW w:w="5116" w:type="dxa"/>
            <w:shd w:val="clear" w:color="auto" w:fill="auto"/>
          </w:tcPr>
          <w:p w14:paraId="77F20D63" w14:textId="77777777" w:rsidR="006F240E" w:rsidRPr="00901EA1" w:rsidRDefault="006F240E" w:rsidP="00AA398D">
            <w:pPr>
              <w:rPr>
                <w:sz w:val="18"/>
                <w:szCs w:val="18"/>
              </w:rPr>
            </w:pPr>
            <w:r w:rsidRPr="00901EA1">
              <w:rPr>
                <w:sz w:val="18"/>
                <w:szCs w:val="18"/>
              </w:rPr>
              <w:t>Case clearance rate – Criminal matters disposed in the Supreme Court</w:t>
            </w:r>
          </w:p>
        </w:tc>
        <w:tc>
          <w:tcPr>
            <w:tcW w:w="1123" w:type="dxa"/>
            <w:shd w:val="clear" w:color="auto" w:fill="auto"/>
          </w:tcPr>
          <w:p w14:paraId="1BF8952A" w14:textId="77777777" w:rsidR="006F240E" w:rsidRPr="00901EA1" w:rsidRDefault="006F240E" w:rsidP="00AA398D">
            <w:pPr>
              <w:rPr>
                <w:sz w:val="18"/>
                <w:szCs w:val="18"/>
              </w:rPr>
            </w:pPr>
            <w:r w:rsidRPr="00901EA1">
              <w:rPr>
                <w:sz w:val="18"/>
                <w:szCs w:val="18"/>
              </w:rPr>
              <w:t>per cent</w:t>
            </w:r>
          </w:p>
        </w:tc>
        <w:tc>
          <w:tcPr>
            <w:tcW w:w="963" w:type="dxa"/>
            <w:shd w:val="clear" w:color="auto" w:fill="auto"/>
          </w:tcPr>
          <w:p w14:paraId="2A7F2C06" w14:textId="77777777" w:rsidR="006F240E" w:rsidRPr="00901EA1" w:rsidRDefault="006F240E" w:rsidP="00AA398D">
            <w:pPr>
              <w:jc w:val="right"/>
              <w:rPr>
                <w:sz w:val="18"/>
                <w:szCs w:val="18"/>
              </w:rPr>
            </w:pPr>
            <w:r w:rsidRPr="00901EA1">
              <w:rPr>
                <w:sz w:val="18"/>
                <w:szCs w:val="18"/>
              </w:rPr>
              <w:t>100</w:t>
            </w:r>
          </w:p>
        </w:tc>
        <w:tc>
          <w:tcPr>
            <w:tcW w:w="982" w:type="dxa"/>
            <w:shd w:val="clear" w:color="auto" w:fill="auto"/>
          </w:tcPr>
          <w:p w14:paraId="6BC8ABC2" w14:textId="77777777" w:rsidR="006F240E" w:rsidRPr="00901EA1" w:rsidRDefault="006F240E" w:rsidP="00AA398D">
            <w:pPr>
              <w:jc w:val="right"/>
              <w:rPr>
                <w:sz w:val="18"/>
                <w:szCs w:val="18"/>
              </w:rPr>
            </w:pPr>
            <w:r w:rsidRPr="00901EA1">
              <w:rPr>
                <w:sz w:val="18"/>
                <w:szCs w:val="18"/>
              </w:rPr>
              <w:t>105.1</w:t>
            </w:r>
          </w:p>
          <w:p w14:paraId="0C72198E" w14:textId="77777777" w:rsidR="006F240E" w:rsidRPr="00901EA1" w:rsidRDefault="006F240E" w:rsidP="00AA398D">
            <w:pPr>
              <w:jc w:val="right"/>
              <w:rPr>
                <w:sz w:val="18"/>
                <w:szCs w:val="18"/>
              </w:rPr>
            </w:pPr>
            <w:r w:rsidRPr="00901EA1">
              <w:rPr>
                <w:sz w:val="18"/>
                <w:szCs w:val="18"/>
              </w:rPr>
              <w:t>(593/</w:t>
            </w:r>
          </w:p>
          <w:p w14:paraId="104B1B9B" w14:textId="77777777" w:rsidR="006F240E" w:rsidRPr="00901EA1" w:rsidRDefault="006F240E" w:rsidP="00AA398D">
            <w:pPr>
              <w:jc w:val="right"/>
              <w:rPr>
                <w:sz w:val="18"/>
                <w:szCs w:val="18"/>
              </w:rPr>
            </w:pPr>
            <w:r w:rsidRPr="00901EA1">
              <w:rPr>
                <w:sz w:val="18"/>
                <w:szCs w:val="18"/>
              </w:rPr>
              <w:t>564)</w:t>
            </w:r>
          </w:p>
        </w:tc>
        <w:tc>
          <w:tcPr>
            <w:tcW w:w="1263" w:type="dxa"/>
          </w:tcPr>
          <w:p w14:paraId="2C6EB392" w14:textId="77777777" w:rsidR="006F240E" w:rsidRPr="00901EA1" w:rsidRDefault="006F240E" w:rsidP="00AA398D">
            <w:pPr>
              <w:jc w:val="right"/>
              <w:rPr>
                <w:sz w:val="18"/>
                <w:szCs w:val="18"/>
              </w:rPr>
            </w:pPr>
            <w:r w:rsidRPr="00901EA1">
              <w:rPr>
                <w:sz w:val="18"/>
                <w:szCs w:val="18"/>
              </w:rPr>
              <w:t>5.1</w:t>
            </w:r>
          </w:p>
        </w:tc>
        <w:tc>
          <w:tcPr>
            <w:tcW w:w="662" w:type="dxa"/>
            <w:shd w:val="clear" w:color="auto" w:fill="auto"/>
          </w:tcPr>
          <w:p w14:paraId="2DEBAC9A" w14:textId="77777777" w:rsidR="006F240E" w:rsidRPr="00901EA1" w:rsidRDefault="006F240E" w:rsidP="00AA398D">
            <w:pPr>
              <w:jc w:val="center"/>
              <w:rPr>
                <w:sz w:val="18"/>
                <w:szCs w:val="18"/>
              </w:rPr>
            </w:pPr>
            <w:r w:rsidRPr="00901EA1">
              <w:rPr>
                <w:sz w:val="18"/>
                <w:szCs w:val="18"/>
              </w:rPr>
              <w:t>10, 14</w:t>
            </w:r>
          </w:p>
        </w:tc>
      </w:tr>
      <w:tr w:rsidR="006F240E" w:rsidRPr="00901EA1" w14:paraId="72FFA560" w14:textId="77777777" w:rsidTr="00643BCF">
        <w:trPr>
          <w:cantSplit/>
        </w:trPr>
        <w:tc>
          <w:tcPr>
            <w:tcW w:w="5116" w:type="dxa"/>
            <w:shd w:val="clear" w:color="auto" w:fill="auto"/>
          </w:tcPr>
          <w:p w14:paraId="27D46A96" w14:textId="77777777" w:rsidR="006F240E" w:rsidRPr="00901EA1" w:rsidRDefault="006F240E" w:rsidP="00AA398D">
            <w:pPr>
              <w:rPr>
                <w:sz w:val="18"/>
                <w:szCs w:val="18"/>
              </w:rPr>
            </w:pPr>
            <w:r w:rsidRPr="00901EA1">
              <w:rPr>
                <w:sz w:val="18"/>
                <w:szCs w:val="18"/>
              </w:rPr>
              <w:t>Case clearance rate – Criminal matters disposed in the County Court</w:t>
            </w:r>
          </w:p>
        </w:tc>
        <w:tc>
          <w:tcPr>
            <w:tcW w:w="1123" w:type="dxa"/>
            <w:shd w:val="clear" w:color="auto" w:fill="auto"/>
          </w:tcPr>
          <w:p w14:paraId="1B09D369" w14:textId="77777777" w:rsidR="006F240E" w:rsidRPr="00901EA1" w:rsidRDefault="006F240E" w:rsidP="00AA398D">
            <w:pPr>
              <w:rPr>
                <w:sz w:val="18"/>
                <w:szCs w:val="18"/>
              </w:rPr>
            </w:pPr>
            <w:r w:rsidRPr="00901EA1">
              <w:rPr>
                <w:sz w:val="18"/>
                <w:szCs w:val="18"/>
              </w:rPr>
              <w:t>per cent</w:t>
            </w:r>
          </w:p>
        </w:tc>
        <w:tc>
          <w:tcPr>
            <w:tcW w:w="963" w:type="dxa"/>
            <w:shd w:val="clear" w:color="auto" w:fill="auto"/>
          </w:tcPr>
          <w:p w14:paraId="63003198" w14:textId="77777777" w:rsidR="006F240E" w:rsidRPr="00901EA1" w:rsidRDefault="006F240E" w:rsidP="00AA398D">
            <w:pPr>
              <w:jc w:val="right"/>
              <w:rPr>
                <w:sz w:val="18"/>
                <w:szCs w:val="18"/>
              </w:rPr>
            </w:pPr>
            <w:r w:rsidRPr="00901EA1">
              <w:rPr>
                <w:sz w:val="18"/>
                <w:szCs w:val="18"/>
              </w:rPr>
              <w:t>100</w:t>
            </w:r>
          </w:p>
        </w:tc>
        <w:tc>
          <w:tcPr>
            <w:tcW w:w="982" w:type="dxa"/>
            <w:shd w:val="clear" w:color="auto" w:fill="auto"/>
          </w:tcPr>
          <w:p w14:paraId="197B74E1" w14:textId="77777777" w:rsidR="006F240E" w:rsidRPr="00901EA1" w:rsidRDefault="006F240E" w:rsidP="00AA398D">
            <w:pPr>
              <w:jc w:val="right"/>
              <w:rPr>
                <w:sz w:val="18"/>
                <w:szCs w:val="18"/>
              </w:rPr>
            </w:pPr>
            <w:r w:rsidRPr="00901EA1">
              <w:rPr>
                <w:sz w:val="18"/>
                <w:szCs w:val="18"/>
              </w:rPr>
              <w:t>99</w:t>
            </w:r>
          </w:p>
          <w:p w14:paraId="303F9B5B" w14:textId="77777777" w:rsidR="006F240E" w:rsidRPr="00901EA1" w:rsidRDefault="006F240E" w:rsidP="00AA398D">
            <w:pPr>
              <w:jc w:val="right"/>
              <w:rPr>
                <w:sz w:val="18"/>
                <w:szCs w:val="18"/>
              </w:rPr>
            </w:pPr>
            <w:r w:rsidRPr="00901EA1">
              <w:rPr>
                <w:sz w:val="18"/>
                <w:szCs w:val="18"/>
              </w:rPr>
              <w:t>(5,453/</w:t>
            </w:r>
          </w:p>
          <w:p w14:paraId="1337ADB4" w14:textId="77777777" w:rsidR="006F240E" w:rsidRPr="00901EA1" w:rsidRDefault="006F240E" w:rsidP="00AA398D">
            <w:pPr>
              <w:jc w:val="right"/>
              <w:rPr>
                <w:sz w:val="18"/>
                <w:szCs w:val="18"/>
              </w:rPr>
            </w:pPr>
            <w:r w:rsidRPr="00901EA1">
              <w:rPr>
                <w:sz w:val="18"/>
                <w:szCs w:val="18"/>
              </w:rPr>
              <w:t>5,522)</w:t>
            </w:r>
          </w:p>
        </w:tc>
        <w:tc>
          <w:tcPr>
            <w:tcW w:w="1263" w:type="dxa"/>
          </w:tcPr>
          <w:p w14:paraId="5A0F9C58" w14:textId="77777777" w:rsidR="006F240E" w:rsidRPr="00901EA1" w:rsidRDefault="006F240E" w:rsidP="00AA398D">
            <w:pPr>
              <w:jc w:val="right"/>
              <w:rPr>
                <w:sz w:val="18"/>
                <w:szCs w:val="18"/>
              </w:rPr>
            </w:pPr>
            <w:r w:rsidRPr="00901EA1">
              <w:rPr>
                <w:sz w:val="18"/>
                <w:szCs w:val="18"/>
              </w:rPr>
              <w:t>-1</w:t>
            </w:r>
          </w:p>
        </w:tc>
        <w:tc>
          <w:tcPr>
            <w:tcW w:w="662" w:type="dxa"/>
            <w:shd w:val="clear" w:color="auto" w:fill="auto"/>
          </w:tcPr>
          <w:p w14:paraId="23EDC086" w14:textId="77777777" w:rsidR="006F240E" w:rsidRPr="00901EA1" w:rsidRDefault="006F240E" w:rsidP="00AA398D">
            <w:pPr>
              <w:jc w:val="center"/>
              <w:rPr>
                <w:sz w:val="18"/>
                <w:szCs w:val="18"/>
              </w:rPr>
            </w:pPr>
            <w:r w:rsidRPr="00901EA1">
              <w:rPr>
                <w:sz w:val="18"/>
                <w:szCs w:val="18"/>
              </w:rPr>
              <w:t>10</w:t>
            </w:r>
          </w:p>
        </w:tc>
      </w:tr>
      <w:tr w:rsidR="006F240E" w:rsidRPr="00901EA1" w14:paraId="7C937BA7" w14:textId="77777777" w:rsidTr="00643BCF">
        <w:trPr>
          <w:cantSplit/>
        </w:trPr>
        <w:tc>
          <w:tcPr>
            <w:tcW w:w="5116" w:type="dxa"/>
            <w:shd w:val="clear" w:color="auto" w:fill="auto"/>
          </w:tcPr>
          <w:p w14:paraId="547845C4" w14:textId="77777777" w:rsidR="006F240E" w:rsidRPr="00901EA1" w:rsidRDefault="006F240E" w:rsidP="00AA398D">
            <w:pPr>
              <w:rPr>
                <w:sz w:val="18"/>
                <w:szCs w:val="18"/>
              </w:rPr>
            </w:pPr>
            <w:r w:rsidRPr="00901EA1">
              <w:rPr>
                <w:sz w:val="18"/>
                <w:szCs w:val="18"/>
              </w:rPr>
              <w:t>Case clearance rate – Criminal matters disposed in the Magistrates’ Court</w:t>
            </w:r>
          </w:p>
        </w:tc>
        <w:tc>
          <w:tcPr>
            <w:tcW w:w="1123" w:type="dxa"/>
            <w:shd w:val="clear" w:color="auto" w:fill="auto"/>
          </w:tcPr>
          <w:p w14:paraId="25194DA4" w14:textId="77777777" w:rsidR="006F240E" w:rsidRPr="00901EA1" w:rsidRDefault="006F240E" w:rsidP="00AA398D">
            <w:pPr>
              <w:rPr>
                <w:sz w:val="18"/>
                <w:szCs w:val="18"/>
              </w:rPr>
            </w:pPr>
            <w:r w:rsidRPr="00901EA1">
              <w:rPr>
                <w:sz w:val="18"/>
                <w:szCs w:val="18"/>
              </w:rPr>
              <w:t>per cent</w:t>
            </w:r>
          </w:p>
        </w:tc>
        <w:tc>
          <w:tcPr>
            <w:tcW w:w="963" w:type="dxa"/>
            <w:shd w:val="clear" w:color="auto" w:fill="auto"/>
          </w:tcPr>
          <w:p w14:paraId="56C45376" w14:textId="77777777" w:rsidR="006F240E" w:rsidRPr="00901EA1" w:rsidRDefault="006F240E" w:rsidP="00AA398D">
            <w:pPr>
              <w:jc w:val="right"/>
              <w:rPr>
                <w:sz w:val="18"/>
                <w:szCs w:val="18"/>
              </w:rPr>
            </w:pPr>
            <w:r w:rsidRPr="00901EA1">
              <w:rPr>
                <w:sz w:val="18"/>
                <w:szCs w:val="18"/>
              </w:rPr>
              <w:t>100</w:t>
            </w:r>
          </w:p>
        </w:tc>
        <w:tc>
          <w:tcPr>
            <w:tcW w:w="982" w:type="dxa"/>
            <w:shd w:val="clear" w:color="auto" w:fill="auto"/>
          </w:tcPr>
          <w:p w14:paraId="44C2A943" w14:textId="77777777" w:rsidR="006F240E" w:rsidRPr="00901EA1" w:rsidRDefault="006F240E" w:rsidP="00AA398D">
            <w:pPr>
              <w:jc w:val="right"/>
              <w:rPr>
                <w:sz w:val="18"/>
                <w:szCs w:val="18"/>
              </w:rPr>
            </w:pPr>
            <w:r w:rsidRPr="00901EA1">
              <w:rPr>
                <w:sz w:val="18"/>
                <w:szCs w:val="18"/>
              </w:rPr>
              <w:t>124</w:t>
            </w:r>
          </w:p>
          <w:p w14:paraId="7AE44F8B" w14:textId="77777777" w:rsidR="006F240E" w:rsidRPr="00901EA1" w:rsidRDefault="006F240E" w:rsidP="00AA398D">
            <w:pPr>
              <w:jc w:val="right"/>
              <w:rPr>
                <w:sz w:val="18"/>
                <w:szCs w:val="18"/>
              </w:rPr>
            </w:pPr>
            <w:r w:rsidRPr="00901EA1">
              <w:rPr>
                <w:sz w:val="18"/>
                <w:szCs w:val="18"/>
              </w:rPr>
              <w:t>(199,960/</w:t>
            </w:r>
          </w:p>
          <w:p w14:paraId="23CC9064" w14:textId="77777777" w:rsidR="006F240E" w:rsidRPr="00901EA1" w:rsidRDefault="006F240E" w:rsidP="00AA398D">
            <w:pPr>
              <w:jc w:val="right"/>
              <w:rPr>
                <w:sz w:val="18"/>
                <w:szCs w:val="18"/>
              </w:rPr>
            </w:pPr>
            <w:r w:rsidRPr="00901EA1">
              <w:rPr>
                <w:sz w:val="18"/>
                <w:szCs w:val="18"/>
              </w:rPr>
              <w:t>160,942)</w:t>
            </w:r>
          </w:p>
        </w:tc>
        <w:tc>
          <w:tcPr>
            <w:tcW w:w="1263" w:type="dxa"/>
          </w:tcPr>
          <w:p w14:paraId="79CC20C5" w14:textId="77777777" w:rsidR="006F240E" w:rsidRPr="00901EA1" w:rsidRDefault="006F240E" w:rsidP="00AA398D">
            <w:pPr>
              <w:jc w:val="right"/>
              <w:rPr>
                <w:sz w:val="18"/>
                <w:szCs w:val="18"/>
              </w:rPr>
            </w:pPr>
            <w:r w:rsidRPr="00901EA1">
              <w:rPr>
                <w:sz w:val="18"/>
                <w:szCs w:val="18"/>
              </w:rPr>
              <w:t>24</w:t>
            </w:r>
          </w:p>
        </w:tc>
        <w:tc>
          <w:tcPr>
            <w:tcW w:w="662" w:type="dxa"/>
            <w:shd w:val="clear" w:color="auto" w:fill="auto"/>
          </w:tcPr>
          <w:p w14:paraId="27121A9B" w14:textId="77777777" w:rsidR="006F240E" w:rsidRPr="00901EA1" w:rsidRDefault="006F240E" w:rsidP="00AA398D">
            <w:pPr>
              <w:jc w:val="center"/>
              <w:rPr>
                <w:sz w:val="18"/>
                <w:szCs w:val="18"/>
              </w:rPr>
            </w:pPr>
            <w:r w:rsidRPr="00901EA1">
              <w:rPr>
                <w:sz w:val="18"/>
                <w:szCs w:val="18"/>
              </w:rPr>
              <w:t>15</w:t>
            </w:r>
          </w:p>
        </w:tc>
      </w:tr>
      <w:tr w:rsidR="006F240E" w:rsidRPr="00901EA1" w14:paraId="69E0AC42" w14:textId="77777777" w:rsidTr="00643BCF">
        <w:trPr>
          <w:cantSplit/>
        </w:trPr>
        <w:tc>
          <w:tcPr>
            <w:tcW w:w="5116" w:type="dxa"/>
            <w:shd w:val="clear" w:color="auto" w:fill="auto"/>
          </w:tcPr>
          <w:p w14:paraId="40FBC395" w14:textId="77777777" w:rsidR="006F240E" w:rsidRPr="00901EA1" w:rsidRDefault="006F240E" w:rsidP="00AA398D">
            <w:pPr>
              <w:rPr>
                <w:sz w:val="18"/>
                <w:szCs w:val="18"/>
              </w:rPr>
            </w:pPr>
            <w:r w:rsidRPr="00901EA1">
              <w:rPr>
                <w:sz w:val="18"/>
                <w:szCs w:val="18"/>
              </w:rPr>
              <w:t>Case clearance rate – Criminal matters disposed in the Children’s Court</w:t>
            </w:r>
          </w:p>
        </w:tc>
        <w:tc>
          <w:tcPr>
            <w:tcW w:w="1123" w:type="dxa"/>
            <w:shd w:val="clear" w:color="auto" w:fill="auto"/>
          </w:tcPr>
          <w:p w14:paraId="158B062B" w14:textId="77777777" w:rsidR="006F240E" w:rsidRPr="00901EA1" w:rsidRDefault="006F240E" w:rsidP="00AA398D">
            <w:pPr>
              <w:rPr>
                <w:sz w:val="18"/>
                <w:szCs w:val="18"/>
              </w:rPr>
            </w:pPr>
            <w:r w:rsidRPr="00901EA1">
              <w:rPr>
                <w:sz w:val="18"/>
                <w:szCs w:val="18"/>
              </w:rPr>
              <w:t>per cent</w:t>
            </w:r>
          </w:p>
        </w:tc>
        <w:tc>
          <w:tcPr>
            <w:tcW w:w="963" w:type="dxa"/>
            <w:shd w:val="clear" w:color="auto" w:fill="auto"/>
          </w:tcPr>
          <w:p w14:paraId="11786DB3" w14:textId="77777777" w:rsidR="006F240E" w:rsidRPr="00901EA1" w:rsidRDefault="006F240E" w:rsidP="00AA398D">
            <w:pPr>
              <w:jc w:val="right"/>
              <w:rPr>
                <w:sz w:val="18"/>
                <w:szCs w:val="18"/>
              </w:rPr>
            </w:pPr>
            <w:r w:rsidRPr="00901EA1">
              <w:rPr>
                <w:sz w:val="18"/>
                <w:szCs w:val="18"/>
              </w:rPr>
              <w:t>100</w:t>
            </w:r>
          </w:p>
        </w:tc>
        <w:tc>
          <w:tcPr>
            <w:tcW w:w="982" w:type="dxa"/>
            <w:shd w:val="clear" w:color="auto" w:fill="auto"/>
          </w:tcPr>
          <w:p w14:paraId="541529D8" w14:textId="77777777" w:rsidR="006F240E" w:rsidRPr="00901EA1" w:rsidRDefault="006F240E" w:rsidP="00AA398D">
            <w:pPr>
              <w:jc w:val="right"/>
              <w:rPr>
                <w:sz w:val="18"/>
                <w:szCs w:val="18"/>
              </w:rPr>
            </w:pPr>
            <w:r w:rsidRPr="00901EA1">
              <w:rPr>
                <w:sz w:val="18"/>
                <w:szCs w:val="18"/>
              </w:rPr>
              <w:t>108.6</w:t>
            </w:r>
          </w:p>
          <w:p w14:paraId="4AF317B0" w14:textId="77777777" w:rsidR="006F240E" w:rsidRPr="00901EA1" w:rsidRDefault="006F240E" w:rsidP="00AA398D">
            <w:pPr>
              <w:jc w:val="right"/>
              <w:rPr>
                <w:sz w:val="18"/>
                <w:szCs w:val="18"/>
              </w:rPr>
            </w:pPr>
            <w:r w:rsidRPr="00901EA1">
              <w:rPr>
                <w:sz w:val="18"/>
                <w:szCs w:val="18"/>
              </w:rPr>
              <w:t>(25,718/</w:t>
            </w:r>
          </w:p>
          <w:p w14:paraId="6AE09B11" w14:textId="77777777" w:rsidR="006F240E" w:rsidRPr="00901EA1" w:rsidRDefault="006F240E" w:rsidP="00AA398D">
            <w:pPr>
              <w:jc w:val="right"/>
              <w:rPr>
                <w:sz w:val="18"/>
                <w:szCs w:val="18"/>
              </w:rPr>
            </w:pPr>
            <w:r w:rsidRPr="00901EA1">
              <w:rPr>
                <w:sz w:val="18"/>
                <w:szCs w:val="18"/>
              </w:rPr>
              <w:t>23,688)</w:t>
            </w:r>
          </w:p>
        </w:tc>
        <w:tc>
          <w:tcPr>
            <w:tcW w:w="1263" w:type="dxa"/>
          </w:tcPr>
          <w:p w14:paraId="45A9DD1A" w14:textId="77777777" w:rsidR="006F240E" w:rsidRPr="00901EA1" w:rsidRDefault="006F240E" w:rsidP="00AA398D">
            <w:pPr>
              <w:jc w:val="right"/>
              <w:rPr>
                <w:sz w:val="18"/>
                <w:szCs w:val="18"/>
              </w:rPr>
            </w:pPr>
            <w:r w:rsidRPr="00901EA1">
              <w:rPr>
                <w:sz w:val="18"/>
                <w:szCs w:val="18"/>
              </w:rPr>
              <w:t>8.6</w:t>
            </w:r>
          </w:p>
        </w:tc>
        <w:tc>
          <w:tcPr>
            <w:tcW w:w="662" w:type="dxa"/>
            <w:shd w:val="clear" w:color="auto" w:fill="auto"/>
          </w:tcPr>
          <w:p w14:paraId="20940716" w14:textId="77777777" w:rsidR="006F240E" w:rsidRPr="00901EA1" w:rsidRDefault="006F240E" w:rsidP="00AA398D">
            <w:pPr>
              <w:jc w:val="center"/>
              <w:rPr>
                <w:sz w:val="18"/>
                <w:szCs w:val="18"/>
              </w:rPr>
            </w:pPr>
            <w:r w:rsidRPr="00901EA1">
              <w:rPr>
                <w:sz w:val="18"/>
                <w:szCs w:val="18"/>
              </w:rPr>
              <w:t>16</w:t>
            </w:r>
          </w:p>
        </w:tc>
      </w:tr>
      <w:tr w:rsidR="006F240E" w:rsidRPr="00901EA1" w14:paraId="04B43593" w14:textId="77777777" w:rsidTr="00643BCF">
        <w:trPr>
          <w:cantSplit/>
        </w:trPr>
        <w:tc>
          <w:tcPr>
            <w:tcW w:w="5116" w:type="dxa"/>
            <w:shd w:val="clear" w:color="auto" w:fill="D9D9D9"/>
            <w:vAlign w:val="bottom"/>
          </w:tcPr>
          <w:p w14:paraId="6B3D54F0" w14:textId="77777777" w:rsidR="006F240E" w:rsidRPr="00901EA1" w:rsidRDefault="006F240E" w:rsidP="00AA398D">
            <w:pPr>
              <w:rPr>
                <w:b/>
                <w:sz w:val="18"/>
                <w:szCs w:val="18"/>
              </w:rPr>
            </w:pPr>
            <w:r w:rsidRPr="00901EA1">
              <w:rPr>
                <w:b/>
                <w:sz w:val="18"/>
                <w:szCs w:val="18"/>
              </w:rPr>
              <w:t>Quality</w:t>
            </w:r>
          </w:p>
        </w:tc>
        <w:tc>
          <w:tcPr>
            <w:tcW w:w="1123" w:type="dxa"/>
            <w:shd w:val="clear" w:color="auto" w:fill="D9D9D9"/>
          </w:tcPr>
          <w:p w14:paraId="2AF069C9" w14:textId="77777777" w:rsidR="006F240E" w:rsidRPr="00901EA1" w:rsidRDefault="006F240E" w:rsidP="00AA398D">
            <w:pPr>
              <w:rPr>
                <w:b/>
                <w:sz w:val="18"/>
                <w:szCs w:val="18"/>
              </w:rPr>
            </w:pPr>
          </w:p>
        </w:tc>
        <w:tc>
          <w:tcPr>
            <w:tcW w:w="963" w:type="dxa"/>
            <w:shd w:val="clear" w:color="auto" w:fill="D9D9D9"/>
          </w:tcPr>
          <w:p w14:paraId="6416FB64" w14:textId="77777777" w:rsidR="006F240E" w:rsidRPr="00901EA1" w:rsidRDefault="006F240E" w:rsidP="00AA398D">
            <w:pPr>
              <w:jc w:val="right"/>
              <w:rPr>
                <w:b/>
                <w:sz w:val="18"/>
                <w:szCs w:val="18"/>
              </w:rPr>
            </w:pPr>
            <w:r w:rsidRPr="00901EA1">
              <w:rPr>
                <w:b/>
                <w:sz w:val="18"/>
                <w:szCs w:val="18"/>
              </w:rPr>
              <w:t xml:space="preserve"> </w:t>
            </w:r>
          </w:p>
        </w:tc>
        <w:tc>
          <w:tcPr>
            <w:tcW w:w="982" w:type="dxa"/>
            <w:shd w:val="clear" w:color="auto" w:fill="D9D9D9"/>
          </w:tcPr>
          <w:p w14:paraId="60B70E15" w14:textId="77777777" w:rsidR="006F240E" w:rsidRPr="00901EA1" w:rsidRDefault="006F240E" w:rsidP="00AA398D">
            <w:pPr>
              <w:rPr>
                <w:b/>
                <w:sz w:val="18"/>
                <w:szCs w:val="18"/>
              </w:rPr>
            </w:pPr>
          </w:p>
        </w:tc>
        <w:tc>
          <w:tcPr>
            <w:tcW w:w="1263" w:type="dxa"/>
            <w:shd w:val="clear" w:color="auto" w:fill="D9D9D9"/>
          </w:tcPr>
          <w:p w14:paraId="69A424E7" w14:textId="77777777" w:rsidR="006F240E" w:rsidRPr="00901EA1" w:rsidRDefault="006F240E" w:rsidP="00AA398D">
            <w:pPr>
              <w:rPr>
                <w:b/>
                <w:sz w:val="18"/>
                <w:szCs w:val="18"/>
              </w:rPr>
            </w:pPr>
          </w:p>
        </w:tc>
        <w:tc>
          <w:tcPr>
            <w:tcW w:w="662" w:type="dxa"/>
            <w:shd w:val="clear" w:color="auto" w:fill="D9D9D9"/>
          </w:tcPr>
          <w:p w14:paraId="592893A0" w14:textId="77777777" w:rsidR="006F240E" w:rsidRPr="00901EA1" w:rsidRDefault="006F240E" w:rsidP="00AA398D">
            <w:pPr>
              <w:rPr>
                <w:b/>
                <w:sz w:val="18"/>
                <w:szCs w:val="18"/>
              </w:rPr>
            </w:pPr>
          </w:p>
        </w:tc>
      </w:tr>
      <w:tr w:rsidR="006F240E" w:rsidRPr="00901EA1" w14:paraId="37490419" w14:textId="77777777" w:rsidTr="00643BCF">
        <w:trPr>
          <w:cantSplit/>
        </w:trPr>
        <w:tc>
          <w:tcPr>
            <w:tcW w:w="5116" w:type="dxa"/>
            <w:shd w:val="clear" w:color="auto" w:fill="auto"/>
          </w:tcPr>
          <w:p w14:paraId="1077F0B8" w14:textId="77777777" w:rsidR="006F240E" w:rsidRPr="00901EA1" w:rsidRDefault="006F240E" w:rsidP="00AA398D">
            <w:pPr>
              <w:rPr>
                <w:sz w:val="18"/>
                <w:szCs w:val="18"/>
              </w:rPr>
            </w:pPr>
            <w:r w:rsidRPr="00901EA1">
              <w:rPr>
                <w:sz w:val="18"/>
                <w:szCs w:val="18"/>
              </w:rPr>
              <w:t>Quality of court registry services in Supreme Court</w:t>
            </w:r>
          </w:p>
        </w:tc>
        <w:tc>
          <w:tcPr>
            <w:tcW w:w="1123" w:type="dxa"/>
            <w:shd w:val="clear" w:color="auto" w:fill="auto"/>
          </w:tcPr>
          <w:p w14:paraId="645A6BAE" w14:textId="77777777" w:rsidR="006F240E" w:rsidRPr="00901EA1" w:rsidRDefault="006F240E" w:rsidP="00AA398D">
            <w:pPr>
              <w:rPr>
                <w:sz w:val="18"/>
                <w:szCs w:val="18"/>
              </w:rPr>
            </w:pPr>
            <w:r w:rsidRPr="00901EA1">
              <w:rPr>
                <w:sz w:val="18"/>
                <w:szCs w:val="18"/>
              </w:rPr>
              <w:t>per cent</w:t>
            </w:r>
          </w:p>
        </w:tc>
        <w:tc>
          <w:tcPr>
            <w:tcW w:w="963" w:type="dxa"/>
            <w:shd w:val="clear" w:color="auto" w:fill="auto"/>
          </w:tcPr>
          <w:p w14:paraId="7BE1CBD2" w14:textId="77777777" w:rsidR="006F240E" w:rsidRPr="00901EA1" w:rsidRDefault="006F240E" w:rsidP="00AA398D">
            <w:pPr>
              <w:jc w:val="right"/>
              <w:rPr>
                <w:sz w:val="18"/>
                <w:szCs w:val="18"/>
              </w:rPr>
            </w:pPr>
            <w:r w:rsidRPr="00901EA1">
              <w:rPr>
                <w:sz w:val="18"/>
                <w:szCs w:val="18"/>
              </w:rPr>
              <w:t>85</w:t>
            </w:r>
          </w:p>
        </w:tc>
        <w:tc>
          <w:tcPr>
            <w:tcW w:w="982" w:type="dxa"/>
            <w:shd w:val="clear" w:color="auto" w:fill="auto"/>
          </w:tcPr>
          <w:p w14:paraId="205540C9" w14:textId="77777777" w:rsidR="006F240E" w:rsidRPr="00901EA1" w:rsidRDefault="006F240E" w:rsidP="00AA398D">
            <w:pPr>
              <w:jc w:val="right"/>
              <w:rPr>
                <w:sz w:val="18"/>
                <w:szCs w:val="18"/>
              </w:rPr>
            </w:pPr>
            <w:r w:rsidRPr="00901EA1">
              <w:rPr>
                <w:sz w:val="18"/>
                <w:szCs w:val="18"/>
              </w:rPr>
              <w:t>85</w:t>
            </w:r>
          </w:p>
        </w:tc>
        <w:tc>
          <w:tcPr>
            <w:tcW w:w="1263" w:type="dxa"/>
          </w:tcPr>
          <w:p w14:paraId="01A31E7D" w14:textId="77777777" w:rsidR="006F240E" w:rsidRPr="00901EA1" w:rsidRDefault="006F240E" w:rsidP="00AA398D">
            <w:pPr>
              <w:jc w:val="right"/>
              <w:rPr>
                <w:sz w:val="18"/>
                <w:szCs w:val="18"/>
              </w:rPr>
            </w:pPr>
            <w:r w:rsidRPr="00901EA1">
              <w:rPr>
                <w:sz w:val="18"/>
                <w:szCs w:val="18"/>
              </w:rPr>
              <w:t>0</w:t>
            </w:r>
          </w:p>
        </w:tc>
        <w:tc>
          <w:tcPr>
            <w:tcW w:w="662" w:type="dxa"/>
            <w:shd w:val="clear" w:color="auto" w:fill="auto"/>
          </w:tcPr>
          <w:p w14:paraId="69D54F1D" w14:textId="77777777" w:rsidR="006F240E" w:rsidRPr="00901EA1" w:rsidRDefault="006F240E" w:rsidP="00AA398D">
            <w:pPr>
              <w:jc w:val="right"/>
              <w:rPr>
                <w:sz w:val="18"/>
                <w:szCs w:val="18"/>
              </w:rPr>
            </w:pPr>
          </w:p>
        </w:tc>
      </w:tr>
      <w:tr w:rsidR="006F240E" w:rsidRPr="00901EA1" w14:paraId="38356863" w14:textId="77777777" w:rsidTr="00643BCF">
        <w:trPr>
          <w:cantSplit/>
        </w:trPr>
        <w:tc>
          <w:tcPr>
            <w:tcW w:w="5116" w:type="dxa"/>
            <w:shd w:val="clear" w:color="auto" w:fill="auto"/>
          </w:tcPr>
          <w:p w14:paraId="072EFBFE" w14:textId="77777777" w:rsidR="006F240E" w:rsidRPr="00901EA1" w:rsidRDefault="006F240E" w:rsidP="00AA398D">
            <w:pPr>
              <w:rPr>
                <w:sz w:val="18"/>
                <w:szCs w:val="18"/>
              </w:rPr>
            </w:pPr>
            <w:r w:rsidRPr="00901EA1">
              <w:rPr>
                <w:sz w:val="18"/>
                <w:szCs w:val="18"/>
              </w:rPr>
              <w:t>Quality of court registry services in County Court</w:t>
            </w:r>
          </w:p>
        </w:tc>
        <w:tc>
          <w:tcPr>
            <w:tcW w:w="1123" w:type="dxa"/>
            <w:shd w:val="clear" w:color="auto" w:fill="auto"/>
          </w:tcPr>
          <w:p w14:paraId="3085E8A3" w14:textId="77777777" w:rsidR="006F240E" w:rsidRPr="00901EA1" w:rsidRDefault="006F240E" w:rsidP="00AA398D">
            <w:pPr>
              <w:rPr>
                <w:sz w:val="18"/>
                <w:szCs w:val="18"/>
              </w:rPr>
            </w:pPr>
            <w:r w:rsidRPr="00901EA1">
              <w:rPr>
                <w:sz w:val="18"/>
                <w:szCs w:val="18"/>
              </w:rPr>
              <w:t>per cent</w:t>
            </w:r>
          </w:p>
        </w:tc>
        <w:tc>
          <w:tcPr>
            <w:tcW w:w="963" w:type="dxa"/>
            <w:shd w:val="clear" w:color="auto" w:fill="auto"/>
          </w:tcPr>
          <w:p w14:paraId="1C3A72E2" w14:textId="77777777" w:rsidR="006F240E" w:rsidRPr="00901EA1" w:rsidRDefault="006F240E" w:rsidP="00AA398D">
            <w:pPr>
              <w:jc w:val="right"/>
              <w:rPr>
                <w:sz w:val="18"/>
                <w:szCs w:val="18"/>
              </w:rPr>
            </w:pPr>
            <w:r w:rsidRPr="00901EA1">
              <w:rPr>
                <w:sz w:val="18"/>
                <w:szCs w:val="18"/>
              </w:rPr>
              <w:t>85</w:t>
            </w:r>
          </w:p>
        </w:tc>
        <w:tc>
          <w:tcPr>
            <w:tcW w:w="982" w:type="dxa"/>
            <w:shd w:val="clear" w:color="auto" w:fill="auto"/>
          </w:tcPr>
          <w:p w14:paraId="09560E63" w14:textId="77777777" w:rsidR="006F240E" w:rsidRPr="00901EA1" w:rsidRDefault="006F240E" w:rsidP="00AA398D">
            <w:pPr>
              <w:jc w:val="right"/>
              <w:rPr>
                <w:sz w:val="18"/>
                <w:szCs w:val="18"/>
              </w:rPr>
            </w:pPr>
            <w:r w:rsidRPr="00901EA1">
              <w:rPr>
                <w:sz w:val="18"/>
                <w:szCs w:val="18"/>
              </w:rPr>
              <w:t>85</w:t>
            </w:r>
          </w:p>
        </w:tc>
        <w:tc>
          <w:tcPr>
            <w:tcW w:w="1263" w:type="dxa"/>
          </w:tcPr>
          <w:p w14:paraId="4572ADFA" w14:textId="77777777" w:rsidR="006F240E" w:rsidRPr="00901EA1" w:rsidRDefault="006F240E" w:rsidP="00AA398D">
            <w:pPr>
              <w:jc w:val="right"/>
              <w:rPr>
                <w:sz w:val="18"/>
                <w:szCs w:val="18"/>
              </w:rPr>
            </w:pPr>
            <w:r w:rsidRPr="00901EA1">
              <w:rPr>
                <w:sz w:val="18"/>
                <w:szCs w:val="18"/>
              </w:rPr>
              <w:t>0</w:t>
            </w:r>
          </w:p>
        </w:tc>
        <w:tc>
          <w:tcPr>
            <w:tcW w:w="662" w:type="dxa"/>
            <w:shd w:val="clear" w:color="auto" w:fill="auto"/>
          </w:tcPr>
          <w:p w14:paraId="5B892AA2" w14:textId="77777777" w:rsidR="006F240E" w:rsidRPr="00901EA1" w:rsidRDefault="006F240E" w:rsidP="00AA398D">
            <w:pPr>
              <w:rPr>
                <w:sz w:val="18"/>
                <w:szCs w:val="18"/>
              </w:rPr>
            </w:pPr>
          </w:p>
        </w:tc>
      </w:tr>
      <w:tr w:rsidR="006F240E" w:rsidRPr="00901EA1" w14:paraId="708E1273" w14:textId="77777777" w:rsidTr="00643BCF">
        <w:trPr>
          <w:cantSplit/>
        </w:trPr>
        <w:tc>
          <w:tcPr>
            <w:tcW w:w="5116" w:type="dxa"/>
            <w:shd w:val="clear" w:color="auto" w:fill="auto"/>
          </w:tcPr>
          <w:p w14:paraId="73F26824" w14:textId="77777777" w:rsidR="006F240E" w:rsidRPr="00901EA1" w:rsidRDefault="006F240E" w:rsidP="00AA398D">
            <w:pPr>
              <w:rPr>
                <w:sz w:val="18"/>
                <w:szCs w:val="18"/>
              </w:rPr>
            </w:pPr>
            <w:r w:rsidRPr="00901EA1">
              <w:rPr>
                <w:sz w:val="18"/>
                <w:szCs w:val="18"/>
              </w:rPr>
              <w:t>Quality of court registry services in Magistrates’ Court</w:t>
            </w:r>
          </w:p>
        </w:tc>
        <w:tc>
          <w:tcPr>
            <w:tcW w:w="1123" w:type="dxa"/>
            <w:shd w:val="clear" w:color="auto" w:fill="auto"/>
          </w:tcPr>
          <w:p w14:paraId="3592268A" w14:textId="77777777" w:rsidR="006F240E" w:rsidRPr="00901EA1" w:rsidRDefault="006F240E" w:rsidP="00AA398D">
            <w:pPr>
              <w:rPr>
                <w:sz w:val="18"/>
                <w:szCs w:val="18"/>
              </w:rPr>
            </w:pPr>
            <w:r w:rsidRPr="00901EA1">
              <w:rPr>
                <w:sz w:val="18"/>
                <w:szCs w:val="18"/>
              </w:rPr>
              <w:t>per cent</w:t>
            </w:r>
          </w:p>
        </w:tc>
        <w:tc>
          <w:tcPr>
            <w:tcW w:w="963" w:type="dxa"/>
            <w:shd w:val="clear" w:color="auto" w:fill="auto"/>
          </w:tcPr>
          <w:p w14:paraId="42DD408B" w14:textId="77777777" w:rsidR="006F240E" w:rsidRPr="00901EA1" w:rsidRDefault="006F240E" w:rsidP="00AA398D">
            <w:pPr>
              <w:jc w:val="right"/>
              <w:rPr>
                <w:sz w:val="18"/>
                <w:szCs w:val="18"/>
              </w:rPr>
            </w:pPr>
            <w:r w:rsidRPr="00901EA1">
              <w:rPr>
                <w:sz w:val="18"/>
                <w:szCs w:val="18"/>
              </w:rPr>
              <w:t>91</w:t>
            </w:r>
          </w:p>
        </w:tc>
        <w:tc>
          <w:tcPr>
            <w:tcW w:w="982" w:type="dxa"/>
            <w:shd w:val="clear" w:color="auto" w:fill="auto"/>
          </w:tcPr>
          <w:p w14:paraId="3D01E81E" w14:textId="77777777" w:rsidR="006F240E" w:rsidRPr="00901EA1" w:rsidRDefault="006F240E" w:rsidP="00AA398D">
            <w:pPr>
              <w:jc w:val="right"/>
              <w:rPr>
                <w:sz w:val="18"/>
                <w:szCs w:val="18"/>
              </w:rPr>
            </w:pPr>
            <w:r w:rsidRPr="00901EA1">
              <w:rPr>
                <w:sz w:val="18"/>
                <w:szCs w:val="18"/>
              </w:rPr>
              <w:t>80</w:t>
            </w:r>
          </w:p>
        </w:tc>
        <w:tc>
          <w:tcPr>
            <w:tcW w:w="1263" w:type="dxa"/>
          </w:tcPr>
          <w:p w14:paraId="0D3295A7" w14:textId="77777777" w:rsidR="006F240E" w:rsidRPr="00901EA1" w:rsidRDefault="006F240E" w:rsidP="00AA398D">
            <w:pPr>
              <w:jc w:val="right"/>
              <w:rPr>
                <w:sz w:val="18"/>
                <w:szCs w:val="18"/>
              </w:rPr>
            </w:pPr>
            <w:r w:rsidRPr="00901EA1">
              <w:rPr>
                <w:sz w:val="18"/>
                <w:szCs w:val="18"/>
              </w:rPr>
              <w:t>-11</w:t>
            </w:r>
          </w:p>
        </w:tc>
        <w:tc>
          <w:tcPr>
            <w:tcW w:w="662" w:type="dxa"/>
            <w:shd w:val="clear" w:color="auto" w:fill="auto"/>
          </w:tcPr>
          <w:p w14:paraId="68A3D778" w14:textId="77777777" w:rsidR="006F240E" w:rsidRPr="00901EA1" w:rsidRDefault="006F240E" w:rsidP="00AA398D">
            <w:pPr>
              <w:jc w:val="center"/>
              <w:rPr>
                <w:sz w:val="18"/>
                <w:szCs w:val="18"/>
              </w:rPr>
            </w:pPr>
            <w:r w:rsidRPr="00901EA1">
              <w:rPr>
                <w:sz w:val="18"/>
                <w:szCs w:val="18"/>
              </w:rPr>
              <w:t>17</w:t>
            </w:r>
          </w:p>
        </w:tc>
      </w:tr>
      <w:tr w:rsidR="006F240E" w:rsidRPr="00901EA1" w14:paraId="7F13D299" w14:textId="77777777" w:rsidTr="00643BCF">
        <w:trPr>
          <w:cantSplit/>
        </w:trPr>
        <w:tc>
          <w:tcPr>
            <w:tcW w:w="5116" w:type="dxa"/>
            <w:shd w:val="clear" w:color="auto" w:fill="D9D9D9"/>
            <w:vAlign w:val="bottom"/>
          </w:tcPr>
          <w:p w14:paraId="1566A949" w14:textId="77777777" w:rsidR="006F240E" w:rsidRPr="00901EA1" w:rsidRDefault="006F240E" w:rsidP="00AA398D">
            <w:pPr>
              <w:rPr>
                <w:b/>
                <w:sz w:val="18"/>
                <w:szCs w:val="18"/>
              </w:rPr>
            </w:pPr>
            <w:r w:rsidRPr="00901EA1">
              <w:rPr>
                <w:b/>
                <w:sz w:val="18"/>
                <w:szCs w:val="18"/>
              </w:rPr>
              <w:t>Timeliness</w:t>
            </w:r>
          </w:p>
        </w:tc>
        <w:tc>
          <w:tcPr>
            <w:tcW w:w="1123" w:type="dxa"/>
            <w:shd w:val="clear" w:color="auto" w:fill="D9D9D9"/>
          </w:tcPr>
          <w:p w14:paraId="1E791164" w14:textId="77777777" w:rsidR="006F240E" w:rsidRPr="00901EA1" w:rsidRDefault="006F240E" w:rsidP="00AA398D">
            <w:pPr>
              <w:rPr>
                <w:b/>
                <w:sz w:val="18"/>
                <w:szCs w:val="18"/>
              </w:rPr>
            </w:pPr>
          </w:p>
        </w:tc>
        <w:tc>
          <w:tcPr>
            <w:tcW w:w="963" w:type="dxa"/>
            <w:shd w:val="clear" w:color="auto" w:fill="D9D9D9"/>
          </w:tcPr>
          <w:p w14:paraId="259CE1D3" w14:textId="77777777" w:rsidR="006F240E" w:rsidRPr="00901EA1" w:rsidRDefault="006F240E" w:rsidP="00AA398D">
            <w:pPr>
              <w:jc w:val="right"/>
              <w:rPr>
                <w:b/>
                <w:sz w:val="18"/>
                <w:szCs w:val="18"/>
              </w:rPr>
            </w:pPr>
            <w:r w:rsidRPr="00901EA1">
              <w:rPr>
                <w:b/>
                <w:sz w:val="18"/>
                <w:szCs w:val="18"/>
              </w:rPr>
              <w:t xml:space="preserve"> </w:t>
            </w:r>
          </w:p>
        </w:tc>
        <w:tc>
          <w:tcPr>
            <w:tcW w:w="982" w:type="dxa"/>
            <w:shd w:val="clear" w:color="auto" w:fill="D9D9D9"/>
          </w:tcPr>
          <w:p w14:paraId="0E9033D9" w14:textId="77777777" w:rsidR="006F240E" w:rsidRPr="00901EA1" w:rsidRDefault="006F240E" w:rsidP="00AA398D">
            <w:pPr>
              <w:rPr>
                <w:b/>
                <w:sz w:val="18"/>
                <w:szCs w:val="18"/>
              </w:rPr>
            </w:pPr>
          </w:p>
        </w:tc>
        <w:tc>
          <w:tcPr>
            <w:tcW w:w="1263" w:type="dxa"/>
            <w:shd w:val="clear" w:color="auto" w:fill="D9D9D9"/>
          </w:tcPr>
          <w:p w14:paraId="4D21B74A" w14:textId="77777777" w:rsidR="006F240E" w:rsidRPr="00901EA1" w:rsidRDefault="006F240E" w:rsidP="00AA398D">
            <w:pPr>
              <w:rPr>
                <w:b/>
                <w:sz w:val="18"/>
                <w:szCs w:val="18"/>
              </w:rPr>
            </w:pPr>
          </w:p>
        </w:tc>
        <w:tc>
          <w:tcPr>
            <w:tcW w:w="662" w:type="dxa"/>
            <w:shd w:val="clear" w:color="auto" w:fill="D9D9D9"/>
          </w:tcPr>
          <w:p w14:paraId="21817936" w14:textId="77777777" w:rsidR="006F240E" w:rsidRPr="00901EA1" w:rsidRDefault="006F240E" w:rsidP="00AA398D">
            <w:pPr>
              <w:rPr>
                <w:b/>
                <w:sz w:val="18"/>
                <w:szCs w:val="18"/>
              </w:rPr>
            </w:pPr>
          </w:p>
        </w:tc>
      </w:tr>
      <w:tr w:rsidR="006F240E" w:rsidRPr="00901EA1" w14:paraId="77623207" w14:textId="77777777" w:rsidTr="00643BCF">
        <w:trPr>
          <w:cantSplit/>
        </w:trPr>
        <w:tc>
          <w:tcPr>
            <w:tcW w:w="5116" w:type="dxa"/>
            <w:shd w:val="clear" w:color="auto" w:fill="auto"/>
          </w:tcPr>
          <w:p w14:paraId="36832A73" w14:textId="77777777" w:rsidR="006F240E" w:rsidRPr="00901EA1" w:rsidRDefault="006F240E" w:rsidP="00AA398D">
            <w:pPr>
              <w:rPr>
                <w:sz w:val="18"/>
                <w:szCs w:val="18"/>
              </w:rPr>
            </w:pPr>
            <w:r w:rsidRPr="00901EA1">
              <w:rPr>
                <w:sz w:val="18"/>
                <w:szCs w:val="18"/>
              </w:rPr>
              <w:t>On</w:t>
            </w:r>
            <w:r w:rsidRPr="00901EA1">
              <w:rPr>
                <w:sz w:val="18"/>
                <w:szCs w:val="18"/>
              </w:rPr>
              <w:noBreakHyphen/>
              <w:t>time case processing – Civil matters resolved or otherwise finalised within established timeframes in the Supreme Court</w:t>
            </w:r>
          </w:p>
        </w:tc>
        <w:tc>
          <w:tcPr>
            <w:tcW w:w="1123" w:type="dxa"/>
            <w:shd w:val="clear" w:color="auto" w:fill="auto"/>
          </w:tcPr>
          <w:p w14:paraId="610042C9" w14:textId="77777777" w:rsidR="006F240E" w:rsidRPr="00901EA1" w:rsidRDefault="006F240E" w:rsidP="00AA398D">
            <w:pPr>
              <w:rPr>
                <w:sz w:val="18"/>
                <w:szCs w:val="18"/>
              </w:rPr>
            </w:pPr>
            <w:r w:rsidRPr="00901EA1">
              <w:rPr>
                <w:sz w:val="18"/>
                <w:szCs w:val="18"/>
              </w:rPr>
              <w:t>per cent</w:t>
            </w:r>
          </w:p>
        </w:tc>
        <w:tc>
          <w:tcPr>
            <w:tcW w:w="963" w:type="dxa"/>
            <w:shd w:val="clear" w:color="auto" w:fill="auto"/>
          </w:tcPr>
          <w:p w14:paraId="620EFE05" w14:textId="77777777" w:rsidR="006F240E" w:rsidRPr="00901EA1" w:rsidRDefault="006F240E" w:rsidP="00AA398D">
            <w:pPr>
              <w:jc w:val="right"/>
              <w:rPr>
                <w:sz w:val="18"/>
                <w:szCs w:val="18"/>
              </w:rPr>
            </w:pPr>
            <w:r w:rsidRPr="00901EA1">
              <w:rPr>
                <w:sz w:val="18"/>
                <w:szCs w:val="18"/>
              </w:rPr>
              <w:t>90</w:t>
            </w:r>
          </w:p>
        </w:tc>
        <w:tc>
          <w:tcPr>
            <w:tcW w:w="982" w:type="dxa"/>
            <w:shd w:val="clear" w:color="auto" w:fill="auto"/>
          </w:tcPr>
          <w:p w14:paraId="74340052" w14:textId="77777777" w:rsidR="006F240E" w:rsidRPr="00901EA1" w:rsidRDefault="006F240E" w:rsidP="00AA398D">
            <w:pPr>
              <w:jc w:val="right"/>
              <w:rPr>
                <w:sz w:val="18"/>
                <w:szCs w:val="18"/>
              </w:rPr>
            </w:pPr>
            <w:r w:rsidRPr="00901EA1">
              <w:rPr>
                <w:sz w:val="18"/>
                <w:szCs w:val="18"/>
              </w:rPr>
              <w:t>93</w:t>
            </w:r>
          </w:p>
        </w:tc>
        <w:tc>
          <w:tcPr>
            <w:tcW w:w="1263" w:type="dxa"/>
          </w:tcPr>
          <w:p w14:paraId="09FD4952" w14:textId="77777777" w:rsidR="006F240E" w:rsidRPr="00901EA1" w:rsidRDefault="006F240E" w:rsidP="00AA398D">
            <w:pPr>
              <w:jc w:val="right"/>
              <w:rPr>
                <w:sz w:val="18"/>
                <w:szCs w:val="18"/>
              </w:rPr>
            </w:pPr>
            <w:r w:rsidRPr="00901EA1">
              <w:rPr>
                <w:sz w:val="18"/>
                <w:szCs w:val="18"/>
              </w:rPr>
              <w:t>3</w:t>
            </w:r>
          </w:p>
        </w:tc>
        <w:tc>
          <w:tcPr>
            <w:tcW w:w="662" w:type="dxa"/>
            <w:shd w:val="clear" w:color="auto" w:fill="auto"/>
          </w:tcPr>
          <w:p w14:paraId="54F28842" w14:textId="77777777" w:rsidR="006F240E" w:rsidRPr="00901EA1" w:rsidRDefault="006F240E" w:rsidP="00AA398D">
            <w:pPr>
              <w:jc w:val="center"/>
              <w:rPr>
                <w:sz w:val="18"/>
                <w:szCs w:val="18"/>
              </w:rPr>
            </w:pPr>
            <w:r w:rsidRPr="00901EA1">
              <w:rPr>
                <w:sz w:val="18"/>
                <w:szCs w:val="18"/>
              </w:rPr>
              <w:t>18</w:t>
            </w:r>
          </w:p>
        </w:tc>
      </w:tr>
      <w:tr w:rsidR="006F240E" w:rsidRPr="00901EA1" w14:paraId="638FE3AA" w14:textId="77777777" w:rsidTr="00643BCF">
        <w:trPr>
          <w:cantSplit/>
        </w:trPr>
        <w:tc>
          <w:tcPr>
            <w:tcW w:w="5116" w:type="dxa"/>
            <w:shd w:val="clear" w:color="auto" w:fill="auto"/>
          </w:tcPr>
          <w:p w14:paraId="0D261F85" w14:textId="77777777" w:rsidR="006F240E" w:rsidRPr="00901EA1" w:rsidRDefault="006F240E" w:rsidP="00AA398D">
            <w:pPr>
              <w:rPr>
                <w:sz w:val="18"/>
                <w:szCs w:val="18"/>
              </w:rPr>
            </w:pPr>
            <w:r w:rsidRPr="00901EA1">
              <w:rPr>
                <w:sz w:val="18"/>
                <w:szCs w:val="18"/>
              </w:rPr>
              <w:t>On</w:t>
            </w:r>
            <w:r w:rsidRPr="00901EA1">
              <w:rPr>
                <w:sz w:val="18"/>
                <w:szCs w:val="18"/>
              </w:rPr>
              <w:noBreakHyphen/>
              <w:t>time case processing – Civil matters resolved or otherwise finalised within established timeframes in the County Court</w:t>
            </w:r>
          </w:p>
        </w:tc>
        <w:tc>
          <w:tcPr>
            <w:tcW w:w="1123" w:type="dxa"/>
            <w:shd w:val="clear" w:color="auto" w:fill="auto"/>
          </w:tcPr>
          <w:p w14:paraId="0A93F73A" w14:textId="77777777" w:rsidR="006F240E" w:rsidRPr="00901EA1" w:rsidRDefault="006F240E" w:rsidP="00AA398D">
            <w:pPr>
              <w:rPr>
                <w:sz w:val="18"/>
                <w:szCs w:val="18"/>
              </w:rPr>
            </w:pPr>
            <w:r w:rsidRPr="00901EA1">
              <w:rPr>
                <w:sz w:val="18"/>
                <w:szCs w:val="18"/>
              </w:rPr>
              <w:t>per cent</w:t>
            </w:r>
          </w:p>
        </w:tc>
        <w:tc>
          <w:tcPr>
            <w:tcW w:w="963" w:type="dxa"/>
            <w:shd w:val="clear" w:color="auto" w:fill="auto"/>
          </w:tcPr>
          <w:p w14:paraId="6980319A" w14:textId="77777777" w:rsidR="006F240E" w:rsidRPr="00901EA1" w:rsidRDefault="006F240E" w:rsidP="00AA398D">
            <w:pPr>
              <w:jc w:val="right"/>
              <w:rPr>
                <w:sz w:val="18"/>
                <w:szCs w:val="18"/>
              </w:rPr>
            </w:pPr>
            <w:r w:rsidRPr="00901EA1">
              <w:rPr>
                <w:sz w:val="18"/>
                <w:szCs w:val="18"/>
              </w:rPr>
              <w:t>90</w:t>
            </w:r>
          </w:p>
        </w:tc>
        <w:tc>
          <w:tcPr>
            <w:tcW w:w="982" w:type="dxa"/>
            <w:shd w:val="clear" w:color="auto" w:fill="auto"/>
          </w:tcPr>
          <w:p w14:paraId="75FBD05C" w14:textId="77777777" w:rsidR="006F240E" w:rsidRPr="00901EA1" w:rsidRDefault="006F240E" w:rsidP="00AA398D">
            <w:pPr>
              <w:jc w:val="right"/>
              <w:rPr>
                <w:sz w:val="18"/>
                <w:szCs w:val="18"/>
              </w:rPr>
            </w:pPr>
            <w:r w:rsidRPr="00901EA1">
              <w:rPr>
                <w:sz w:val="18"/>
                <w:szCs w:val="18"/>
              </w:rPr>
              <w:t>86</w:t>
            </w:r>
          </w:p>
        </w:tc>
        <w:tc>
          <w:tcPr>
            <w:tcW w:w="1263" w:type="dxa"/>
          </w:tcPr>
          <w:p w14:paraId="58755D72" w14:textId="77777777" w:rsidR="006F240E" w:rsidRPr="00901EA1" w:rsidRDefault="006F240E" w:rsidP="00AA398D">
            <w:pPr>
              <w:jc w:val="right"/>
              <w:rPr>
                <w:sz w:val="18"/>
                <w:szCs w:val="18"/>
              </w:rPr>
            </w:pPr>
            <w:r w:rsidRPr="00901EA1">
              <w:rPr>
                <w:sz w:val="18"/>
                <w:szCs w:val="18"/>
              </w:rPr>
              <w:t>-4</w:t>
            </w:r>
          </w:p>
        </w:tc>
        <w:tc>
          <w:tcPr>
            <w:tcW w:w="662" w:type="dxa"/>
            <w:shd w:val="clear" w:color="auto" w:fill="auto"/>
          </w:tcPr>
          <w:p w14:paraId="298EBA5A" w14:textId="77777777" w:rsidR="006F240E" w:rsidRPr="00901EA1" w:rsidRDefault="006F240E" w:rsidP="00AA398D">
            <w:pPr>
              <w:jc w:val="center"/>
              <w:rPr>
                <w:sz w:val="18"/>
                <w:szCs w:val="18"/>
              </w:rPr>
            </w:pPr>
            <w:r w:rsidRPr="00901EA1">
              <w:rPr>
                <w:sz w:val="18"/>
                <w:szCs w:val="18"/>
              </w:rPr>
              <w:t>19</w:t>
            </w:r>
          </w:p>
        </w:tc>
      </w:tr>
      <w:tr w:rsidR="006F240E" w:rsidRPr="00901EA1" w14:paraId="059859BD" w14:textId="77777777" w:rsidTr="00643BCF">
        <w:trPr>
          <w:cantSplit/>
        </w:trPr>
        <w:tc>
          <w:tcPr>
            <w:tcW w:w="5116" w:type="dxa"/>
            <w:shd w:val="clear" w:color="auto" w:fill="auto"/>
          </w:tcPr>
          <w:p w14:paraId="221DC9DA" w14:textId="77777777" w:rsidR="006F240E" w:rsidRPr="00901EA1" w:rsidRDefault="006F240E" w:rsidP="00AA398D">
            <w:pPr>
              <w:rPr>
                <w:sz w:val="18"/>
                <w:szCs w:val="18"/>
              </w:rPr>
            </w:pPr>
            <w:r w:rsidRPr="00901EA1">
              <w:rPr>
                <w:sz w:val="18"/>
                <w:szCs w:val="18"/>
              </w:rPr>
              <w:t>On</w:t>
            </w:r>
            <w:r w:rsidRPr="00901EA1">
              <w:rPr>
                <w:sz w:val="18"/>
                <w:szCs w:val="18"/>
              </w:rPr>
              <w:noBreakHyphen/>
              <w:t>time case processing – Civil matters resolved or otherwise finalised within established timeframes in the Magistrates’ Court</w:t>
            </w:r>
          </w:p>
        </w:tc>
        <w:tc>
          <w:tcPr>
            <w:tcW w:w="1123" w:type="dxa"/>
            <w:shd w:val="clear" w:color="auto" w:fill="auto"/>
          </w:tcPr>
          <w:p w14:paraId="6BD5628B" w14:textId="77777777" w:rsidR="006F240E" w:rsidRPr="00901EA1" w:rsidRDefault="006F240E" w:rsidP="00AA398D">
            <w:pPr>
              <w:rPr>
                <w:sz w:val="18"/>
                <w:szCs w:val="18"/>
              </w:rPr>
            </w:pPr>
            <w:r w:rsidRPr="00901EA1">
              <w:rPr>
                <w:sz w:val="18"/>
                <w:szCs w:val="18"/>
              </w:rPr>
              <w:t>per cent</w:t>
            </w:r>
          </w:p>
        </w:tc>
        <w:tc>
          <w:tcPr>
            <w:tcW w:w="963" w:type="dxa"/>
            <w:shd w:val="clear" w:color="auto" w:fill="auto"/>
          </w:tcPr>
          <w:p w14:paraId="74327118" w14:textId="77777777" w:rsidR="006F240E" w:rsidRPr="00901EA1" w:rsidRDefault="006F240E" w:rsidP="00AA398D">
            <w:pPr>
              <w:jc w:val="right"/>
              <w:rPr>
                <w:sz w:val="18"/>
                <w:szCs w:val="18"/>
              </w:rPr>
            </w:pPr>
            <w:r w:rsidRPr="00901EA1">
              <w:rPr>
                <w:sz w:val="18"/>
                <w:szCs w:val="18"/>
              </w:rPr>
              <w:t>80</w:t>
            </w:r>
          </w:p>
        </w:tc>
        <w:tc>
          <w:tcPr>
            <w:tcW w:w="982" w:type="dxa"/>
            <w:shd w:val="clear" w:color="auto" w:fill="auto"/>
          </w:tcPr>
          <w:p w14:paraId="4E2996A3" w14:textId="77777777" w:rsidR="006F240E" w:rsidRPr="00901EA1" w:rsidRDefault="006F240E" w:rsidP="00AA398D">
            <w:pPr>
              <w:jc w:val="right"/>
              <w:rPr>
                <w:sz w:val="18"/>
                <w:szCs w:val="18"/>
              </w:rPr>
            </w:pPr>
            <w:r w:rsidRPr="00901EA1">
              <w:rPr>
                <w:sz w:val="18"/>
                <w:szCs w:val="18"/>
              </w:rPr>
              <w:t>85</w:t>
            </w:r>
          </w:p>
        </w:tc>
        <w:tc>
          <w:tcPr>
            <w:tcW w:w="1263" w:type="dxa"/>
          </w:tcPr>
          <w:p w14:paraId="2C84BADD" w14:textId="77777777" w:rsidR="006F240E" w:rsidRPr="00901EA1" w:rsidRDefault="006F240E" w:rsidP="00AA398D">
            <w:pPr>
              <w:jc w:val="right"/>
              <w:rPr>
                <w:sz w:val="18"/>
                <w:szCs w:val="18"/>
              </w:rPr>
            </w:pPr>
            <w:r w:rsidRPr="00901EA1">
              <w:rPr>
                <w:sz w:val="18"/>
                <w:szCs w:val="18"/>
              </w:rPr>
              <w:t>5</w:t>
            </w:r>
          </w:p>
        </w:tc>
        <w:tc>
          <w:tcPr>
            <w:tcW w:w="662" w:type="dxa"/>
            <w:shd w:val="clear" w:color="auto" w:fill="auto"/>
          </w:tcPr>
          <w:p w14:paraId="7B018D58" w14:textId="77777777" w:rsidR="006F240E" w:rsidRPr="00901EA1" w:rsidRDefault="006F240E" w:rsidP="00AA398D">
            <w:pPr>
              <w:jc w:val="center"/>
              <w:rPr>
                <w:sz w:val="18"/>
                <w:szCs w:val="18"/>
              </w:rPr>
            </w:pPr>
            <w:r w:rsidRPr="00901EA1">
              <w:rPr>
                <w:sz w:val="18"/>
                <w:szCs w:val="18"/>
              </w:rPr>
              <w:t>20</w:t>
            </w:r>
          </w:p>
        </w:tc>
      </w:tr>
      <w:tr w:rsidR="006F240E" w:rsidRPr="00901EA1" w14:paraId="0E5CFC04" w14:textId="77777777" w:rsidTr="00643BCF">
        <w:trPr>
          <w:cantSplit/>
        </w:trPr>
        <w:tc>
          <w:tcPr>
            <w:tcW w:w="5116" w:type="dxa"/>
            <w:shd w:val="clear" w:color="auto" w:fill="auto"/>
          </w:tcPr>
          <w:p w14:paraId="40B7695F" w14:textId="77777777" w:rsidR="006F240E" w:rsidRPr="00901EA1" w:rsidRDefault="006F240E" w:rsidP="00AA398D">
            <w:pPr>
              <w:rPr>
                <w:sz w:val="18"/>
                <w:szCs w:val="18"/>
              </w:rPr>
            </w:pPr>
            <w:r w:rsidRPr="00901EA1">
              <w:rPr>
                <w:sz w:val="18"/>
                <w:szCs w:val="18"/>
              </w:rPr>
              <w:t>On</w:t>
            </w:r>
            <w:r w:rsidRPr="00901EA1">
              <w:rPr>
                <w:sz w:val="18"/>
                <w:szCs w:val="18"/>
              </w:rPr>
              <w:noBreakHyphen/>
              <w:t>time case processing – Civil matters resolved or otherwise finalised within established timeframes in the Victorian Civil and Administrative Tribunal</w:t>
            </w:r>
          </w:p>
        </w:tc>
        <w:tc>
          <w:tcPr>
            <w:tcW w:w="1123" w:type="dxa"/>
            <w:shd w:val="clear" w:color="auto" w:fill="auto"/>
          </w:tcPr>
          <w:p w14:paraId="575246D0" w14:textId="77777777" w:rsidR="006F240E" w:rsidRPr="00901EA1" w:rsidRDefault="006F240E" w:rsidP="00AA398D">
            <w:pPr>
              <w:rPr>
                <w:sz w:val="18"/>
                <w:szCs w:val="18"/>
              </w:rPr>
            </w:pPr>
            <w:r w:rsidRPr="00901EA1">
              <w:rPr>
                <w:sz w:val="18"/>
                <w:szCs w:val="18"/>
              </w:rPr>
              <w:t>per cent</w:t>
            </w:r>
          </w:p>
        </w:tc>
        <w:tc>
          <w:tcPr>
            <w:tcW w:w="963" w:type="dxa"/>
            <w:shd w:val="clear" w:color="auto" w:fill="auto"/>
          </w:tcPr>
          <w:p w14:paraId="0A738995" w14:textId="77777777" w:rsidR="006F240E" w:rsidRPr="00901EA1" w:rsidRDefault="006F240E" w:rsidP="00AA398D">
            <w:pPr>
              <w:jc w:val="right"/>
              <w:rPr>
                <w:sz w:val="18"/>
                <w:szCs w:val="18"/>
              </w:rPr>
            </w:pPr>
            <w:r w:rsidRPr="00901EA1">
              <w:rPr>
                <w:sz w:val="18"/>
                <w:szCs w:val="18"/>
              </w:rPr>
              <w:t>85</w:t>
            </w:r>
          </w:p>
        </w:tc>
        <w:tc>
          <w:tcPr>
            <w:tcW w:w="982" w:type="dxa"/>
            <w:shd w:val="clear" w:color="auto" w:fill="auto"/>
          </w:tcPr>
          <w:p w14:paraId="0D71E1D0" w14:textId="77777777" w:rsidR="006F240E" w:rsidRPr="00901EA1" w:rsidRDefault="006F240E" w:rsidP="00AA398D">
            <w:pPr>
              <w:jc w:val="right"/>
              <w:rPr>
                <w:sz w:val="18"/>
                <w:szCs w:val="18"/>
              </w:rPr>
            </w:pPr>
            <w:r w:rsidRPr="00901EA1">
              <w:rPr>
                <w:sz w:val="18"/>
                <w:szCs w:val="18"/>
              </w:rPr>
              <w:t>91</w:t>
            </w:r>
          </w:p>
        </w:tc>
        <w:tc>
          <w:tcPr>
            <w:tcW w:w="1263" w:type="dxa"/>
          </w:tcPr>
          <w:p w14:paraId="64F0A361" w14:textId="77777777" w:rsidR="006F240E" w:rsidRPr="00901EA1" w:rsidRDefault="006F240E" w:rsidP="00AA398D">
            <w:pPr>
              <w:jc w:val="right"/>
              <w:rPr>
                <w:sz w:val="18"/>
                <w:szCs w:val="18"/>
              </w:rPr>
            </w:pPr>
            <w:r w:rsidRPr="00901EA1">
              <w:rPr>
                <w:sz w:val="18"/>
                <w:szCs w:val="18"/>
              </w:rPr>
              <w:t>6</w:t>
            </w:r>
          </w:p>
        </w:tc>
        <w:tc>
          <w:tcPr>
            <w:tcW w:w="662" w:type="dxa"/>
            <w:shd w:val="clear" w:color="auto" w:fill="auto"/>
          </w:tcPr>
          <w:p w14:paraId="7EB8B0A1" w14:textId="77777777" w:rsidR="006F240E" w:rsidRPr="00901EA1" w:rsidRDefault="006F240E" w:rsidP="00AA398D">
            <w:pPr>
              <w:jc w:val="center"/>
              <w:rPr>
                <w:sz w:val="18"/>
                <w:szCs w:val="18"/>
              </w:rPr>
            </w:pPr>
            <w:r w:rsidRPr="00901EA1">
              <w:rPr>
                <w:sz w:val="18"/>
                <w:szCs w:val="18"/>
              </w:rPr>
              <w:t>21</w:t>
            </w:r>
          </w:p>
        </w:tc>
      </w:tr>
      <w:tr w:rsidR="006F240E" w:rsidRPr="00901EA1" w14:paraId="7F677C4D" w14:textId="77777777" w:rsidTr="00643BCF">
        <w:trPr>
          <w:cantSplit/>
        </w:trPr>
        <w:tc>
          <w:tcPr>
            <w:tcW w:w="5116" w:type="dxa"/>
            <w:shd w:val="clear" w:color="auto" w:fill="auto"/>
          </w:tcPr>
          <w:p w14:paraId="203CCBBE" w14:textId="77777777" w:rsidR="006F240E" w:rsidRPr="00901EA1" w:rsidRDefault="006F240E" w:rsidP="00AA398D">
            <w:pPr>
              <w:rPr>
                <w:sz w:val="18"/>
                <w:szCs w:val="18"/>
              </w:rPr>
            </w:pPr>
            <w:r w:rsidRPr="00901EA1">
              <w:rPr>
                <w:sz w:val="18"/>
                <w:szCs w:val="18"/>
              </w:rPr>
              <w:t>On</w:t>
            </w:r>
            <w:r w:rsidRPr="00901EA1">
              <w:rPr>
                <w:sz w:val="18"/>
                <w:szCs w:val="18"/>
              </w:rPr>
              <w:noBreakHyphen/>
              <w:t>time case processing – Family Division matters resolved or otherwise finalised within established timeframes in the Children’s Court</w:t>
            </w:r>
          </w:p>
        </w:tc>
        <w:tc>
          <w:tcPr>
            <w:tcW w:w="1123" w:type="dxa"/>
            <w:shd w:val="clear" w:color="auto" w:fill="auto"/>
          </w:tcPr>
          <w:p w14:paraId="57610AE5" w14:textId="77777777" w:rsidR="006F240E" w:rsidRPr="00901EA1" w:rsidRDefault="006F240E" w:rsidP="00AA398D">
            <w:pPr>
              <w:rPr>
                <w:sz w:val="18"/>
                <w:szCs w:val="18"/>
              </w:rPr>
            </w:pPr>
            <w:r w:rsidRPr="00901EA1">
              <w:rPr>
                <w:sz w:val="18"/>
                <w:szCs w:val="18"/>
              </w:rPr>
              <w:t>per cent</w:t>
            </w:r>
          </w:p>
        </w:tc>
        <w:tc>
          <w:tcPr>
            <w:tcW w:w="963" w:type="dxa"/>
            <w:shd w:val="clear" w:color="auto" w:fill="auto"/>
          </w:tcPr>
          <w:p w14:paraId="40EBC8FC" w14:textId="77777777" w:rsidR="006F240E" w:rsidRPr="00901EA1" w:rsidRDefault="006F240E" w:rsidP="00AA398D">
            <w:pPr>
              <w:jc w:val="right"/>
              <w:rPr>
                <w:sz w:val="18"/>
                <w:szCs w:val="18"/>
              </w:rPr>
            </w:pPr>
            <w:r w:rsidRPr="00901EA1">
              <w:rPr>
                <w:sz w:val="18"/>
                <w:szCs w:val="18"/>
              </w:rPr>
              <w:t>90</w:t>
            </w:r>
          </w:p>
        </w:tc>
        <w:tc>
          <w:tcPr>
            <w:tcW w:w="982" w:type="dxa"/>
            <w:shd w:val="clear" w:color="auto" w:fill="auto"/>
          </w:tcPr>
          <w:p w14:paraId="308A4490" w14:textId="77777777" w:rsidR="006F240E" w:rsidRPr="00901EA1" w:rsidRDefault="006F240E" w:rsidP="00AA398D">
            <w:pPr>
              <w:jc w:val="right"/>
              <w:rPr>
                <w:sz w:val="18"/>
                <w:szCs w:val="18"/>
              </w:rPr>
            </w:pPr>
            <w:r w:rsidRPr="00901EA1">
              <w:rPr>
                <w:sz w:val="18"/>
                <w:szCs w:val="18"/>
              </w:rPr>
              <w:t>90.9</w:t>
            </w:r>
          </w:p>
        </w:tc>
        <w:tc>
          <w:tcPr>
            <w:tcW w:w="1263" w:type="dxa"/>
          </w:tcPr>
          <w:p w14:paraId="43751A0F" w14:textId="77777777" w:rsidR="006F240E" w:rsidRPr="00901EA1" w:rsidRDefault="006F240E" w:rsidP="00AA398D">
            <w:pPr>
              <w:jc w:val="right"/>
              <w:rPr>
                <w:sz w:val="18"/>
                <w:szCs w:val="18"/>
              </w:rPr>
            </w:pPr>
            <w:r w:rsidRPr="00901EA1">
              <w:rPr>
                <w:sz w:val="18"/>
                <w:szCs w:val="18"/>
              </w:rPr>
              <w:t>0.9</w:t>
            </w:r>
          </w:p>
        </w:tc>
        <w:tc>
          <w:tcPr>
            <w:tcW w:w="662" w:type="dxa"/>
            <w:shd w:val="clear" w:color="auto" w:fill="auto"/>
          </w:tcPr>
          <w:p w14:paraId="7E7591CE" w14:textId="77777777" w:rsidR="006F240E" w:rsidRPr="00901EA1" w:rsidRDefault="006F240E" w:rsidP="00AA398D">
            <w:pPr>
              <w:jc w:val="right"/>
              <w:rPr>
                <w:sz w:val="18"/>
                <w:szCs w:val="18"/>
              </w:rPr>
            </w:pPr>
          </w:p>
        </w:tc>
      </w:tr>
      <w:tr w:rsidR="006F240E" w:rsidRPr="00901EA1" w14:paraId="1144E970" w14:textId="77777777" w:rsidTr="00643BCF">
        <w:trPr>
          <w:cantSplit/>
        </w:trPr>
        <w:tc>
          <w:tcPr>
            <w:tcW w:w="5116" w:type="dxa"/>
            <w:shd w:val="clear" w:color="auto" w:fill="auto"/>
          </w:tcPr>
          <w:p w14:paraId="4018888A" w14:textId="77777777" w:rsidR="006F240E" w:rsidRPr="00901EA1" w:rsidRDefault="006F240E" w:rsidP="00AA398D">
            <w:pPr>
              <w:rPr>
                <w:sz w:val="18"/>
                <w:szCs w:val="18"/>
              </w:rPr>
            </w:pPr>
            <w:r w:rsidRPr="00901EA1">
              <w:rPr>
                <w:sz w:val="18"/>
                <w:szCs w:val="18"/>
              </w:rPr>
              <w:t>On</w:t>
            </w:r>
            <w:r w:rsidRPr="00901EA1">
              <w:rPr>
                <w:sz w:val="18"/>
                <w:szCs w:val="18"/>
              </w:rPr>
              <w:noBreakHyphen/>
              <w:t>time case processing – Coronial matters resolved or otherwise finalised within established timeframes in the Coroners Court</w:t>
            </w:r>
          </w:p>
        </w:tc>
        <w:tc>
          <w:tcPr>
            <w:tcW w:w="1123" w:type="dxa"/>
            <w:shd w:val="clear" w:color="auto" w:fill="auto"/>
          </w:tcPr>
          <w:p w14:paraId="083AE5A3" w14:textId="77777777" w:rsidR="006F240E" w:rsidRPr="00901EA1" w:rsidRDefault="006F240E" w:rsidP="00AA398D">
            <w:pPr>
              <w:rPr>
                <w:sz w:val="18"/>
                <w:szCs w:val="18"/>
              </w:rPr>
            </w:pPr>
            <w:r w:rsidRPr="00901EA1">
              <w:rPr>
                <w:sz w:val="18"/>
                <w:szCs w:val="18"/>
              </w:rPr>
              <w:t>per cent</w:t>
            </w:r>
          </w:p>
        </w:tc>
        <w:tc>
          <w:tcPr>
            <w:tcW w:w="963" w:type="dxa"/>
            <w:shd w:val="clear" w:color="auto" w:fill="auto"/>
          </w:tcPr>
          <w:p w14:paraId="568846FA" w14:textId="77777777" w:rsidR="006F240E" w:rsidRPr="00901EA1" w:rsidRDefault="006F240E" w:rsidP="00AA398D">
            <w:pPr>
              <w:jc w:val="right"/>
              <w:rPr>
                <w:sz w:val="18"/>
                <w:szCs w:val="18"/>
              </w:rPr>
            </w:pPr>
            <w:r w:rsidRPr="00901EA1">
              <w:rPr>
                <w:sz w:val="18"/>
                <w:szCs w:val="18"/>
              </w:rPr>
              <w:t>75</w:t>
            </w:r>
          </w:p>
        </w:tc>
        <w:tc>
          <w:tcPr>
            <w:tcW w:w="982" w:type="dxa"/>
            <w:shd w:val="clear" w:color="auto" w:fill="auto"/>
          </w:tcPr>
          <w:p w14:paraId="4517B777" w14:textId="77777777" w:rsidR="006F240E" w:rsidRPr="00901EA1" w:rsidRDefault="006F240E" w:rsidP="00AA398D">
            <w:pPr>
              <w:jc w:val="right"/>
              <w:rPr>
                <w:sz w:val="18"/>
                <w:szCs w:val="18"/>
              </w:rPr>
            </w:pPr>
            <w:r w:rsidRPr="00901EA1">
              <w:rPr>
                <w:sz w:val="18"/>
                <w:szCs w:val="18"/>
              </w:rPr>
              <w:t>80.2</w:t>
            </w:r>
          </w:p>
        </w:tc>
        <w:tc>
          <w:tcPr>
            <w:tcW w:w="1263" w:type="dxa"/>
          </w:tcPr>
          <w:p w14:paraId="39E6377B" w14:textId="77777777" w:rsidR="006F240E" w:rsidRPr="00901EA1" w:rsidRDefault="006F240E" w:rsidP="00AA398D">
            <w:pPr>
              <w:jc w:val="right"/>
              <w:rPr>
                <w:sz w:val="18"/>
                <w:szCs w:val="18"/>
              </w:rPr>
            </w:pPr>
            <w:r w:rsidRPr="00901EA1">
              <w:rPr>
                <w:sz w:val="18"/>
                <w:szCs w:val="18"/>
              </w:rPr>
              <w:t>5.2</w:t>
            </w:r>
          </w:p>
        </w:tc>
        <w:tc>
          <w:tcPr>
            <w:tcW w:w="662" w:type="dxa"/>
            <w:shd w:val="clear" w:color="auto" w:fill="auto"/>
          </w:tcPr>
          <w:p w14:paraId="4FEB4F10" w14:textId="77777777" w:rsidR="006F240E" w:rsidRPr="00901EA1" w:rsidRDefault="006F240E" w:rsidP="00AA398D">
            <w:pPr>
              <w:jc w:val="center"/>
              <w:rPr>
                <w:sz w:val="18"/>
                <w:szCs w:val="18"/>
              </w:rPr>
            </w:pPr>
            <w:r w:rsidRPr="00901EA1">
              <w:rPr>
                <w:sz w:val="18"/>
                <w:szCs w:val="18"/>
              </w:rPr>
              <w:t>22</w:t>
            </w:r>
          </w:p>
        </w:tc>
      </w:tr>
      <w:tr w:rsidR="006F240E" w:rsidRPr="00901EA1" w14:paraId="0D718891" w14:textId="77777777" w:rsidTr="00643BCF">
        <w:trPr>
          <w:cantSplit/>
        </w:trPr>
        <w:tc>
          <w:tcPr>
            <w:tcW w:w="5116" w:type="dxa"/>
            <w:shd w:val="clear" w:color="auto" w:fill="auto"/>
          </w:tcPr>
          <w:p w14:paraId="1BBC3240" w14:textId="77777777" w:rsidR="006F240E" w:rsidRPr="00901EA1" w:rsidRDefault="006F240E" w:rsidP="00AA398D">
            <w:pPr>
              <w:rPr>
                <w:sz w:val="18"/>
                <w:szCs w:val="18"/>
              </w:rPr>
            </w:pPr>
            <w:r w:rsidRPr="00901EA1">
              <w:rPr>
                <w:sz w:val="18"/>
                <w:szCs w:val="18"/>
              </w:rPr>
              <w:t>On</w:t>
            </w:r>
            <w:r w:rsidRPr="00901EA1">
              <w:rPr>
                <w:sz w:val="18"/>
                <w:szCs w:val="18"/>
              </w:rPr>
              <w:noBreakHyphen/>
              <w:t>time case processing – Criminal matters resolved or otherwise finalised within established timeframes in the Supreme Court</w:t>
            </w:r>
          </w:p>
        </w:tc>
        <w:tc>
          <w:tcPr>
            <w:tcW w:w="1123" w:type="dxa"/>
            <w:shd w:val="clear" w:color="auto" w:fill="auto"/>
          </w:tcPr>
          <w:p w14:paraId="1DE07C72" w14:textId="77777777" w:rsidR="006F240E" w:rsidRPr="00901EA1" w:rsidRDefault="006F240E" w:rsidP="00AA398D">
            <w:pPr>
              <w:rPr>
                <w:sz w:val="18"/>
                <w:szCs w:val="18"/>
              </w:rPr>
            </w:pPr>
            <w:r w:rsidRPr="00901EA1">
              <w:rPr>
                <w:sz w:val="18"/>
                <w:szCs w:val="18"/>
              </w:rPr>
              <w:t>per cent</w:t>
            </w:r>
          </w:p>
        </w:tc>
        <w:tc>
          <w:tcPr>
            <w:tcW w:w="963" w:type="dxa"/>
            <w:shd w:val="clear" w:color="auto" w:fill="auto"/>
          </w:tcPr>
          <w:p w14:paraId="4812E7EC" w14:textId="77777777" w:rsidR="006F240E" w:rsidRPr="00901EA1" w:rsidRDefault="006F240E" w:rsidP="00AA398D">
            <w:pPr>
              <w:jc w:val="right"/>
              <w:rPr>
                <w:sz w:val="18"/>
                <w:szCs w:val="18"/>
              </w:rPr>
            </w:pPr>
            <w:r w:rsidRPr="00901EA1">
              <w:rPr>
                <w:sz w:val="18"/>
                <w:szCs w:val="18"/>
              </w:rPr>
              <w:t>75</w:t>
            </w:r>
          </w:p>
        </w:tc>
        <w:tc>
          <w:tcPr>
            <w:tcW w:w="982" w:type="dxa"/>
            <w:shd w:val="clear" w:color="auto" w:fill="auto"/>
          </w:tcPr>
          <w:p w14:paraId="18581FA7" w14:textId="77777777" w:rsidR="006F240E" w:rsidRPr="00901EA1" w:rsidRDefault="006F240E" w:rsidP="00AA398D">
            <w:pPr>
              <w:jc w:val="right"/>
              <w:rPr>
                <w:sz w:val="18"/>
                <w:szCs w:val="18"/>
              </w:rPr>
            </w:pPr>
            <w:r w:rsidRPr="00901EA1">
              <w:rPr>
                <w:sz w:val="18"/>
                <w:szCs w:val="18"/>
              </w:rPr>
              <w:t>84</w:t>
            </w:r>
          </w:p>
        </w:tc>
        <w:tc>
          <w:tcPr>
            <w:tcW w:w="1263" w:type="dxa"/>
          </w:tcPr>
          <w:p w14:paraId="07C3181F" w14:textId="77777777" w:rsidR="006F240E" w:rsidRPr="00901EA1" w:rsidRDefault="006F240E" w:rsidP="00AA398D">
            <w:pPr>
              <w:jc w:val="right"/>
              <w:rPr>
                <w:sz w:val="18"/>
                <w:szCs w:val="18"/>
              </w:rPr>
            </w:pPr>
            <w:r w:rsidRPr="00901EA1">
              <w:rPr>
                <w:sz w:val="18"/>
                <w:szCs w:val="18"/>
              </w:rPr>
              <w:t>9</w:t>
            </w:r>
          </w:p>
        </w:tc>
        <w:tc>
          <w:tcPr>
            <w:tcW w:w="662" w:type="dxa"/>
            <w:shd w:val="clear" w:color="auto" w:fill="auto"/>
          </w:tcPr>
          <w:p w14:paraId="6281178E" w14:textId="77777777" w:rsidR="006F240E" w:rsidRPr="00901EA1" w:rsidRDefault="006F240E" w:rsidP="00AA398D">
            <w:pPr>
              <w:jc w:val="center"/>
              <w:rPr>
                <w:sz w:val="18"/>
                <w:szCs w:val="18"/>
              </w:rPr>
            </w:pPr>
            <w:r w:rsidRPr="00901EA1">
              <w:rPr>
                <w:sz w:val="18"/>
                <w:szCs w:val="18"/>
              </w:rPr>
              <w:t>23</w:t>
            </w:r>
          </w:p>
        </w:tc>
      </w:tr>
      <w:tr w:rsidR="006F240E" w:rsidRPr="00901EA1" w14:paraId="2F1E6B77" w14:textId="77777777" w:rsidTr="00643BCF">
        <w:trPr>
          <w:cantSplit/>
        </w:trPr>
        <w:tc>
          <w:tcPr>
            <w:tcW w:w="5116" w:type="dxa"/>
            <w:shd w:val="clear" w:color="auto" w:fill="auto"/>
          </w:tcPr>
          <w:p w14:paraId="5790DE51" w14:textId="77777777" w:rsidR="006F240E" w:rsidRPr="00901EA1" w:rsidRDefault="006F240E" w:rsidP="00AA398D">
            <w:pPr>
              <w:rPr>
                <w:sz w:val="18"/>
                <w:szCs w:val="18"/>
              </w:rPr>
            </w:pPr>
            <w:r w:rsidRPr="00901EA1">
              <w:rPr>
                <w:sz w:val="18"/>
                <w:szCs w:val="18"/>
              </w:rPr>
              <w:t>On</w:t>
            </w:r>
            <w:r w:rsidRPr="00901EA1">
              <w:rPr>
                <w:sz w:val="18"/>
                <w:szCs w:val="18"/>
              </w:rPr>
              <w:noBreakHyphen/>
              <w:t>time case processing – Criminal matters resolved or otherwise finalised within established timeframes in the County Court</w:t>
            </w:r>
          </w:p>
        </w:tc>
        <w:tc>
          <w:tcPr>
            <w:tcW w:w="1123" w:type="dxa"/>
            <w:shd w:val="clear" w:color="auto" w:fill="auto"/>
          </w:tcPr>
          <w:p w14:paraId="6BADB9BE" w14:textId="77777777" w:rsidR="006F240E" w:rsidRPr="00901EA1" w:rsidRDefault="006F240E" w:rsidP="00AA398D">
            <w:pPr>
              <w:rPr>
                <w:sz w:val="18"/>
                <w:szCs w:val="18"/>
              </w:rPr>
            </w:pPr>
            <w:r w:rsidRPr="00901EA1">
              <w:rPr>
                <w:sz w:val="18"/>
                <w:szCs w:val="18"/>
              </w:rPr>
              <w:t>per cent</w:t>
            </w:r>
          </w:p>
        </w:tc>
        <w:tc>
          <w:tcPr>
            <w:tcW w:w="963" w:type="dxa"/>
            <w:shd w:val="clear" w:color="auto" w:fill="auto"/>
          </w:tcPr>
          <w:p w14:paraId="02BB9295" w14:textId="77777777" w:rsidR="006F240E" w:rsidRPr="00901EA1" w:rsidRDefault="006F240E" w:rsidP="00AA398D">
            <w:pPr>
              <w:jc w:val="right"/>
              <w:rPr>
                <w:sz w:val="18"/>
                <w:szCs w:val="18"/>
              </w:rPr>
            </w:pPr>
            <w:r w:rsidRPr="00901EA1">
              <w:rPr>
                <w:sz w:val="18"/>
                <w:szCs w:val="18"/>
              </w:rPr>
              <w:t>85</w:t>
            </w:r>
          </w:p>
        </w:tc>
        <w:tc>
          <w:tcPr>
            <w:tcW w:w="982" w:type="dxa"/>
            <w:shd w:val="clear" w:color="auto" w:fill="auto"/>
          </w:tcPr>
          <w:p w14:paraId="70F3089C" w14:textId="77777777" w:rsidR="006F240E" w:rsidRPr="00901EA1" w:rsidRDefault="006F240E" w:rsidP="00AA398D">
            <w:pPr>
              <w:jc w:val="right"/>
              <w:rPr>
                <w:sz w:val="18"/>
                <w:szCs w:val="18"/>
              </w:rPr>
            </w:pPr>
            <w:r w:rsidRPr="00901EA1">
              <w:rPr>
                <w:sz w:val="18"/>
                <w:szCs w:val="18"/>
              </w:rPr>
              <w:t>90</w:t>
            </w:r>
          </w:p>
        </w:tc>
        <w:tc>
          <w:tcPr>
            <w:tcW w:w="1263" w:type="dxa"/>
          </w:tcPr>
          <w:p w14:paraId="369E4881" w14:textId="77777777" w:rsidR="006F240E" w:rsidRPr="00901EA1" w:rsidRDefault="006F240E" w:rsidP="00AA398D">
            <w:pPr>
              <w:jc w:val="right"/>
              <w:rPr>
                <w:sz w:val="18"/>
                <w:szCs w:val="18"/>
              </w:rPr>
            </w:pPr>
            <w:r w:rsidRPr="00901EA1">
              <w:rPr>
                <w:sz w:val="18"/>
                <w:szCs w:val="18"/>
              </w:rPr>
              <w:t>5</w:t>
            </w:r>
          </w:p>
        </w:tc>
        <w:tc>
          <w:tcPr>
            <w:tcW w:w="662" w:type="dxa"/>
            <w:shd w:val="clear" w:color="auto" w:fill="auto"/>
          </w:tcPr>
          <w:p w14:paraId="715042C5" w14:textId="77777777" w:rsidR="006F240E" w:rsidRPr="00901EA1" w:rsidRDefault="006F240E" w:rsidP="00AA398D">
            <w:pPr>
              <w:jc w:val="center"/>
              <w:rPr>
                <w:sz w:val="18"/>
                <w:szCs w:val="18"/>
              </w:rPr>
            </w:pPr>
            <w:r w:rsidRPr="00901EA1">
              <w:rPr>
                <w:sz w:val="18"/>
                <w:szCs w:val="18"/>
              </w:rPr>
              <w:t>24</w:t>
            </w:r>
          </w:p>
        </w:tc>
      </w:tr>
      <w:tr w:rsidR="006F240E" w:rsidRPr="00901EA1" w14:paraId="1AC66568" w14:textId="77777777" w:rsidTr="00643BCF">
        <w:trPr>
          <w:cantSplit/>
        </w:trPr>
        <w:tc>
          <w:tcPr>
            <w:tcW w:w="5116" w:type="dxa"/>
            <w:shd w:val="clear" w:color="auto" w:fill="auto"/>
          </w:tcPr>
          <w:p w14:paraId="3D0D7D49" w14:textId="77777777" w:rsidR="006F240E" w:rsidRPr="00901EA1" w:rsidRDefault="006F240E" w:rsidP="00AA398D">
            <w:pPr>
              <w:rPr>
                <w:sz w:val="18"/>
                <w:szCs w:val="18"/>
              </w:rPr>
            </w:pPr>
            <w:r w:rsidRPr="00901EA1">
              <w:rPr>
                <w:sz w:val="18"/>
                <w:szCs w:val="18"/>
              </w:rPr>
              <w:t>On</w:t>
            </w:r>
            <w:r w:rsidRPr="00901EA1">
              <w:rPr>
                <w:sz w:val="18"/>
                <w:szCs w:val="18"/>
              </w:rPr>
              <w:noBreakHyphen/>
              <w:t>time case processing – Criminal matters resolved or otherwise finalised within established timeframes in the Magistrates’ Court</w:t>
            </w:r>
          </w:p>
        </w:tc>
        <w:tc>
          <w:tcPr>
            <w:tcW w:w="1123" w:type="dxa"/>
            <w:shd w:val="clear" w:color="auto" w:fill="auto"/>
          </w:tcPr>
          <w:p w14:paraId="498C372E" w14:textId="77777777" w:rsidR="006F240E" w:rsidRPr="00901EA1" w:rsidRDefault="006F240E" w:rsidP="00AA398D">
            <w:pPr>
              <w:rPr>
                <w:sz w:val="18"/>
                <w:szCs w:val="18"/>
              </w:rPr>
            </w:pPr>
            <w:r w:rsidRPr="00901EA1">
              <w:rPr>
                <w:sz w:val="18"/>
                <w:szCs w:val="18"/>
              </w:rPr>
              <w:t>per cent</w:t>
            </w:r>
          </w:p>
        </w:tc>
        <w:tc>
          <w:tcPr>
            <w:tcW w:w="963" w:type="dxa"/>
            <w:shd w:val="clear" w:color="auto" w:fill="auto"/>
          </w:tcPr>
          <w:p w14:paraId="232DBB80" w14:textId="77777777" w:rsidR="006F240E" w:rsidRPr="00901EA1" w:rsidRDefault="006F240E" w:rsidP="00AA398D">
            <w:pPr>
              <w:jc w:val="right"/>
              <w:rPr>
                <w:sz w:val="18"/>
                <w:szCs w:val="18"/>
              </w:rPr>
            </w:pPr>
            <w:r w:rsidRPr="00901EA1">
              <w:rPr>
                <w:sz w:val="18"/>
                <w:szCs w:val="18"/>
              </w:rPr>
              <w:t>85</w:t>
            </w:r>
          </w:p>
        </w:tc>
        <w:tc>
          <w:tcPr>
            <w:tcW w:w="982" w:type="dxa"/>
            <w:shd w:val="clear" w:color="auto" w:fill="auto"/>
          </w:tcPr>
          <w:p w14:paraId="2C7EE489" w14:textId="77777777" w:rsidR="006F240E" w:rsidRPr="00901EA1" w:rsidRDefault="006F240E" w:rsidP="00AA398D">
            <w:pPr>
              <w:jc w:val="right"/>
              <w:rPr>
                <w:sz w:val="18"/>
                <w:szCs w:val="18"/>
              </w:rPr>
            </w:pPr>
            <w:r w:rsidRPr="00901EA1">
              <w:rPr>
                <w:sz w:val="18"/>
                <w:szCs w:val="18"/>
              </w:rPr>
              <w:t>84</w:t>
            </w:r>
          </w:p>
        </w:tc>
        <w:tc>
          <w:tcPr>
            <w:tcW w:w="1263" w:type="dxa"/>
          </w:tcPr>
          <w:p w14:paraId="1B1216BE" w14:textId="77777777" w:rsidR="006F240E" w:rsidRPr="00901EA1" w:rsidRDefault="006F240E" w:rsidP="00AA398D">
            <w:pPr>
              <w:jc w:val="right"/>
              <w:rPr>
                <w:sz w:val="18"/>
                <w:szCs w:val="18"/>
              </w:rPr>
            </w:pPr>
            <w:r w:rsidRPr="00901EA1">
              <w:rPr>
                <w:sz w:val="18"/>
                <w:szCs w:val="18"/>
              </w:rPr>
              <w:t>-1</w:t>
            </w:r>
          </w:p>
        </w:tc>
        <w:tc>
          <w:tcPr>
            <w:tcW w:w="662" w:type="dxa"/>
            <w:shd w:val="clear" w:color="auto" w:fill="auto"/>
          </w:tcPr>
          <w:p w14:paraId="1FFF28A1" w14:textId="77777777" w:rsidR="006F240E" w:rsidRPr="00901EA1" w:rsidRDefault="006F240E" w:rsidP="00AA398D">
            <w:pPr>
              <w:jc w:val="center"/>
              <w:rPr>
                <w:sz w:val="18"/>
                <w:szCs w:val="18"/>
              </w:rPr>
            </w:pPr>
            <w:r w:rsidRPr="00901EA1">
              <w:rPr>
                <w:sz w:val="18"/>
                <w:szCs w:val="18"/>
              </w:rPr>
              <w:t>25</w:t>
            </w:r>
          </w:p>
        </w:tc>
      </w:tr>
      <w:tr w:rsidR="006F240E" w:rsidRPr="00901EA1" w14:paraId="3ECE0DFB" w14:textId="77777777" w:rsidTr="00643BCF">
        <w:trPr>
          <w:cantSplit/>
        </w:trPr>
        <w:tc>
          <w:tcPr>
            <w:tcW w:w="5116" w:type="dxa"/>
            <w:shd w:val="clear" w:color="auto" w:fill="auto"/>
          </w:tcPr>
          <w:p w14:paraId="482D141B" w14:textId="77777777" w:rsidR="006F240E" w:rsidRPr="00901EA1" w:rsidRDefault="006F240E" w:rsidP="00AA398D">
            <w:pPr>
              <w:rPr>
                <w:sz w:val="18"/>
                <w:szCs w:val="18"/>
              </w:rPr>
            </w:pPr>
            <w:r w:rsidRPr="00901EA1">
              <w:rPr>
                <w:sz w:val="18"/>
                <w:szCs w:val="18"/>
              </w:rPr>
              <w:t>On</w:t>
            </w:r>
            <w:r w:rsidRPr="00901EA1">
              <w:rPr>
                <w:sz w:val="18"/>
                <w:szCs w:val="18"/>
              </w:rPr>
              <w:noBreakHyphen/>
              <w:t>time case processing – Criminal matters resolved or otherwise finalised within established timeframes in the Children’s Court</w:t>
            </w:r>
          </w:p>
        </w:tc>
        <w:tc>
          <w:tcPr>
            <w:tcW w:w="1123" w:type="dxa"/>
            <w:shd w:val="clear" w:color="auto" w:fill="auto"/>
          </w:tcPr>
          <w:p w14:paraId="04693B09" w14:textId="77777777" w:rsidR="006F240E" w:rsidRPr="00901EA1" w:rsidRDefault="006F240E" w:rsidP="00AA398D">
            <w:pPr>
              <w:rPr>
                <w:sz w:val="18"/>
                <w:szCs w:val="18"/>
              </w:rPr>
            </w:pPr>
            <w:r w:rsidRPr="00901EA1">
              <w:rPr>
                <w:sz w:val="18"/>
                <w:szCs w:val="18"/>
              </w:rPr>
              <w:t>per cent</w:t>
            </w:r>
          </w:p>
        </w:tc>
        <w:tc>
          <w:tcPr>
            <w:tcW w:w="963" w:type="dxa"/>
            <w:shd w:val="clear" w:color="auto" w:fill="auto"/>
          </w:tcPr>
          <w:p w14:paraId="540A78F9" w14:textId="77777777" w:rsidR="006F240E" w:rsidRPr="00901EA1" w:rsidRDefault="006F240E" w:rsidP="00AA398D">
            <w:pPr>
              <w:jc w:val="right"/>
              <w:rPr>
                <w:sz w:val="18"/>
                <w:szCs w:val="18"/>
              </w:rPr>
            </w:pPr>
            <w:r w:rsidRPr="00901EA1">
              <w:rPr>
                <w:sz w:val="18"/>
                <w:szCs w:val="18"/>
              </w:rPr>
              <w:t>90</w:t>
            </w:r>
          </w:p>
        </w:tc>
        <w:tc>
          <w:tcPr>
            <w:tcW w:w="982" w:type="dxa"/>
            <w:shd w:val="clear" w:color="auto" w:fill="auto"/>
          </w:tcPr>
          <w:p w14:paraId="30CFC4D8" w14:textId="77777777" w:rsidR="006F240E" w:rsidRPr="00901EA1" w:rsidRDefault="006F240E" w:rsidP="00AA398D">
            <w:pPr>
              <w:jc w:val="right"/>
              <w:rPr>
                <w:sz w:val="18"/>
                <w:szCs w:val="18"/>
              </w:rPr>
            </w:pPr>
            <w:r w:rsidRPr="00901EA1">
              <w:rPr>
                <w:sz w:val="18"/>
                <w:szCs w:val="18"/>
              </w:rPr>
              <w:t>94.4</w:t>
            </w:r>
          </w:p>
        </w:tc>
        <w:tc>
          <w:tcPr>
            <w:tcW w:w="1263" w:type="dxa"/>
          </w:tcPr>
          <w:p w14:paraId="2DBF6AE3" w14:textId="77777777" w:rsidR="006F240E" w:rsidRPr="00901EA1" w:rsidRDefault="006F240E" w:rsidP="00AA398D">
            <w:pPr>
              <w:jc w:val="right"/>
              <w:rPr>
                <w:sz w:val="18"/>
                <w:szCs w:val="18"/>
              </w:rPr>
            </w:pPr>
            <w:r w:rsidRPr="00901EA1">
              <w:rPr>
                <w:sz w:val="18"/>
                <w:szCs w:val="18"/>
              </w:rPr>
              <w:t>4.4</w:t>
            </w:r>
          </w:p>
        </w:tc>
        <w:tc>
          <w:tcPr>
            <w:tcW w:w="662" w:type="dxa"/>
            <w:shd w:val="clear" w:color="auto" w:fill="auto"/>
          </w:tcPr>
          <w:p w14:paraId="237446D5" w14:textId="77777777" w:rsidR="006F240E" w:rsidRPr="00901EA1" w:rsidRDefault="006F240E" w:rsidP="00AA398D">
            <w:pPr>
              <w:jc w:val="right"/>
              <w:rPr>
                <w:sz w:val="18"/>
                <w:szCs w:val="18"/>
              </w:rPr>
            </w:pPr>
          </w:p>
        </w:tc>
      </w:tr>
      <w:tr w:rsidR="006F240E" w:rsidRPr="00901EA1" w14:paraId="71BE208A" w14:textId="77777777" w:rsidTr="00643BCF">
        <w:trPr>
          <w:cantSplit/>
        </w:trPr>
        <w:tc>
          <w:tcPr>
            <w:tcW w:w="5116" w:type="dxa"/>
            <w:shd w:val="clear" w:color="auto" w:fill="D9D9D9"/>
            <w:vAlign w:val="bottom"/>
          </w:tcPr>
          <w:p w14:paraId="01FB1D4B" w14:textId="77777777" w:rsidR="006F240E" w:rsidRPr="00901EA1" w:rsidRDefault="006F240E" w:rsidP="00AA398D">
            <w:pPr>
              <w:rPr>
                <w:b/>
                <w:sz w:val="18"/>
                <w:szCs w:val="18"/>
              </w:rPr>
            </w:pPr>
            <w:r w:rsidRPr="00901EA1">
              <w:rPr>
                <w:b/>
                <w:sz w:val="18"/>
                <w:szCs w:val="18"/>
              </w:rPr>
              <w:t>Cost</w:t>
            </w:r>
          </w:p>
        </w:tc>
        <w:tc>
          <w:tcPr>
            <w:tcW w:w="1123" w:type="dxa"/>
            <w:shd w:val="clear" w:color="auto" w:fill="D9D9D9"/>
          </w:tcPr>
          <w:p w14:paraId="199F8830" w14:textId="77777777" w:rsidR="006F240E" w:rsidRPr="00901EA1" w:rsidRDefault="006F240E" w:rsidP="00AA398D">
            <w:pPr>
              <w:rPr>
                <w:b/>
                <w:sz w:val="18"/>
                <w:szCs w:val="18"/>
              </w:rPr>
            </w:pPr>
          </w:p>
        </w:tc>
        <w:tc>
          <w:tcPr>
            <w:tcW w:w="963" w:type="dxa"/>
            <w:shd w:val="clear" w:color="auto" w:fill="D9D9D9"/>
          </w:tcPr>
          <w:p w14:paraId="183846ED" w14:textId="77777777" w:rsidR="006F240E" w:rsidRPr="00901EA1" w:rsidRDefault="006F240E" w:rsidP="00AA398D">
            <w:pPr>
              <w:jc w:val="right"/>
              <w:rPr>
                <w:b/>
                <w:sz w:val="18"/>
                <w:szCs w:val="18"/>
              </w:rPr>
            </w:pPr>
          </w:p>
        </w:tc>
        <w:tc>
          <w:tcPr>
            <w:tcW w:w="982" w:type="dxa"/>
            <w:shd w:val="clear" w:color="auto" w:fill="D9D9D9"/>
          </w:tcPr>
          <w:p w14:paraId="4205A007" w14:textId="77777777" w:rsidR="006F240E" w:rsidRPr="00901EA1" w:rsidRDefault="006F240E" w:rsidP="00AA398D">
            <w:pPr>
              <w:rPr>
                <w:b/>
                <w:sz w:val="18"/>
                <w:szCs w:val="18"/>
              </w:rPr>
            </w:pPr>
          </w:p>
        </w:tc>
        <w:tc>
          <w:tcPr>
            <w:tcW w:w="1263" w:type="dxa"/>
            <w:shd w:val="clear" w:color="auto" w:fill="D9D9D9"/>
          </w:tcPr>
          <w:p w14:paraId="6CD913A4" w14:textId="77777777" w:rsidR="006F240E" w:rsidRPr="00901EA1" w:rsidRDefault="006F240E" w:rsidP="00AA398D">
            <w:pPr>
              <w:rPr>
                <w:b/>
                <w:sz w:val="18"/>
                <w:szCs w:val="18"/>
              </w:rPr>
            </w:pPr>
          </w:p>
        </w:tc>
        <w:tc>
          <w:tcPr>
            <w:tcW w:w="662" w:type="dxa"/>
            <w:shd w:val="clear" w:color="auto" w:fill="D9D9D9"/>
          </w:tcPr>
          <w:p w14:paraId="5ED37862" w14:textId="77777777" w:rsidR="006F240E" w:rsidRPr="00901EA1" w:rsidRDefault="006F240E" w:rsidP="00AA398D">
            <w:pPr>
              <w:rPr>
                <w:b/>
                <w:sz w:val="18"/>
                <w:szCs w:val="18"/>
              </w:rPr>
            </w:pPr>
          </w:p>
        </w:tc>
      </w:tr>
      <w:tr w:rsidR="006F240E" w:rsidRPr="00901EA1" w14:paraId="3F03D5D1" w14:textId="77777777" w:rsidTr="00643BCF">
        <w:trPr>
          <w:cantSplit/>
        </w:trPr>
        <w:tc>
          <w:tcPr>
            <w:tcW w:w="5116" w:type="dxa"/>
            <w:shd w:val="clear" w:color="auto" w:fill="auto"/>
          </w:tcPr>
          <w:p w14:paraId="25F33F47" w14:textId="77777777" w:rsidR="006F240E" w:rsidRPr="00901EA1" w:rsidRDefault="006F240E" w:rsidP="00AA398D">
            <w:pPr>
              <w:rPr>
                <w:sz w:val="18"/>
                <w:szCs w:val="18"/>
              </w:rPr>
            </w:pPr>
            <w:r w:rsidRPr="00901EA1">
              <w:rPr>
                <w:sz w:val="18"/>
                <w:szCs w:val="18"/>
              </w:rPr>
              <w:t>Total output cost</w:t>
            </w:r>
          </w:p>
        </w:tc>
        <w:tc>
          <w:tcPr>
            <w:tcW w:w="1123" w:type="dxa"/>
            <w:shd w:val="clear" w:color="auto" w:fill="auto"/>
          </w:tcPr>
          <w:p w14:paraId="7FCF450E" w14:textId="77777777" w:rsidR="006F240E" w:rsidRPr="00901EA1" w:rsidRDefault="006F240E" w:rsidP="00AA398D">
            <w:pPr>
              <w:rPr>
                <w:sz w:val="18"/>
                <w:szCs w:val="18"/>
              </w:rPr>
            </w:pPr>
            <w:r w:rsidRPr="00901EA1">
              <w:rPr>
                <w:sz w:val="18"/>
                <w:szCs w:val="18"/>
              </w:rPr>
              <w:t>$ million</w:t>
            </w:r>
          </w:p>
        </w:tc>
        <w:tc>
          <w:tcPr>
            <w:tcW w:w="963" w:type="dxa"/>
            <w:shd w:val="clear" w:color="auto" w:fill="auto"/>
          </w:tcPr>
          <w:p w14:paraId="4D99281D" w14:textId="77777777" w:rsidR="006F240E" w:rsidRPr="00901EA1" w:rsidRDefault="006F240E" w:rsidP="00AA398D">
            <w:pPr>
              <w:jc w:val="right"/>
              <w:rPr>
                <w:sz w:val="18"/>
                <w:szCs w:val="18"/>
              </w:rPr>
            </w:pPr>
            <w:r w:rsidRPr="00901EA1">
              <w:rPr>
                <w:sz w:val="18"/>
                <w:szCs w:val="18"/>
              </w:rPr>
              <w:t>466.1</w:t>
            </w:r>
          </w:p>
        </w:tc>
        <w:tc>
          <w:tcPr>
            <w:tcW w:w="982" w:type="dxa"/>
            <w:shd w:val="clear" w:color="auto" w:fill="auto"/>
          </w:tcPr>
          <w:p w14:paraId="07A4CE75" w14:textId="77777777" w:rsidR="006F240E" w:rsidRPr="00901EA1" w:rsidRDefault="006F240E" w:rsidP="00AA398D">
            <w:pPr>
              <w:jc w:val="right"/>
              <w:rPr>
                <w:sz w:val="18"/>
                <w:szCs w:val="18"/>
              </w:rPr>
            </w:pPr>
            <w:r w:rsidRPr="00901EA1">
              <w:rPr>
                <w:sz w:val="18"/>
                <w:szCs w:val="18"/>
              </w:rPr>
              <w:t>465.3</w:t>
            </w:r>
          </w:p>
        </w:tc>
        <w:tc>
          <w:tcPr>
            <w:tcW w:w="1263" w:type="dxa"/>
          </w:tcPr>
          <w:p w14:paraId="589123E3" w14:textId="77777777" w:rsidR="006F240E" w:rsidRPr="00901EA1" w:rsidRDefault="006F240E" w:rsidP="00AA398D">
            <w:pPr>
              <w:jc w:val="right"/>
              <w:rPr>
                <w:sz w:val="18"/>
                <w:szCs w:val="18"/>
              </w:rPr>
            </w:pPr>
            <w:r w:rsidRPr="00901EA1">
              <w:rPr>
                <w:sz w:val="18"/>
                <w:szCs w:val="18"/>
              </w:rPr>
              <w:t>0.2</w:t>
            </w:r>
          </w:p>
        </w:tc>
        <w:tc>
          <w:tcPr>
            <w:tcW w:w="662" w:type="dxa"/>
            <w:shd w:val="clear" w:color="auto" w:fill="auto"/>
          </w:tcPr>
          <w:p w14:paraId="531A9CF2" w14:textId="77777777" w:rsidR="006F240E" w:rsidRPr="00901EA1" w:rsidRDefault="006F240E" w:rsidP="00AA398D">
            <w:pPr>
              <w:jc w:val="right"/>
              <w:rPr>
                <w:sz w:val="18"/>
                <w:szCs w:val="18"/>
              </w:rPr>
            </w:pPr>
          </w:p>
        </w:tc>
      </w:tr>
    </w:tbl>
    <w:p w14:paraId="112E8DF8" w14:textId="77777777" w:rsidR="006F240E" w:rsidRPr="00F413AC" w:rsidRDefault="006F240E" w:rsidP="006F240E">
      <w:pPr>
        <w:pStyle w:val="Heading4"/>
      </w:pPr>
      <w:r w:rsidRPr="00F413AC">
        <w:t>Notes:</w:t>
      </w:r>
    </w:p>
    <w:p w14:paraId="42090ACE" w14:textId="77777777" w:rsidR="006F240E" w:rsidRPr="001F5E52" w:rsidRDefault="006F240E" w:rsidP="006F240E">
      <w:pPr>
        <w:pStyle w:val="Notes"/>
        <w:rPr>
          <w:sz w:val="18"/>
          <w:szCs w:val="18"/>
        </w:rPr>
      </w:pPr>
      <w:r w:rsidRPr="001F5E52">
        <w:rPr>
          <w:sz w:val="18"/>
          <w:szCs w:val="18"/>
        </w:rPr>
        <w:t>1.</w:t>
      </w:r>
      <w:r w:rsidRPr="001F5E52">
        <w:rPr>
          <w:sz w:val="18"/>
          <w:szCs w:val="18"/>
        </w:rPr>
        <w:tab/>
        <w:t>Probate matters finalised in the Supreme Court are included within the cost per case calculations.</w:t>
      </w:r>
    </w:p>
    <w:p w14:paraId="6FF06503" w14:textId="77777777" w:rsidR="006F240E" w:rsidRPr="001F5E52" w:rsidRDefault="006F240E" w:rsidP="006F240E">
      <w:pPr>
        <w:pStyle w:val="Notes"/>
        <w:rPr>
          <w:sz w:val="18"/>
          <w:szCs w:val="18"/>
        </w:rPr>
      </w:pPr>
    </w:p>
    <w:p w14:paraId="74601EAB" w14:textId="77777777" w:rsidR="006F240E" w:rsidRPr="001F5E52" w:rsidRDefault="006F240E" w:rsidP="006F240E">
      <w:pPr>
        <w:pStyle w:val="Notes"/>
        <w:rPr>
          <w:sz w:val="18"/>
          <w:szCs w:val="18"/>
        </w:rPr>
      </w:pPr>
      <w:r w:rsidRPr="001F5E52">
        <w:rPr>
          <w:sz w:val="18"/>
          <w:szCs w:val="18"/>
        </w:rPr>
        <w:t>2.</w:t>
      </w:r>
      <w:r w:rsidRPr="001F5E52">
        <w:rPr>
          <w:sz w:val="18"/>
          <w:szCs w:val="18"/>
        </w:rPr>
        <w:tab/>
        <w:t>The 2015-16 actual cost per case is lower than the estimate due to an increase in the number of Civil matters disposed in 2015-16 in the County Court resulting in a decrease to the average cost per case for civil matters.</w:t>
      </w:r>
    </w:p>
    <w:p w14:paraId="26858C9F" w14:textId="77777777" w:rsidR="006F240E" w:rsidRPr="001F5E52" w:rsidRDefault="006F240E" w:rsidP="006F240E">
      <w:pPr>
        <w:pStyle w:val="Notes"/>
        <w:rPr>
          <w:sz w:val="18"/>
          <w:szCs w:val="18"/>
        </w:rPr>
      </w:pPr>
    </w:p>
    <w:p w14:paraId="520895BF" w14:textId="77777777" w:rsidR="00AB1923" w:rsidRPr="001F5E52" w:rsidRDefault="00AB1923" w:rsidP="00AB1923">
      <w:pPr>
        <w:pStyle w:val="Notes"/>
        <w:rPr>
          <w:sz w:val="18"/>
          <w:szCs w:val="18"/>
        </w:rPr>
      </w:pPr>
      <w:r>
        <w:rPr>
          <w:sz w:val="18"/>
          <w:szCs w:val="18"/>
        </w:rPr>
        <w:t>3.</w:t>
      </w:r>
      <w:r>
        <w:rPr>
          <w:sz w:val="18"/>
          <w:szCs w:val="18"/>
        </w:rPr>
        <w:tab/>
      </w:r>
      <w:r w:rsidRPr="001F5E52">
        <w:rPr>
          <w:sz w:val="18"/>
          <w:szCs w:val="18"/>
        </w:rPr>
        <w:t>The 2015-16 actual is higher than the 2015-16 estimate for the Victorian Civil and Administrative Tribunal (VCAT) due to a decrease in the expected number of cases finalised, some one-off project costs to improve the customer services through investment in digital services and case management services and also an increase in the revised budget of Court Services Victoria.</w:t>
      </w:r>
    </w:p>
    <w:p w14:paraId="2EE0E9BB" w14:textId="77777777" w:rsidR="006F240E" w:rsidRPr="001F5E52" w:rsidRDefault="006F240E" w:rsidP="006F240E">
      <w:pPr>
        <w:pStyle w:val="Notes"/>
        <w:rPr>
          <w:sz w:val="18"/>
          <w:szCs w:val="18"/>
        </w:rPr>
      </w:pPr>
    </w:p>
    <w:p w14:paraId="05736E4C" w14:textId="77777777" w:rsidR="006F240E" w:rsidRPr="001F5E52" w:rsidRDefault="006F240E" w:rsidP="006F240E">
      <w:pPr>
        <w:pStyle w:val="Notes"/>
        <w:rPr>
          <w:sz w:val="18"/>
          <w:szCs w:val="18"/>
        </w:rPr>
      </w:pPr>
      <w:r w:rsidRPr="001F5E52">
        <w:rPr>
          <w:sz w:val="18"/>
          <w:szCs w:val="18"/>
        </w:rPr>
        <w:t>4.</w:t>
      </w:r>
      <w:r w:rsidRPr="001F5E52">
        <w:rPr>
          <w:sz w:val="18"/>
          <w:szCs w:val="18"/>
        </w:rPr>
        <w:tab/>
        <w:t>The 2015-16 actual is lower than the estimate as a result of an audit of Family Division matters (see note 13) undertaken by the Children’s Court. This has resulted in an increase in the number of finalised matters with a subsequent decrease in cost per case.</w:t>
      </w:r>
    </w:p>
    <w:p w14:paraId="385B1866" w14:textId="77777777" w:rsidR="006F240E" w:rsidRPr="001F5E52" w:rsidRDefault="006F240E" w:rsidP="006F240E">
      <w:pPr>
        <w:pStyle w:val="Notes"/>
        <w:rPr>
          <w:sz w:val="18"/>
          <w:szCs w:val="18"/>
        </w:rPr>
      </w:pPr>
    </w:p>
    <w:p w14:paraId="19C3E323" w14:textId="77777777" w:rsidR="006F240E" w:rsidRPr="001F5E52" w:rsidRDefault="006F240E" w:rsidP="006F240E">
      <w:pPr>
        <w:pStyle w:val="Notes"/>
        <w:rPr>
          <w:sz w:val="18"/>
          <w:szCs w:val="18"/>
        </w:rPr>
      </w:pPr>
      <w:r w:rsidRPr="001F5E52">
        <w:rPr>
          <w:sz w:val="18"/>
          <w:szCs w:val="18"/>
        </w:rPr>
        <w:t>5.</w:t>
      </w:r>
      <w:r w:rsidRPr="001F5E52">
        <w:rPr>
          <w:sz w:val="18"/>
          <w:szCs w:val="18"/>
        </w:rPr>
        <w:tab/>
        <w:t xml:space="preserve">The 2015-16 actual is lower than the estimate due to the Coroners Court finalising a greater number of coronial matters in 2015-16 than originally estimated, due to a re-prioritising of workloads and processes with closer weekly monitoring to ensure finalisation is completed in a timely manner. The Coroners Court have also up-skilled other staff to assist with finalisation's on an ad-hoc basis. </w:t>
      </w:r>
    </w:p>
    <w:p w14:paraId="0AED86A4" w14:textId="77777777" w:rsidR="006F240E" w:rsidRPr="001F5E52" w:rsidRDefault="006F240E" w:rsidP="006F240E">
      <w:pPr>
        <w:pStyle w:val="Notes"/>
        <w:rPr>
          <w:sz w:val="18"/>
          <w:szCs w:val="18"/>
        </w:rPr>
      </w:pPr>
    </w:p>
    <w:p w14:paraId="5552FBA6" w14:textId="77777777" w:rsidR="006F240E" w:rsidRPr="001F5E52" w:rsidRDefault="006F240E" w:rsidP="006F240E">
      <w:pPr>
        <w:pStyle w:val="Notes"/>
        <w:rPr>
          <w:sz w:val="18"/>
          <w:szCs w:val="18"/>
        </w:rPr>
      </w:pPr>
      <w:r w:rsidRPr="001F5E52">
        <w:rPr>
          <w:sz w:val="18"/>
          <w:szCs w:val="18"/>
        </w:rPr>
        <w:t>6.</w:t>
      </w:r>
      <w:r w:rsidRPr="001F5E52">
        <w:rPr>
          <w:sz w:val="18"/>
          <w:szCs w:val="18"/>
        </w:rPr>
        <w:tab/>
        <w:t xml:space="preserve">The 2015-16 actual is lower than the estimate due to the Supreme Court amending the counting method for criminal cases disposed to include all criminal disposals. The previous counting method did not include applications heard and determined by judicial officers under the </w:t>
      </w:r>
      <w:r w:rsidRPr="001F5E52">
        <w:rPr>
          <w:i/>
          <w:sz w:val="18"/>
          <w:szCs w:val="18"/>
        </w:rPr>
        <w:t>Surveillance Devices Act 1999</w:t>
      </w:r>
      <w:r w:rsidRPr="001F5E52">
        <w:rPr>
          <w:sz w:val="18"/>
          <w:szCs w:val="18"/>
        </w:rPr>
        <w:t xml:space="preserve">, the </w:t>
      </w:r>
      <w:r w:rsidRPr="001F5E52">
        <w:rPr>
          <w:i/>
          <w:sz w:val="18"/>
          <w:szCs w:val="18"/>
        </w:rPr>
        <w:t>Witness Protection Act 1991</w:t>
      </w:r>
      <w:r w:rsidRPr="001F5E52">
        <w:rPr>
          <w:sz w:val="18"/>
          <w:szCs w:val="18"/>
        </w:rPr>
        <w:t xml:space="preserve">, the </w:t>
      </w:r>
      <w:r w:rsidRPr="001F5E52">
        <w:rPr>
          <w:i/>
          <w:sz w:val="18"/>
          <w:szCs w:val="18"/>
        </w:rPr>
        <w:t>Major Crime (Investigative Powers) Act 2004</w:t>
      </w:r>
      <w:r w:rsidRPr="001F5E52">
        <w:rPr>
          <w:sz w:val="18"/>
          <w:szCs w:val="18"/>
        </w:rPr>
        <w:t xml:space="preserve"> and proceeds of crime matters.</w:t>
      </w:r>
    </w:p>
    <w:p w14:paraId="6B8CE060" w14:textId="77777777" w:rsidR="006F240E" w:rsidRPr="001F5E52" w:rsidRDefault="006F240E" w:rsidP="006F240E">
      <w:pPr>
        <w:pStyle w:val="Notes"/>
        <w:rPr>
          <w:sz w:val="18"/>
          <w:szCs w:val="18"/>
        </w:rPr>
      </w:pPr>
    </w:p>
    <w:p w14:paraId="1688B13F" w14:textId="77777777" w:rsidR="006F240E" w:rsidRPr="001F5E52" w:rsidRDefault="006F240E" w:rsidP="006F240E">
      <w:pPr>
        <w:pStyle w:val="Notes"/>
        <w:rPr>
          <w:sz w:val="18"/>
          <w:szCs w:val="18"/>
        </w:rPr>
      </w:pPr>
      <w:r w:rsidRPr="001F5E52">
        <w:rPr>
          <w:sz w:val="18"/>
          <w:szCs w:val="18"/>
        </w:rPr>
        <w:t>7.</w:t>
      </w:r>
      <w:r w:rsidRPr="001F5E52">
        <w:rPr>
          <w:sz w:val="18"/>
          <w:szCs w:val="18"/>
        </w:rPr>
        <w:tab/>
        <w:t>The 2015-16 actual average cost per case is lower than the 2015-16 estimate as the County Court has seen a significant increase in the total number of cases finalised within 12 months due to ongoing, continual review and enhancement of the Court’s listing practices. This has resulted in a decrease to the average cost per case for criminal matters.</w:t>
      </w:r>
    </w:p>
    <w:p w14:paraId="150486CB" w14:textId="77777777" w:rsidR="006F240E" w:rsidRPr="001F5E52" w:rsidRDefault="006F240E" w:rsidP="006F240E">
      <w:pPr>
        <w:pStyle w:val="Notes"/>
        <w:rPr>
          <w:sz w:val="18"/>
          <w:szCs w:val="18"/>
        </w:rPr>
      </w:pPr>
    </w:p>
    <w:p w14:paraId="69B3E978" w14:textId="77777777" w:rsidR="006F240E" w:rsidRPr="001F5E52" w:rsidRDefault="006F240E" w:rsidP="006F240E">
      <w:pPr>
        <w:pStyle w:val="Notes"/>
        <w:rPr>
          <w:sz w:val="18"/>
          <w:szCs w:val="18"/>
        </w:rPr>
      </w:pPr>
      <w:r w:rsidRPr="001F5E52">
        <w:rPr>
          <w:sz w:val="18"/>
          <w:szCs w:val="18"/>
        </w:rPr>
        <w:t>8.</w:t>
      </w:r>
      <w:r w:rsidRPr="001F5E52">
        <w:rPr>
          <w:sz w:val="18"/>
          <w:szCs w:val="18"/>
        </w:rPr>
        <w:tab/>
        <w:t>The 2015-16 actual is higher than the 2015-16 estimate due to efficiencies implemented in Infringement cases. The Magistrates’ Court is consolidating multiple infringement matters for the same individual into a single case on lodgement. Without affecting the courts workload, this has resulted in the expected number of criminal finalisations being reduced with the flow-on effect of increasing the average cost per case.</w:t>
      </w:r>
    </w:p>
    <w:p w14:paraId="361084A0" w14:textId="77777777" w:rsidR="006F240E" w:rsidRPr="001F5E52" w:rsidRDefault="006F240E" w:rsidP="006F240E">
      <w:pPr>
        <w:pStyle w:val="Notes"/>
        <w:rPr>
          <w:sz w:val="18"/>
          <w:szCs w:val="18"/>
        </w:rPr>
      </w:pPr>
    </w:p>
    <w:p w14:paraId="32BCB469" w14:textId="77777777" w:rsidR="006F240E" w:rsidRPr="001F5E52" w:rsidRDefault="006F240E" w:rsidP="006F240E">
      <w:pPr>
        <w:pStyle w:val="Notes"/>
        <w:rPr>
          <w:sz w:val="18"/>
          <w:szCs w:val="18"/>
        </w:rPr>
      </w:pPr>
      <w:r w:rsidRPr="001F5E52">
        <w:rPr>
          <w:sz w:val="18"/>
          <w:szCs w:val="18"/>
        </w:rPr>
        <w:t>9.</w:t>
      </w:r>
      <w:r w:rsidRPr="001F5E52">
        <w:rPr>
          <w:sz w:val="18"/>
          <w:szCs w:val="18"/>
        </w:rPr>
        <w:tab/>
        <w:t xml:space="preserve">The 2015-16 actual is lower than the estimate due to the Children’s Court finalising a greater number of criminal cases in 2015-16 than originally estimated. </w:t>
      </w:r>
    </w:p>
    <w:p w14:paraId="0C61E229" w14:textId="77777777" w:rsidR="006F240E" w:rsidRPr="001F5E52" w:rsidRDefault="006F240E" w:rsidP="006F240E">
      <w:pPr>
        <w:pStyle w:val="Notes"/>
        <w:rPr>
          <w:sz w:val="18"/>
          <w:szCs w:val="18"/>
        </w:rPr>
      </w:pPr>
    </w:p>
    <w:p w14:paraId="222DF359" w14:textId="77777777" w:rsidR="006F240E" w:rsidRPr="001F5E52" w:rsidRDefault="006F240E" w:rsidP="006F240E">
      <w:pPr>
        <w:pStyle w:val="Notes"/>
        <w:rPr>
          <w:sz w:val="18"/>
          <w:szCs w:val="18"/>
        </w:rPr>
      </w:pPr>
      <w:r w:rsidRPr="001F5E52">
        <w:rPr>
          <w:sz w:val="18"/>
          <w:szCs w:val="18"/>
        </w:rPr>
        <w:t>10.</w:t>
      </w:r>
      <w:r w:rsidRPr="001F5E52">
        <w:rPr>
          <w:sz w:val="18"/>
          <w:szCs w:val="18"/>
        </w:rPr>
        <w:tab/>
        <w:t>The case clearance rate is calculated as (number of cases disposed/number of cases initiated).</w:t>
      </w:r>
    </w:p>
    <w:p w14:paraId="57DD5680" w14:textId="77777777" w:rsidR="006F240E" w:rsidRPr="001F5E52" w:rsidRDefault="006F240E" w:rsidP="006F240E">
      <w:pPr>
        <w:pStyle w:val="Notes"/>
        <w:rPr>
          <w:sz w:val="18"/>
          <w:szCs w:val="18"/>
        </w:rPr>
      </w:pPr>
    </w:p>
    <w:p w14:paraId="614C5D0A" w14:textId="08CCD3C1" w:rsidR="006F240E" w:rsidRPr="001F5E52" w:rsidRDefault="006F240E" w:rsidP="006F240E">
      <w:pPr>
        <w:pStyle w:val="Notes"/>
        <w:rPr>
          <w:sz w:val="18"/>
          <w:szCs w:val="18"/>
        </w:rPr>
      </w:pPr>
      <w:r w:rsidRPr="001F5E52">
        <w:rPr>
          <w:sz w:val="18"/>
          <w:szCs w:val="18"/>
        </w:rPr>
        <w:t>11.</w:t>
      </w:r>
      <w:r w:rsidRPr="001F5E52">
        <w:rPr>
          <w:sz w:val="18"/>
          <w:szCs w:val="18"/>
        </w:rPr>
        <w:tab/>
        <w:t>The County Court</w:t>
      </w:r>
      <w:r w:rsidR="008D2E5E">
        <w:rPr>
          <w:sz w:val="18"/>
          <w:szCs w:val="18"/>
        </w:rPr>
        <w:t>’</w:t>
      </w:r>
      <w:r w:rsidRPr="001F5E52">
        <w:rPr>
          <w:sz w:val="18"/>
          <w:szCs w:val="18"/>
        </w:rPr>
        <w:t>s 2015-16 actual clearance rate is greater than the 2015-16 estimate as, over the month of July 2015, the Court undertook an internal audit of active civil cases greater than 24 months which increased the number of cases finalised over the financial year.  The majority of cases finalised has been by way of Plaintiff parties filing Consent Orders (59.06) with the Registrar which has also had an impact on the total number of cases finalised.</w:t>
      </w:r>
    </w:p>
    <w:p w14:paraId="499A4217" w14:textId="77777777" w:rsidR="006F240E" w:rsidRPr="001F5E52" w:rsidRDefault="006F240E" w:rsidP="006F240E">
      <w:pPr>
        <w:pStyle w:val="Notes"/>
        <w:rPr>
          <w:sz w:val="18"/>
          <w:szCs w:val="18"/>
        </w:rPr>
      </w:pPr>
    </w:p>
    <w:p w14:paraId="3DE6570E" w14:textId="77777777" w:rsidR="006F240E" w:rsidRPr="001F5E52" w:rsidRDefault="006F240E" w:rsidP="006F240E">
      <w:pPr>
        <w:pStyle w:val="Notes"/>
        <w:rPr>
          <w:sz w:val="18"/>
          <w:szCs w:val="18"/>
        </w:rPr>
      </w:pPr>
      <w:r w:rsidRPr="001F5E52">
        <w:rPr>
          <w:sz w:val="18"/>
          <w:szCs w:val="18"/>
        </w:rPr>
        <w:t>12.</w:t>
      </w:r>
      <w:r w:rsidRPr="001F5E52">
        <w:rPr>
          <w:sz w:val="18"/>
          <w:szCs w:val="18"/>
        </w:rPr>
        <w:tab/>
        <w:t xml:space="preserve">The 2015-16 actual is lower than the estimate due to increasing lodgements in the civil jurisdiction. The civil jurisdiction in the Magistrates’ Court is comprised of civil, intervention order cases and Victims of Crime Assistance Tribunal (VOCAT) cases. Magistrates’ Court of Victoria finalised more cases for each jurisdiction, however, the increasing caseload and complexity of matters lead to a decrease in the clearance rate.  </w:t>
      </w:r>
    </w:p>
    <w:p w14:paraId="48A680BD" w14:textId="77777777" w:rsidR="006F240E" w:rsidRPr="001F5E52" w:rsidRDefault="006F240E" w:rsidP="006F240E">
      <w:pPr>
        <w:pStyle w:val="Notes"/>
        <w:rPr>
          <w:sz w:val="18"/>
          <w:szCs w:val="18"/>
        </w:rPr>
      </w:pPr>
    </w:p>
    <w:p w14:paraId="36A5A588" w14:textId="77777777" w:rsidR="006F240E" w:rsidRPr="001F5E52" w:rsidRDefault="006F240E" w:rsidP="006F240E">
      <w:pPr>
        <w:pStyle w:val="Notes"/>
        <w:rPr>
          <w:sz w:val="18"/>
          <w:szCs w:val="18"/>
        </w:rPr>
      </w:pPr>
      <w:r w:rsidRPr="001F5E52">
        <w:rPr>
          <w:sz w:val="18"/>
          <w:szCs w:val="18"/>
        </w:rPr>
        <w:t>13.</w:t>
      </w:r>
      <w:r w:rsidRPr="001F5E52">
        <w:rPr>
          <w:sz w:val="18"/>
          <w:szCs w:val="18"/>
        </w:rPr>
        <w:tab/>
        <w:t>The 2015-16 actual clearance rate is higher than the 2015-16 estimate due to the Children’s Court having undertaken an audit of Family Division matters heard in 2015-16 in order to more accurately reflect the number of matters finalised. This has resulted in an increase in reported matters finalised and a 13.4% increase in the reported clearance rate. Additional measures have been introduced to ensure that matter finalisation continues to be reported accurately on an ongoing basis and to ensure that reporting measures reflect the throughput outcomes achieved by the Court.</w:t>
      </w:r>
    </w:p>
    <w:p w14:paraId="0BCC2834" w14:textId="77777777" w:rsidR="006F240E" w:rsidRPr="001F5E52" w:rsidRDefault="006F240E" w:rsidP="006F240E">
      <w:pPr>
        <w:pStyle w:val="Notes"/>
        <w:rPr>
          <w:sz w:val="18"/>
          <w:szCs w:val="18"/>
        </w:rPr>
      </w:pPr>
    </w:p>
    <w:p w14:paraId="322F058B" w14:textId="77777777" w:rsidR="006F240E" w:rsidRPr="001F5E52" w:rsidRDefault="006F240E" w:rsidP="006F240E">
      <w:pPr>
        <w:pStyle w:val="Notes"/>
        <w:rPr>
          <w:sz w:val="18"/>
          <w:szCs w:val="18"/>
        </w:rPr>
      </w:pPr>
      <w:r w:rsidRPr="001F5E52">
        <w:rPr>
          <w:sz w:val="18"/>
          <w:szCs w:val="18"/>
        </w:rPr>
        <w:t>14.</w:t>
      </w:r>
      <w:r w:rsidRPr="001F5E52">
        <w:rPr>
          <w:sz w:val="18"/>
          <w:szCs w:val="18"/>
        </w:rPr>
        <w:tab/>
        <w:t xml:space="preserve">The 2015-16 actual clearance rate is higher than the 2015-16 estimate due to a slight reduction in criminal cases initiated in the Trial Division and the Court of Appeal compared to previous years. The numbers making up the clearance 2015-16 actual clearance rate differ from the estimate due to the Supreme Court amending the counting method for criminal cases disposed to include all criminal disposals. The previous counting method did not include applications heard and determined by judicial officers under the </w:t>
      </w:r>
      <w:r w:rsidRPr="008D4F7A">
        <w:rPr>
          <w:i/>
          <w:sz w:val="18"/>
          <w:szCs w:val="18"/>
        </w:rPr>
        <w:t>Surveillance Devices Act 1999</w:t>
      </w:r>
      <w:r w:rsidRPr="001F5E52">
        <w:rPr>
          <w:sz w:val="18"/>
          <w:szCs w:val="18"/>
        </w:rPr>
        <w:t xml:space="preserve">, the </w:t>
      </w:r>
      <w:r w:rsidRPr="008D4F7A">
        <w:rPr>
          <w:i/>
          <w:sz w:val="18"/>
          <w:szCs w:val="18"/>
        </w:rPr>
        <w:t>Witness Protection Act 1991</w:t>
      </w:r>
      <w:r w:rsidRPr="001F5E52">
        <w:rPr>
          <w:sz w:val="18"/>
          <w:szCs w:val="18"/>
        </w:rPr>
        <w:t xml:space="preserve">, the </w:t>
      </w:r>
      <w:r w:rsidRPr="008D4F7A">
        <w:rPr>
          <w:i/>
          <w:sz w:val="18"/>
          <w:szCs w:val="18"/>
        </w:rPr>
        <w:t>Major Crime (Investigative Powers) Act 2004</w:t>
      </w:r>
      <w:r w:rsidRPr="001F5E52">
        <w:rPr>
          <w:sz w:val="18"/>
          <w:szCs w:val="18"/>
        </w:rPr>
        <w:t xml:space="preserve"> and proceeds of crime matters.</w:t>
      </w:r>
    </w:p>
    <w:p w14:paraId="50F4773E" w14:textId="77777777" w:rsidR="006F240E" w:rsidRPr="001F5E52" w:rsidRDefault="006F240E" w:rsidP="006F240E">
      <w:pPr>
        <w:pStyle w:val="Notes"/>
        <w:rPr>
          <w:sz w:val="18"/>
          <w:szCs w:val="18"/>
        </w:rPr>
      </w:pPr>
    </w:p>
    <w:p w14:paraId="4D8F65E1" w14:textId="77777777" w:rsidR="006F240E" w:rsidRPr="001F5E52" w:rsidRDefault="006F240E" w:rsidP="006F240E">
      <w:pPr>
        <w:pStyle w:val="Notes"/>
        <w:rPr>
          <w:sz w:val="18"/>
          <w:szCs w:val="18"/>
        </w:rPr>
      </w:pPr>
      <w:r w:rsidRPr="001F5E52">
        <w:rPr>
          <w:sz w:val="18"/>
          <w:szCs w:val="18"/>
        </w:rPr>
        <w:t>15.</w:t>
      </w:r>
      <w:r w:rsidRPr="001F5E52">
        <w:rPr>
          <w:sz w:val="18"/>
          <w:szCs w:val="18"/>
        </w:rPr>
        <w:tab/>
        <w:t>The 2015-16 actual clearance rate is higher than the 2015-16 estimate due to the Magistrates’ Court of Victoria implementing changes to case initiation processes in 2015-16 to improve efficiency.</w:t>
      </w:r>
    </w:p>
    <w:p w14:paraId="11445935" w14:textId="77777777" w:rsidR="006F240E" w:rsidRPr="001F5E52" w:rsidRDefault="006F240E" w:rsidP="006F240E">
      <w:pPr>
        <w:pStyle w:val="Notes"/>
        <w:rPr>
          <w:sz w:val="18"/>
          <w:szCs w:val="18"/>
        </w:rPr>
      </w:pPr>
    </w:p>
    <w:p w14:paraId="061F1263" w14:textId="4269A382" w:rsidR="006F240E" w:rsidRPr="001F5E52" w:rsidRDefault="006F240E" w:rsidP="006F240E">
      <w:pPr>
        <w:pStyle w:val="Notes"/>
        <w:rPr>
          <w:sz w:val="18"/>
          <w:szCs w:val="18"/>
        </w:rPr>
      </w:pPr>
      <w:r w:rsidRPr="001F5E52">
        <w:rPr>
          <w:sz w:val="18"/>
          <w:szCs w:val="18"/>
        </w:rPr>
        <w:t>16.</w:t>
      </w:r>
      <w:r w:rsidRPr="001F5E52">
        <w:rPr>
          <w:sz w:val="18"/>
          <w:szCs w:val="18"/>
        </w:rPr>
        <w:tab/>
        <w:t>The 2015-16 actual clearance rate is higher than the 2015-16 estimate due to increasing overall demand in the Children's Court Criminal Division. Initiations increased by 14% and finalisations increased by 18%. Criminal matters heard in open court (both initiated and finalised) remained relatively stable. However there was a 29% increase (3,114 matters) in unpaid infringement matters initiated through the Children and Young Person Infringement Notice System (CAYPINS), and a 42% increase (4,064) in the number of CAYPINS matters finalised. Additionally, the Children’s Court obtained additional prosecution resources to enable out</w:t>
      </w:r>
      <w:r w:rsidR="00E3379C">
        <w:rPr>
          <w:sz w:val="18"/>
          <w:szCs w:val="18"/>
        </w:rPr>
        <w:t>-</w:t>
      </w:r>
      <w:r w:rsidRPr="001F5E52">
        <w:rPr>
          <w:sz w:val="18"/>
          <w:szCs w:val="18"/>
        </w:rPr>
        <w:t>of</w:t>
      </w:r>
      <w:r w:rsidR="00E3379C">
        <w:rPr>
          <w:sz w:val="18"/>
          <w:szCs w:val="18"/>
        </w:rPr>
        <w:t>-</w:t>
      </w:r>
      <w:r w:rsidRPr="001F5E52">
        <w:rPr>
          <w:sz w:val="18"/>
          <w:szCs w:val="18"/>
        </w:rPr>
        <w:t>court discussions with defence. This has enabled open court matters to be finalised more efficiently and reduced contested hearing rates.</w:t>
      </w:r>
    </w:p>
    <w:p w14:paraId="7111020E" w14:textId="77777777" w:rsidR="006F240E" w:rsidRPr="001F5E52" w:rsidRDefault="006F240E" w:rsidP="006F240E">
      <w:pPr>
        <w:pStyle w:val="Notes"/>
        <w:rPr>
          <w:sz w:val="18"/>
          <w:szCs w:val="18"/>
        </w:rPr>
      </w:pPr>
    </w:p>
    <w:p w14:paraId="3488C5BA" w14:textId="77777777" w:rsidR="006F240E" w:rsidRPr="001F5E52" w:rsidRDefault="006F240E" w:rsidP="006F240E">
      <w:pPr>
        <w:pStyle w:val="Notes"/>
        <w:rPr>
          <w:sz w:val="18"/>
          <w:szCs w:val="18"/>
        </w:rPr>
      </w:pPr>
      <w:r w:rsidRPr="001F5E52">
        <w:rPr>
          <w:sz w:val="18"/>
          <w:szCs w:val="18"/>
        </w:rPr>
        <w:t>17.</w:t>
      </w:r>
      <w:r w:rsidRPr="001F5E52">
        <w:rPr>
          <w:sz w:val="18"/>
          <w:szCs w:val="18"/>
        </w:rPr>
        <w:tab/>
        <w:t>The 2015-16 actual Quality of Registry Services result is lower than the estimate due to an increase of caseload in all jurisdictions. Demands on Magistrates’ Court of Victoria registry service have also increased and the court is currently unable to respond in preferred timeframes to counter and phone enquiries.</w:t>
      </w:r>
    </w:p>
    <w:p w14:paraId="7E16471C" w14:textId="77777777" w:rsidR="006F240E" w:rsidRPr="001F5E52" w:rsidRDefault="006F240E" w:rsidP="006F240E">
      <w:pPr>
        <w:pStyle w:val="Notes"/>
        <w:rPr>
          <w:sz w:val="18"/>
          <w:szCs w:val="18"/>
        </w:rPr>
      </w:pPr>
    </w:p>
    <w:p w14:paraId="37B2F582" w14:textId="0C601C0F" w:rsidR="006F240E" w:rsidRPr="001F5E52" w:rsidRDefault="006F240E" w:rsidP="006F240E">
      <w:pPr>
        <w:pStyle w:val="Notes"/>
        <w:rPr>
          <w:sz w:val="18"/>
          <w:szCs w:val="18"/>
        </w:rPr>
      </w:pPr>
      <w:r w:rsidRPr="001F5E52">
        <w:rPr>
          <w:sz w:val="18"/>
          <w:szCs w:val="18"/>
        </w:rPr>
        <w:t>18.</w:t>
      </w:r>
      <w:r w:rsidRPr="001F5E52">
        <w:rPr>
          <w:sz w:val="18"/>
          <w:szCs w:val="18"/>
        </w:rPr>
        <w:tab/>
        <w:t>Probate matters are not inc</w:t>
      </w:r>
      <w:r w:rsidR="00AB1923">
        <w:rPr>
          <w:sz w:val="18"/>
          <w:szCs w:val="18"/>
        </w:rPr>
        <w:t>luded in O</w:t>
      </w:r>
      <w:r w:rsidRPr="001F5E52">
        <w:rPr>
          <w:sz w:val="18"/>
          <w:szCs w:val="18"/>
        </w:rPr>
        <w:t>n-time case processing for the Supreme Court of Victoria.</w:t>
      </w:r>
    </w:p>
    <w:p w14:paraId="67814B46" w14:textId="77777777" w:rsidR="006F240E" w:rsidRPr="001F5E52" w:rsidRDefault="006F240E" w:rsidP="006F240E">
      <w:pPr>
        <w:pStyle w:val="Notes"/>
        <w:rPr>
          <w:sz w:val="18"/>
          <w:szCs w:val="18"/>
        </w:rPr>
      </w:pPr>
    </w:p>
    <w:p w14:paraId="6631AE78" w14:textId="37811DB6" w:rsidR="006F240E" w:rsidRPr="001F5E52" w:rsidRDefault="006F240E" w:rsidP="006F240E">
      <w:pPr>
        <w:pStyle w:val="Notes"/>
        <w:rPr>
          <w:sz w:val="18"/>
          <w:szCs w:val="18"/>
        </w:rPr>
      </w:pPr>
      <w:r w:rsidRPr="001F5E52">
        <w:rPr>
          <w:sz w:val="18"/>
          <w:szCs w:val="18"/>
        </w:rPr>
        <w:t>19.</w:t>
      </w:r>
      <w:r w:rsidRPr="001F5E52">
        <w:rPr>
          <w:sz w:val="18"/>
          <w:szCs w:val="18"/>
        </w:rPr>
        <w:tab/>
      </w:r>
      <w:r w:rsidR="00AB1923">
        <w:rPr>
          <w:sz w:val="18"/>
          <w:szCs w:val="18"/>
        </w:rPr>
        <w:t>The 2015-16 actual On-</w:t>
      </w:r>
      <w:r w:rsidRPr="001F5E52">
        <w:rPr>
          <w:sz w:val="18"/>
          <w:szCs w:val="18"/>
        </w:rPr>
        <w:t>time Case Processing result is low</w:t>
      </w:r>
      <w:r w:rsidR="00AB1923">
        <w:rPr>
          <w:sz w:val="18"/>
          <w:szCs w:val="18"/>
        </w:rPr>
        <w:t>er than the 2015-16 estimate du</w:t>
      </w:r>
      <w:r w:rsidRPr="001F5E52">
        <w:rPr>
          <w:sz w:val="18"/>
          <w:szCs w:val="18"/>
        </w:rPr>
        <w:t>e to the increasing complexity of cases before the County Court. The Common Law Division cases, on average, take longer to finalise (over 24 months) due to the complex nature of these cases.  The majority of cases are ongoing personal injury related WorkCover cases, Serious Injury Cases and Transport Accident Commission cases. The internal audit of active civil cases greater than 24 months old has also impacted on this outcome.</w:t>
      </w:r>
    </w:p>
    <w:p w14:paraId="1AFF1CF8" w14:textId="77777777" w:rsidR="006F240E" w:rsidRPr="001F5E52" w:rsidRDefault="006F240E" w:rsidP="006F240E">
      <w:pPr>
        <w:pStyle w:val="Notes"/>
        <w:rPr>
          <w:sz w:val="18"/>
          <w:szCs w:val="18"/>
        </w:rPr>
      </w:pPr>
    </w:p>
    <w:p w14:paraId="480714BC" w14:textId="411F6A57" w:rsidR="006F240E" w:rsidRPr="001F5E52" w:rsidRDefault="006F240E" w:rsidP="006F240E">
      <w:pPr>
        <w:pStyle w:val="Notes"/>
        <w:rPr>
          <w:sz w:val="18"/>
          <w:szCs w:val="18"/>
        </w:rPr>
      </w:pPr>
      <w:r w:rsidRPr="001F5E52">
        <w:rPr>
          <w:sz w:val="18"/>
          <w:szCs w:val="18"/>
        </w:rPr>
        <w:t>20.</w:t>
      </w:r>
      <w:r w:rsidRPr="001F5E52">
        <w:rPr>
          <w:sz w:val="18"/>
          <w:szCs w:val="18"/>
        </w:rPr>
        <w:tab/>
        <w:t>The 2015-16 actual is higher than the 2015-16 estimate for On</w:t>
      </w:r>
      <w:r w:rsidR="00AD36F2">
        <w:rPr>
          <w:sz w:val="18"/>
          <w:szCs w:val="18"/>
        </w:rPr>
        <w:t>-</w:t>
      </w:r>
      <w:r w:rsidRPr="001F5E52">
        <w:rPr>
          <w:sz w:val="18"/>
          <w:szCs w:val="18"/>
        </w:rPr>
        <w:t>time Case Processing as the Magistrates’ Court have finalised more cases than expected within established timeframes. The court analyses listing practices and procedures and makes modifications to ensure all cases can be heard in a timely manner. Cases that are finalised outside the preferred timeframes are generally of a complex nature.</w:t>
      </w:r>
    </w:p>
    <w:p w14:paraId="52B34471" w14:textId="77777777" w:rsidR="006F240E" w:rsidRPr="001F5E52" w:rsidRDefault="006F240E" w:rsidP="006F240E">
      <w:pPr>
        <w:pStyle w:val="Notes"/>
        <w:rPr>
          <w:sz w:val="18"/>
          <w:szCs w:val="18"/>
        </w:rPr>
      </w:pPr>
    </w:p>
    <w:p w14:paraId="42557C37" w14:textId="77777777" w:rsidR="006F240E" w:rsidRPr="001F5E52" w:rsidRDefault="006F240E" w:rsidP="006F240E">
      <w:pPr>
        <w:pStyle w:val="Notes"/>
        <w:rPr>
          <w:sz w:val="18"/>
          <w:szCs w:val="18"/>
        </w:rPr>
      </w:pPr>
      <w:r w:rsidRPr="001F5E52">
        <w:rPr>
          <w:sz w:val="18"/>
          <w:szCs w:val="18"/>
        </w:rPr>
        <w:t>21.</w:t>
      </w:r>
      <w:r w:rsidRPr="001F5E52">
        <w:rPr>
          <w:sz w:val="18"/>
          <w:szCs w:val="18"/>
        </w:rPr>
        <w:tab/>
        <w:t>The 2015-16 actual is higher than the 2015-16 estimate, due to VCAT's data review which improved the quality of data in its case management systems, boosted case finalisations and streamlined and strengthened data capture processes. Overall this review also increased case disposal.</w:t>
      </w:r>
    </w:p>
    <w:p w14:paraId="648B29A9" w14:textId="77777777" w:rsidR="006F240E" w:rsidRPr="001F5E52" w:rsidRDefault="006F240E" w:rsidP="006F240E">
      <w:pPr>
        <w:pStyle w:val="Notes"/>
        <w:rPr>
          <w:sz w:val="18"/>
          <w:szCs w:val="18"/>
        </w:rPr>
      </w:pPr>
    </w:p>
    <w:p w14:paraId="49CA36E0" w14:textId="3EDA25B2" w:rsidR="006F240E" w:rsidRPr="001F5E52" w:rsidRDefault="006F240E" w:rsidP="006F240E">
      <w:pPr>
        <w:pStyle w:val="Notes"/>
        <w:rPr>
          <w:sz w:val="18"/>
          <w:szCs w:val="18"/>
        </w:rPr>
      </w:pPr>
      <w:r w:rsidRPr="001F5E52">
        <w:rPr>
          <w:sz w:val="18"/>
          <w:szCs w:val="18"/>
        </w:rPr>
        <w:t>22.</w:t>
      </w:r>
      <w:r w:rsidRPr="001F5E52">
        <w:rPr>
          <w:sz w:val="18"/>
          <w:szCs w:val="18"/>
        </w:rPr>
        <w:tab/>
      </w:r>
      <w:r w:rsidR="00AD36F2">
        <w:rPr>
          <w:sz w:val="18"/>
          <w:szCs w:val="18"/>
        </w:rPr>
        <w:t xml:space="preserve">The </w:t>
      </w:r>
      <w:r w:rsidRPr="001F5E52">
        <w:rPr>
          <w:sz w:val="18"/>
          <w:szCs w:val="18"/>
        </w:rPr>
        <w:t>2015-16 On</w:t>
      </w:r>
      <w:r w:rsidR="00AD36F2">
        <w:rPr>
          <w:sz w:val="18"/>
          <w:szCs w:val="18"/>
        </w:rPr>
        <w:t>-</w:t>
      </w:r>
      <w:r w:rsidRPr="001F5E52">
        <w:rPr>
          <w:sz w:val="18"/>
          <w:szCs w:val="18"/>
        </w:rPr>
        <w:t xml:space="preserve">time case processing is higher than the 2015-16 estimate as a result of the Coroner’s Court implementing process improvements in the administrative area for natural cause deaths. This has led to a higher </w:t>
      </w:r>
      <w:r w:rsidR="00AD36F2">
        <w:rPr>
          <w:sz w:val="18"/>
          <w:szCs w:val="18"/>
        </w:rPr>
        <w:t>O</w:t>
      </w:r>
      <w:r w:rsidRPr="001F5E52">
        <w:rPr>
          <w:sz w:val="18"/>
          <w:szCs w:val="18"/>
        </w:rPr>
        <w:t>n</w:t>
      </w:r>
      <w:r w:rsidR="00AD36F2">
        <w:rPr>
          <w:sz w:val="18"/>
          <w:szCs w:val="18"/>
        </w:rPr>
        <w:t>-</w:t>
      </w:r>
      <w:r w:rsidRPr="001F5E52">
        <w:rPr>
          <w:sz w:val="18"/>
          <w:szCs w:val="18"/>
        </w:rPr>
        <w:t>time case processing rate within three months of case initiation.</w:t>
      </w:r>
    </w:p>
    <w:p w14:paraId="6DA7FA3A" w14:textId="77777777" w:rsidR="006F240E" w:rsidRPr="001F5E52" w:rsidRDefault="006F240E" w:rsidP="006F240E">
      <w:pPr>
        <w:pStyle w:val="Notes"/>
        <w:rPr>
          <w:sz w:val="18"/>
          <w:szCs w:val="18"/>
        </w:rPr>
      </w:pPr>
    </w:p>
    <w:p w14:paraId="60376E84" w14:textId="69B28864" w:rsidR="006F240E" w:rsidRPr="001F5E52" w:rsidRDefault="006F240E" w:rsidP="006F240E">
      <w:pPr>
        <w:pStyle w:val="Notes"/>
        <w:rPr>
          <w:sz w:val="18"/>
          <w:szCs w:val="18"/>
        </w:rPr>
      </w:pPr>
      <w:r w:rsidRPr="001F5E52">
        <w:rPr>
          <w:sz w:val="18"/>
          <w:szCs w:val="18"/>
        </w:rPr>
        <w:t>23.</w:t>
      </w:r>
      <w:r w:rsidRPr="001F5E52">
        <w:rPr>
          <w:sz w:val="18"/>
          <w:szCs w:val="18"/>
        </w:rPr>
        <w:tab/>
        <w:t>The actual 2015-16 On</w:t>
      </w:r>
      <w:r w:rsidR="00AD36F2">
        <w:rPr>
          <w:sz w:val="18"/>
          <w:szCs w:val="18"/>
        </w:rPr>
        <w:t>-</w:t>
      </w:r>
      <w:r w:rsidRPr="001F5E52">
        <w:rPr>
          <w:sz w:val="18"/>
          <w:szCs w:val="18"/>
        </w:rPr>
        <w:t>time case processing is higher than the 2015-16 estimate due to significant reductions in case processing times for criminal matters in the Court of Appeal with over 90% of those matters being resolved within one year of lodgement. (</w:t>
      </w:r>
      <w:r w:rsidR="00E3379C">
        <w:rPr>
          <w:sz w:val="18"/>
          <w:szCs w:val="18"/>
        </w:rPr>
        <w:t xml:space="preserve">The Victorian Budget 16/17 </w:t>
      </w:r>
      <w:r w:rsidRPr="001F5E52">
        <w:rPr>
          <w:sz w:val="18"/>
          <w:szCs w:val="18"/>
        </w:rPr>
        <w:t>Budget Paper 3 erroneously referred to the established timeframe for Supreme Court Criminal matters as two years from lodgement to finalisation instead of one year.) These figures include Court of Appeal matters and trial matters only and do not include criminal applications in the Trial Division.</w:t>
      </w:r>
    </w:p>
    <w:p w14:paraId="4997AA13" w14:textId="77777777" w:rsidR="006F240E" w:rsidRPr="001F5E52" w:rsidRDefault="006F240E" w:rsidP="006F240E">
      <w:pPr>
        <w:pStyle w:val="Notes"/>
        <w:ind w:firstLine="0"/>
        <w:rPr>
          <w:sz w:val="18"/>
          <w:szCs w:val="18"/>
        </w:rPr>
      </w:pPr>
    </w:p>
    <w:p w14:paraId="5A6478DC" w14:textId="1329FFFB" w:rsidR="006F240E" w:rsidRPr="001F5E52" w:rsidRDefault="006F240E" w:rsidP="006F240E">
      <w:pPr>
        <w:pStyle w:val="Notes"/>
        <w:rPr>
          <w:sz w:val="18"/>
          <w:szCs w:val="18"/>
        </w:rPr>
      </w:pPr>
      <w:r w:rsidRPr="001F5E52">
        <w:rPr>
          <w:sz w:val="18"/>
          <w:szCs w:val="18"/>
        </w:rPr>
        <w:t>24.</w:t>
      </w:r>
      <w:r w:rsidRPr="001F5E52">
        <w:rPr>
          <w:sz w:val="18"/>
          <w:szCs w:val="18"/>
        </w:rPr>
        <w:tab/>
        <w:t>The actual 2015-16 On</w:t>
      </w:r>
      <w:r w:rsidR="00AD36F2">
        <w:rPr>
          <w:sz w:val="18"/>
          <w:szCs w:val="18"/>
        </w:rPr>
        <w:t>-</w:t>
      </w:r>
      <w:r w:rsidRPr="001F5E52">
        <w:rPr>
          <w:sz w:val="18"/>
          <w:szCs w:val="18"/>
        </w:rPr>
        <w:t>time case processing result for the County Court has exceeded the estimate as a result of continual review and enhancement of the Court’s listing practices, this has enabled more effective judicial management of conviction and sentence appeals from the Magistrates’ Court and the listing of criminal custody trials within 7-8 months from committal date. Given this, the Court has seen a significant increase in the total number of cases finalised within 12 months.</w:t>
      </w:r>
    </w:p>
    <w:p w14:paraId="5B7D8795" w14:textId="77777777" w:rsidR="006F240E" w:rsidRPr="001F5E52" w:rsidRDefault="006F240E" w:rsidP="006F240E">
      <w:pPr>
        <w:pStyle w:val="Notes"/>
        <w:rPr>
          <w:sz w:val="18"/>
          <w:szCs w:val="18"/>
        </w:rPr>
      </w:pPr>
    </w:p>
    <w:p w14:paraId="79C73C09" w14:textId="77777777" w:rsidR="006F240E" w:rsidRPr="001F5E52" w:rsidRDefault="006F240E" w:rsidP="006F240E">
      <w:pPr>
        <w:pStyle w:val="Notes"/>
        <w:rPr>
          <w:sz w:val="18"/>
          <w:szCs w:val="18"/>
        </w:rPr>
      </w:pPr>
      <w:r w:rsidRPr="001F5E52">
        <w:rPr>
          <w:sz w:val="18"/>
          <w:szCs w:val="18"/>
        </w:rPr>
        <w:t>25.</w:t>
      </w:r>
      <w:r w:rsidRPr="001F5E52">
        <w:rPr>
          <w:sz w:val="18"/>
          <w:szCs w:val="18"/>
        </w:rPr>
        <w:tab/>
        <w:t>The 2015-16 actual is higher than the 2015-16 estimate as the Magistrates’ Court of Victoria regularly analyses listing practices and procedures and makes modifications to ensure all cases can be heard in a timely manner. In criminal for example, fast tracking of family violence related matters has seen an increase of matters finalised due to specific timeframes.</w:t>
      </w:r>
    </w:p>
    <w:p w14:paraId="6B572E76" w14:textId="77777777" w:rsidR="006F240E" w:rsidRPr="00545BF3" w:rsidRDefault="006F240E" w:rsidP="006F240E">
      <w:pPr>
        <w:pStyle w:val="Notes"/>
      </w:pPr>
    </w:p>
    <w:p w14:paraId="551F325C" w14:textId="77777777" w:rsidR="006F240E" w:rsidRPr="00451CC4" w:rsidRDefault="006F240E" w:rsidP="005B0771"/>
    <w:p w14:paraId="65DABB76" w14:textId="77777777" w:rsidR="007C20B8" w:rsidRDefault="007C20B8">
      <w:pPr>
        <w:rPr>
          <w:rFonts w:eastAsia="Times New Roman"/>
          <w:bCs/>
          <w:iCs/>
          <w:caps/>
          <w:sz w:val="28"/>
          <w:szCs w:val="28"/>
        </w:rPr>
      </w:pPr>
      <w:r>
        <w:br w:type="page"/>
      </w:r>
    </w:p>
    <w:p w14:paraId="043F5345" w14:textId="6E73A701" w:rsidR="00F36E9D" w:rsidRPr="00283106" w:rsidRDefault="00E15F31" w:rsidP="00F36E9D">
      <w:pPr>
        <w:pStyle w:val="Heading2"/>
      </w:pPr>
      <w:bookmarkStart w:id="18" w:name="_Toc466381169"/>
      <w:r>
        <w:t>Financial Summary and Review</w:t>
      </w:r>
      <w:bookmarkEnd w:id="18"/>
    </w:p>
    <w:p w14:paraId="4817694E" w14:textId="3CE8EF29" w:rsidR="00CA6180" w:rsidRDefault="00CA6180" w:rsidP="00E15F31">
      <w:r w:rsidRPr="00283106">
        <w:t xml:space="preserve">The budget outcomes provide </w:t>
      </w:r>
      <w:r w:rsidR="00E15F31">
        <w:t xml:space="preserve">a </w:t>
      </w:r>
      <w:r w:rsidRPr="00283106">
        <w:t xml:space="preserve">comparison between the actual financial statements of </w:t>
      </w:r>
      <w:r w:rsidR="00E15F31">
        <w:t>CSV</w:t>
      </w:r>
      <w:r w:rsidRPr="00283106">
        <w:t xml:space="preserve"> and the forecast financial information (initial budget estimates) published in Budget Paper No.5 Statement of Finances (BP5). </w:t>
      </w:r>
    </w:p>
    <w:p w14:paraId="4F2BD4BB" w14:textId="77777777" w:rsidR="00E15F31" w:rsidRPr="00283106" w:rsidRDefault="00E15F31" w:rsidP="00E15F31"/>
    <w:p w14:paraId="452FBAA4" w14:textId="3A6E4B5F" w:rsidR="00CA6180" w:rsidRPr="00283106" w:rsidRDefault="00CA6180" w:rsidP="00CA6180">
      <w:r w:rsidRPr="00283106">
        <w:t>T</w:t>
      </w:r>
      <w:r w:rsidR="00E15F31">
        <w:t>he budget outcomes statement</w:t>
      </w:r>
      <w:r w:rsidRPr="00283106">
        <w:t xml:space="preserve"> </w:t>
      </w:r>
      <w:r w:rsidR="00E15F31">
        <w:t>is</w:t>
      </w:r>
      <w:r w:rsidRPr="00283106">
        <w:t xml:space="preserve"> not subject to audit by the Victorian Auditor­General’s Office and </w:t>
      </w:r>
      <w:r w:rsidR="00E15F31">
        <w:t>is</w:t>
      </w:r>
      <w:r w:rsidRPr="00283106">
        <w:t xml:space="preserve"> not prepared on the same basis as CSV 's financial statements.</w:t>
      </w:r>
    </w:p>
    <w:p w14:paraId="5317EF3B" w14:textId="77777777" w:rsidR="00CA6180" w:rsidRPr="00283106" w:rsidRDefault="00CA6180" w:rsidP="00CA6180"/>
    <w:p w14:paraId="5841997A" w14:textId="77777777" w:rsidR="00CA6180" w:rsidRPr="00283106" w:rsidRDefault="00CA6180" w:rsidP="00CA6180">
      <w:r w:rsidRPr="00283106">
        <w:t>Refer to the Financial Statements for comparison of budget and actual.</w:t>
      </w:r>
    </w:p>
    <w:p w14:paraId="67A9BE80" w14:textId="77777777" w:rsidR="00F36E9D" w:rsidRPr="00283106" w:rsidRDefault="00F36E9D" w:rsidP="00F36E9D"/>
    <w:p w14:paraId="75FE24E4" w14:textId="77777777" w:rsidR="00CF273E" w:rsidRPr="00786DAD" w:rsidRDefault="00CA6180" w:rsidP="006752DE">
      <w:pPr>
        <w:pStyle w:val="Heading3"/>
      </w:pPr>
      <w:r w:rsidRPr="00786DAD">
        <w:t>Two</w:t>
      </w:r>
      <w:r w:rsidR="009D6567" w:rsidRPr="00786DAD">
        <w:t xml:space="preserve">-Year Financial Summary </w:t>
      </w:r>
    </w:p>
    <w:p w14:paraId="31DA2A5A" w14:textId="3D077780" w:rsidR="00CA6180" w:rsidRPr="00786DAD" w:rsidRDefault="00CA6180" w:rsidP="00CA6180">
      <w:r w:rsidRPr="00786DAD">
        <w:t>As CSV is in its second year of operation</w:t>
      </w:r>
      <w:r w:rsidR="009135CE" w:rsidRPr="00786DAD">
        <w:t xml:space="preserve"> only</w:t>
      </w:r>
      <w:r w:rsidRPr="00786DAD">
        <w:t xml:space="preserve"> two years of revenue and expenditure figures are </w:t>
      </w:r>
      <w:r w:rsidR="009135CE" w:rsidRPr="00786DAD">
        <w:t>available</w:t>
      </w:r>
      <w:r w:rsidRPr="00786DAD">
        <w:t>.</w:t>
      </w:r>
    </w:p>
    <w:p w14:paraId="7A8FC125" w14:textId="77777777" w:rsidR="00501D0E" w:rsidRPr="00786DAD" w:rsidRDefault="00501D0E" w:rsidP="00CA6180"/>
    <w:p w14:paraId="19978B5A" w14:textId="7DE04D93" w:rsidR="00CA6180" w:rsidRPr="00786DAD" w:rsidRDefault="00501D0E" w:rsidP="00501D0E">
      <w:pPr>
        <w:pStyle w:val="Caption"/>
      </w:pPr>
      <w:r w:rsidRPr="00786DAD">
        <w:t xml:space="preserve">Table </w:t>
      </w:r>
      <w:r w:rsidR="009A41BE" w:rsidRPr="00786DAD">
        <w:t>2</w:t>
      </w:r>
      <w:r w:rsidRPr="00786DAD">
        <w:t xml:space="preserve">: </w:t>
      </w:r>
      <w:r w:rsidR="00A7716B" w:rsidRPr="00786DAD">
        <w:tab/>
      </w:r>
      <w:r w:rsidR="006E4E9D">
        <w:t>Two-year f</w:t>
      </w:r>
      <w:r w:rsidRPr="00786DAD">
        <w:t>inancial summary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6436"/>
        <w:gridCol w:w="1171"/>
        <w:gridCol w:w="1171"/>
      </w:tblGrid>
      <w:tr w:rsidR="0037629A" w:rsidRPr="00786DAD" w14:paraId="24792271" w14:textId="77777777" w:rsidTr="00855357">
        <w:tc>
          <w:tcPr>
            <w:tcW w:w="6436" w:type="dxa"/>
            <w:shd w:val="clear" w:color="auto" w:fill="auto"/>
          </w:tcPr>
          <w:p w14:paraId="65C9A833" w14:textId="77777777" w:rsidR="0037629A" w:rsidRPr="00786DAD" w:rsidRDefault="0037629A" w:rsidP="00501D0E">
            <w:pPr>
              <w:pStyle w:val="Tableheading"/>
              <w:jc w:val="center"/>
            </w:pPr>
          </w:p>
        </w:tc>
        <w:tc>
          <w:tcPr>
            <w:tcW w:w="1171" w:type="dxa"/>
          </w:tcPr>
          <w:p w14:paraId="0446A8B0" w14:textId="4F5EA4F7" w:rsidR="0037629A" w:rsidRPr="00786DAD" w:rsidRDefault="0037629A" w:rsidP="00501D0E">
            <w:pPr>
              <w:pStyle w:val="Tableheading"/>
              <w:jc w:val="center"/>
            </w:pPr>
            <w:r w:rsidRPr="00786DAD">
              <w:t>20</w:t>
            </w:r>
            <w:r w:rsidR="006E4E9D">
              <w:t>15-</w:t>
            </w:r>
            <w:r w:rsidRPr="00786DAD">
              <w:t>16</w:t>
            </w:r>
          </w:p>
          <w:p w14:paraId="25C21A97" w14:textId="77777777" w:rsidR="0037629A" w:rsidRPr="00786DAD" w:rsidRDefault="0037629A" w:rsidP="00501D0E">
            <w:pPr>
              <w:pStyle w:val="Tableheading"/>
              <w:jc w:val="center"/>
            </w:pPr>
            <w:r w:rsidRPr="00786DAD">
              <w:t>$'000</w:t>
            </w:r>
          </w:p>
        </w:tc>
        <w:tc>
          <w:tcPr>
            <w:tcW w:w="1171" w:type="dxa"/>
            <w:shd w:val="clear" w:color="auto" w:fill="auto"/>
          </w:tcPr>
          <w:p w14:paraId="2282E49B" w14:textId="19BBA967" w:rsidR="0037629A" w:rsidRPr="00786DAD" w:rsidRDefault="0037629A" w:rsidP="00501D0E">
            <w:pPr>
              <w:pStyle w:val="Tableheading"/>
              <w:jc w:val="center"/>
            </w:pPr>
            <w:r w:rsidRPr="00786DAD">
              <w:t>20</w:t>
            </w:r>
            <w:r w:rsidR="006E4E9D">
              <w:t>14-</w:t>
            </w:r>
            <w:r w:rsidRPr="00786DAD">
              <w:t>15</w:t>
            </w:r>
          </w:p>
          <w:p w14:paraId="1288C84E" w14:textId="77777777" w:rsidR="0037629A" w:rsidRPr="00786DAD" w:rsidRDefault="0037629A" w:rsidP="00501D0E">
            <w:pPr>
              <w:pStyle w:val="Tableheading"/>
              <w:jc w:val="center"/>
            </w:pPr>
            <w:r w:rsidRPr="00786DAD">
              <w:t>$'000</w:t>
            </w:r>
          </w:p>
        </w:tc>
      </w:tr>
      <w:tr w:rsidR="0037629A" w:rsidRPr="00786DAD" w14:paraId="4EA5B4F2" w14:textId="77777777" w:rsidTr="00855357">
        <w:tc>
          <w:tcPr>
            <w:tcW w:w="6436" w:type="dxa"/>
            <w:shd w:val="clear" w:color="auto" w:fill="auto"/>
          </w:tcPr>
          <w:p w14:paraId="562B152D" w14:textId="77777777" w:rsidR="0037629A" w:rsidRPr="00786DAD" w:rsidRDefault="0037629A" w:rsidP="00501D0E">
            <w:pPr>
              <w:pStyle w:val="Tabletext"/>
            </w:pPr>
            <w:r w:rsidRPr="00786DAD">
              <w:t xml:space="preserve">Revenue from Government </w:t>
            </w:r>
          </w:p>
        </w:tc>
        <w:tc>
          <w:tcPr>
            <w:tcW w:w="1171" w:type="dxa"/>
          </w:tcPr>
          <w:p w14:paraId="4DD84E2B" w14:textId="307C4FD6" w:rsidR="0037629A" w:rsidRPr="00786DAD" w:rsidRDefault="00786DAD" w:rsidP="00786DAD">
            <w:pPr>
              <w:pStyle w:val="Tabletext"/>
              <w:jc w:val="right"/>
            </w:pPr>
            <w:r>
              <w:t>432,701</w:t>
            </w:r>
          </w:p>
        </w:tc>
        <w:tc>
          <w:tcPr>
            <w:tcW w:w="1171" w:type="dxa"/>
            <w:shd w:val="clear" w:color="auto" w:fill="auto"/>
          </w:tcPr>
          <w:p w14:paraId="7E3B93E5" w14:textId="77777777" w:rsidR="0037629A" w:rsidRPr="00786DAD" w:rsidRDefault="0037629A" w:rsidP="00501D0E">
            <w:pPr>
              <w:pStyle w:val="Tabletext"/>
              <w:jc w:val="right"/>
            </w:pPr>
            <w:r w:rsidRPr="00786DAD">
              <w:t>412,389</w:t>
            </w:r>
          </w:p>
        </w:tc>
      </w:tr>
      <w:tr w:rsidR="0037629A" w:rsidRPr="00786DAD" w14:paraId="0C561963" w14:textId="77777777" w:rsidTr="00855357">
        <w:tc>
          <w:tcPr>
            <w:tcW w:w="6436" w:type="dxa"/>
            <w:shd w:val="clear" w:color="auto" w:fill="auto"/>
          </w:tcPr>
          <w:p w14:paraId="461B9263" w14:textId="77777777" w:rsidR="0037629A" w:rsidRPr="00786DAD" w:rsidRDefault="0037629A" w:rsidP="00501D0E">
            <w:pPr>
              <w:pStyle w:val="Tabletext"/>
            </w:pPr>
            <w:r w:rsidRPr="00786DAD">
              <w:t>Total income from transactions</w:t>
            </w:r>
          </w:p>
        </w:tc>
        <w:tc>
          <w:tcPr>
            <w:tcW w:w="1171" w:type="dxa"/>
          </w:tcPr>
          <w:p w14:paraId="2ACBBE14" w14:textId="2C0FA148" w:rsidR="0037629A" w:rsidRPr="00786DAD" w:rsidRDefault="00786DAD" w:rsidP="00786DAD">
            <w:pPr>
              <w:pStyle w:val="Tabletext"/>
              <w:jc w:val="right"/>
            </w:pPr>
            <w:r>
              <w:t>457,819</w:t>
            </w:r>
          </w:p>
        </w:tc>
        <w:tc>
          <w:tcPr>
            <w:tcW w:w="1171" w:type="dxa"/>
            <w:shd w:val="clear" w:color="auto" w:fill="auto"/>
          </w:tcPr>
          <w:p w14:paraId="6547BE22" w14:textId="77777777" w:rsidR="0037629A" w:rsidRPr="00786DAD" w:rsidRDefault="0037629A" w:rsidP="00501D0E">
            <w:pPr>
              <w:pStyle w:val="Tabletext"/>
              <w:jc w:val="right"/>
            </w:pPr>
            <w:r w:rsidRPr="00786DAD">
              <w:t>449,332</w:t>
            </w:r>
          </w:p>
        </w:tc>
      </w:tr>
      <w:tr w:rsidR="0037629A" w:rsidRPr="00786DAD" w14:paraId="7854563D" w14:textId="77777777" w:rsidTr="00855357">
        <w:tc>
          <w:tcPr>
            <w:tcW w:w="6436" w:type="dxa"/>
            <w:shd w:val="clear" w:color="auto" w:fill="auto"/>
          </w:tcPr>
          <w:p w14:paraId="5E18A82E" w14:textId="77777777" w:rsidR="0037629A" w:rsidRPr="00786DAD" w:rsidRDefault="0037629A" w:rsidP="00501D0E">
            <w:pPr>
              <w:pStyle w:val="Tabletext"/>
            </w:pPr>
            <w:r w:rsidRPr="00786DAD">
              <w:t>Total expenses from transactions</w:t>
            </w:r>
          </w:p>
        </w:tc>
        <w:tc>
          <w:tcPr>
            <w:tcW w:w="1171" w:type="dxa"/>
          </w:tcPr>
          <w:p w14:paraId="72F8D5E8" w14:textId="6EAB0724" w:rsidR="0037629A" w:rsidRPr="00786DAD" w:rsidRDefault="00786DAD" w:rsidP="00786DAD">
            <w:pPr>
              <w:pStyle w:val="Tabletext"/>
              <w:jc w:val="right"/>
            </w:pPr>
            <w:r>
              <w:t>458,291</w:t>
            </w:r>
          </w:p>
        </w:tc>
        <w:tc>
          <w:tcPr>
            <w:tcW w:w="1171" w:type="dxa"/>
            <w:shd w:val="clear" w:color="auto" w:fill="auto"/>
          </w:tcPr>
          <w:p w14:paraId="4F332662" w14:textId="77777777" w:rsidR="0037629A" w:rsidRPr="00786DAD" w:rsidRDefault="0037629A" w:rsidP="00501D0E">
            <w:pPr>
              <w:pStyle w:val="Tabletext"/>
              <w:jc w:val="right"/>
            </w:pPr>
            <w:r w:rsidRPr="00786DAD">
              <w:t>443,160</w:t>
            </w:r>
          </w:p>
        </w:tc>
      </w:tr>
      <w:tr w:rsidR="0037629A" w:rsidRPr="00786DAD" w14:paraId="7D7D86D3" w14:textId="77777777" w:rsidTr="00855357">
        <w:tc>
          <w:tcPr>
            <w:tcW w:w="6436" w:type="dxa"/>
            <w:shd w:val="clear" w:color="auto" w:fill="auto"/>
          </w:tcPr>
          <w:p w14:paraId="567D5DCA" w14:textId="77777777" w:rsidR="0037629A" w:rsidRPr="00786DAD" w:rsidRDefault="0037629A" w:rsidP="00501D0E">
            <w:pPr>
              <w:pStyle w:val="Tabletext"/>
            </w:pPr>
            <w:r w:rsidRPr="00786DAD">
              <w:t>Net result from transactions (surplus)</w:t>
            </w:r>
          </w:p>
        </w:tc>
        <w:tc>
          <w:tcPr>
            <w:tcW w:w="1171" w:type="dxa"/>
          </w:tcPr>
          <w:p w14:paraId="2284037F" w14:textId="323DF4ED" w:rsidR="0037629A" w:rsidRPr="00786DAD" w:rsidRDefault="00786DAD" w:rsidP="00786DAD">
            <w:pPr>
              <w:pStyle w:val="Tabletext"/>
              <w:jc w:val="right"/>
            </w:pPr>
            <w:r>
              <w:t>(472)</w:t>
            </w:r>
          </w:p>
        </w:tc>
        <w:tc>
          <w:tcPr>
            <w:tcW w:w="1171" w:type="dxa"/>
            <w:shd w:val="clear" w:color="auto" w:fill="auto"/>
          </w:tcPr>
          <w:p w14:paraId="3D86F54E" w14:textId="77777777" w:rsidR="0037629A" w:rsidRPr="00786DAD" w:rsidRDefault="0037629A" w:rsidP="00501D0E">
            <w:pPr>
              <w:pStyle w:val="Tabletext"/>
              <w:jc w:val="right"/>
            </w:pPr>
            <w:r w:rsidRPr="00786DAD">
              <w:t>6,172</w:t>
            </w:r>
          </w:p>
        </w:tc>
      </w:tr>
      <w:tr w:rsidR="0037629A" w:rsidRPr="00786DAD" w14:paraId="4A813E09" w14:textId="77777777" w:rsidTr="00855357">
        <w:tc>
          <w:tcPr>
            <w:tcW w:w="6436" w:type="dxa"/>
            <w:shd w:val="clear" w:color="auto" w:fill="auto"/>
          </w:tcPr>
          <w:p w14:paraId="53AA5685" w14:textId="77777777" w:rsidR="0037629A" w:rsidRPr="00786DAD" w:rsidRDefault="0037629A" w:rsidP="00501D0E">
            <w:pPr>
              <w:pStyle w:val="Tabletext"/>
            </w:pPr>
            <w:r w:rsidRPr="00786DAD">
              <w:t>Net result for the period (surplus)</w:t>
            </w:r>
          </w:p>
        </w:tc>
        <w:tc>
          <w:tcPr>
            <w:tcW w:w="1171" w:type="dxa"/>
          </w:tcPr>
          <w:p w14:paraId="48C60E8C" w14:textId="4E9EBBEB" w:rsidR="0037629A" w:rsidRPr="00786DAD" w:rsidRDefault="00B70830" w:rsidP="00786DAD">
            <w:pPr>
              <w:pStyle w:val="Tabletext"/>
              <w:jc w:val="right"/>
            </w:pPr>
            <w:r>
              <w:t>178,347</w:t>
            </w:r>
          </w:p>
        </w:tc>
        <w:tc>
          <w:tcPr>
            <w:tcW w:w="1171" w:type="dxa"/>
            <w:shd w:val="clear" w:color="auto" w:fill="auto"/>
          </w:tcPr>
          <w:p w14:paraId="7128EFB7" w14:textId="77777777" w:rsidR="0037629A" w:rsidRPr="00786DAD" w:rsidRDefault="0037629A" w:rsidP="00501D0E">
            <w:pPr>
              <w:pStyle w:val="Tabletext"/>
              <w:jc w:val="right"/>
            </w:pPr>
            <w:r w:rsidRPr="00786DAD">
              <w:t>4,092</w:t>
            </w:r>
          </w:p>
        </w:tc>
      </w:tr>
      <w:tr w:rsidR="0037629A" w:rsidRPr="00786DAD" w14:paraId="1B5283A8" w14:textId="77777777" w:rsidTr="00855357">
        <w:tc>
          <w:tcPr>
            <w:tcW w:w="6436" w:type="dxa"/>
            <w:shd w:val="clear" w:color="auto" w:fill="auto"/>
          </w:tcPr>
          <w:p w14:paraId="5B35B12A" w14:textId="77777777" w:rsidR="0037629A" w:rsidRPr="00786DAD" w:rsidRDefault="0037629A" w:rsidP="00501D0E">
            <w:pPr>
              <w:pStyle w:val="Tabletext"/>
            </w:pPr>
            <w:r w:rsidRPr="00786DAD">
              <w:t xml:space="preserve">Net cash flow from operating activities </w:t>
            </w:r>
          </w:p>
        </w:tc>
        <w:tc>
          <w:tcPr>
            <w:tcW w:w="1171" w:type="dxa"/>
          </w:tcPr>
          <w:p w14:paraId="35DA868E" w14:textId="3A9C05D5" w:rsidR="0037629A" w:rsidRPr="00786DAD" w:rsidRDefault="00B70830" w:rsidP="00786DAD">
            <w:pPr>
              <w:pStyle w:val="Tabletext"/>
              <w:jc w:val="right"/>
            </w:pPr>
            <w:r>
              <w:t>25,957</w:t>
            </w:r>
          </w:p>
        </w:tc>
        <w:tc>
          <w:tcPr>
            <w:tcW w:w="1171" w:type="dxa"/>
            <w:shd w:val="clear" w:color="auto" w:fill="auto"/>
          </w:tcPr>
          <w:p w14:paraId="1B68B773" w14:textId="77777777" w:rsidR="0037629A" w:rsidRPr="00786DAD" w:rsidRDefault="0037629A" w:rsidP="00501D0E">
            <w:pPr>
              <w:pStyle w:val="Tabletext"/>
              <w:jc w:val="right"/>
            </w:pPr>
            <w:r w:rsidRPr="00786DAD">
              <w:t>36,108</w:t>
            </w:r>
          </w:p>
        </w:tc>
      </w:tr>
      <w:tr w:rsidR="0037629A" w:rsidRPr="00786DAD" w14:paraId="5EFA66DA" w14:textId="77777777" w:rsidTr="00855357">
        <w:tc>
          <w:tcPr>
            <w:tcW w:w="6436" w:type="dxa"/>
            <w:shd w:val="clear" w:color="auto" w:fill="auto"/>
          </w:tcPr>
          <w:p w14:paraId="47918572" w14:textId="77777777" w:rsidR="0037629A" w:rsidRPr="00786DAD" w:rsidRDefault="0037629A" w:rsidP="00501D0E">
            <w:pPr>
              <w:pStyle w:val="Tabletext"/>
            </w:pPr>
            <w:r w:rsidRPr="00786DAD">
              <w:t xml:space="preserve">Total assets </w:t>
            </w:r>
          </w:p>
        </w:tc>
        <w:tc>
          <w:tcPr>
            <w:tcW w:w="1171" w:type="dxa"/>
          </w:tcPr>
          <w:p w14:paraId="34B92FD8" w14:textId="0740EBDE" w:rsidR="0037629A" w:rsidRPr="00786DAD" w:rsidRDefault="00B70830" w:rsidP="00786DAD">
            <w:pPr>
              <w:pStyle w:val="Tabletext"/>
              <w:jc w:val="right"/>
            </w:pPr>
            <w:r>
              <w:t>1,064,833</w:t>
            </w:r>
          </w:p>
        </w:tc>
        <w:tc>
          <w:tcPr>
            <w:tcW w:w="1171" w:type="dxa"/>
            <w:shd w:val="clear" w:color="auto" w:fill="auto"/>
          </w:tcPr>
          <w:p w14:paraId="3F6D4B9C" w14:textId="77777777" w:rsidR="0037629A" w:rsidRPr="00786DAD" w:rsidRDefault="0037629A" w:rsidP="00501D0E">
            <w:pPr>
              <w:pStyle w:val="Tabletext"/>
              <w:jc w:val="right"/>
            </w:pPr>
            <w:r w:rsidRPr="00786DAD">
              <w:t>828,921</w:t>
            </w:r>
          </w:p>
        </w:tc>
      </w:tr>
      <w:tr w:rsidR="0037629A" w:rsidRPr="00527946" w14:paraId="3923BCC5" w14:textId="77777777" w:rsidTr="00855357">
        <w:tc>
          <w:tcPr>
            <w:tcW w:w="6436" w:type="dxa"/>
            <w:shd w:val="clear" w:color="auto" w:fill="auto"/>
          </w:tcPr>
          <w:p w14:paraId="4748A877" w14:textId="77777777" w:rsidR="0037629A" w:rsidRPr="00786DAD" w:rsidRDefault="0037629A" w:rsidP="00501D0E">
            <w:pPr>
              <w:pStyle w:val="Tabletext"/>
            </w:pPr>
            <w:r w:rsidRPr="00786DAD">
              <w:t xml:space="preserve">Total liabilities </w:t>
            </w:r>
          </w:p>
        </w:tc>
        <w:tc>
          <w:tcPr>
            <w:tcW w:w="1171" w:type="dxa"/>
          </w:tcPr>
          <w:p w14:paraId="4973ACF4" w14:textId="60A54D75" w:rsidR="0037629A" w:rsidRPr="00786DAD" w:rsidRDefault="00B70830" w:rsidP="00786DAD">
            <w:pPr>
              <w:pStyle w:val="Tabletext"/>
              <w:jc w:val="right"/>
            </w:pPr>
            <w:r>
              <w:t>190,256</w:t>
            </w:r>
          </w:p>
        </w:tc>
        <w:tc>
          <w:tcPr>
            <w:tcW w:w="1171" w:type="dxa"/>
            <w:shd w:val="clear" w:color="auto" w:fill="auto"/>
          </w:tcPr>
          <w:p w14:paraId="75BEF0AB" w14:textId="77777777" w:rsidR="0037629A" w:rsidRPr="009D6567" w:rsidRDefault="0037629A" w:rsidP="00501D0E">
            <w:pPr>
              <w:pStyle w:val="Tabletext"/>
              <w:jc w:val="right"/>
            </w:pPr>
            <w:r w:rsidRPr="00786DAD">
              <w:t>196,250</w:t>
            </w:r>
          </w:p>
        </w:tc>
      </w:tr>
    </w:tbl>
    <w:p w14:paraId="2B0D93BB" w14:textId="77777777" w:rsidR="00A74D93" w:rsidRDefault="00A74D93" w:rsidP="0017170F">
      <w:pPr>
        <w:pStyle w:val="Heading3"/>
      </w:pPr>
    </w:p>
    <w:p w14:paraId="42E92F52" w14:textId="77777777" w:rsidR="0017170F" w:rsidRDefault="0017170F" w:rsidP="0017170F">
      <w:pPr>
        <w:pStyle w:val="Heading3"/>
      </w:pPr>
      <w:r>
        <w:t>Court Services Victoria Current Year Financial Review</w:t>
      </w:r>
    </w:p>
    <w:p w14:paraId="10534E79" w14:textId="77777777" w:rsidR="00B832D2" w:rsidRDefault="00B832D2" w:rsidP="00B832D2">
      <w:pPr>
        <w:pStyle w:val="ListBullet"/>
      </w:pPr>
      <w:r>
        <w:t>CSV considers the net result from transactions to be the appropriate measure of financial management that can be directly attributed to government policy. This measure excludes the effects of revaluations (holding gains or losses) arising from changes in market prices and other changes in the volume of assets shown under ‘other economic flows’ on the comprehensive operating statement, which are outside the control of CSV.</w:t>
      </w:r>
    </w:p>
    <w:p w14:paraId="66F63180" w14:textId="77777777" w:rsidR="00B832D2" w:rsidRDefault="00B832D2" w:rsidP="00B832D2">
      <w:pPr>
        <w:pStyle w:val="ListBullet"/>
      </w:pPr>
      <w:r>
        <w:t>In 2015-16, CSV’s net result from transactions was a deficit of $0.472 million which comprises a total income of $457.9 million</w:t>
      </w:r>
      <w:r>
        <w:rPr>
          <w:rStyle w:val="FootnoteReference"/>
        </w:rPr>
        <w:footnoteReference w:id="1"/>
      </w:r>
      <w:r>
        <w:t xml:space="preserve"> and expenditure of $458.3 million. </w:t>
      </w:r>
    </w:p>
    <w:p w14:paraId="0DD5E886" w14:textId="69742587" w:rsidR="00B832D2" w:rsidRDefault="00B832D2" w:rsidP="00B832D2">
      <w:pPr>
        <w:pStyle w:val="ListBullet"/>
      </w:pPr>
      <w:r>
        <w:t>Of the $457.9 million actual revenues utilised for the operation of the courts’ system, approximately $66 million is made available via a section 29 appropriation from the collection of court fees</w:t>
      </w:r>
      <w:r w:rsidRPr="001354E7">
        <w:rPr>
          <w:vertAlign w:val="superscript"/>
        </w:rPr>
        <w:footnoteReference w:id="2"/>
      </w:r>
      <w:r>
        <w:t xml:space="preserve"> (known as the Court Fee Pool), approximately </w:t>
      </w:r>
      <w:r w:rsidR="00373A01">
        <w:t>$2 million less than in 2014-15. The</w:t>
      </w:r>
      <w:r>
        <w:t xml:space="preserve">  remaining funds </w:t>
      </w:r>
      <w:r w:rsidR="00373A01">
        <w:t>are</w:t>
      </w:r>
      <w:r>
        <w:t xml:space="preserve"> received from the Victorian Government via both Annual and Special appropriations. The Court Fee Pool is intended to be used to fund innovation initiatives to improve services within the jurisdictions</w:t>
      </w:r>
      <w:r w:rsidR="00373A01">
        <w:t>,</w:t>
      </w:r>
      <w:r>
        <w:t xml:space="preserve"> but budgetary pressures often mean that it is used to meet the cost of day-to-day operating costs of the jurisdictions.</w:t>
      </w:r>
    </w:p>
    <w:p w14:paraId="62461B2B" w14:textId="77777777" w:rsidR="00B832D2" w:rsidRDefault="00B832D2" w:rsidP="00B832D2">
      <w:pPr>
        <w:pStyle w:val="ListBullet"/>
      </w:pPr>
      <w:r>
        <w:t>CSV’s net assets of $874.6 million comprises total assets of $1.065 billion and liabilities of $190.2 million, further details are provided in the balance sheet in the financial statements. CSVs physical assets were revalued in 2015-16 by the Valuer-General and increased by $183 million.</w:t>
      </w:r>
    </w:p>
    <w:p w14:paraId="368D2D31" w14:textId="77777777" w:rsidR="00B832D2" w:rsidRDefault="00B832D2" w:rsidP="00B832D2">
      <w:pPr>
        <w:pStyle w:val="ListBullet"/>
      </w:pPr>
      <w:r>
        <w:t xml:space="preserve">CSV cash flow at year-end consisted of $8.4 million, during the year cash transactions included receipts of $466.4 million, payments of $440.4 million, purchases of non-financial assets of $28.3 million, proceed of sales of non-financial assets of $2.5 million and net cash used in financing activities of $0.5 million. </w:t>
      </w:r>
    </w:p>
    <w:p w14:paraId="6FDFD48E" w14:textId="77777777" w:rsidR="006D5B41" w:rsidRDefault="006D5B41" w:rsidP="006D5B41"/>
    <w:p w14:paraId="185262F6" w14:textId="344E3BE0" w:rsidR="00326EBB" w:rsidRPr="002D04C8" w:rsidRDefault="00326EBB" w:rsidP="00326EBB">
      <w:pPr>
        <w:pStyle w:val="Heading3"/>
      </w:pPr>
      <w:r w:rsidRPr="002D04C8">
        <w:t>Budget</w:t>
      </w:r>
      <w:r w:rsidR="00E15F31" w:rsidRPr="002D04C8">
        <w:t xml:space="preserve"> Allocation</w:t>
      </w:r>
      <w:r w:rsidRPr="002D04C8">
        <w:t xml:space="preserve"> </w:t>
      </w:r>
    </w:p>
    <w:p w14:paraId="2BAB478B" w14:textId="36FA5FB7" w:rsidR="00326EBB" w:rsidRPr="002D04C8" w:rsidRDefault="00326EBB" w:rsidP="00326EBB">
      <w:r w:rsidRPr="002D04C8">
        <w:t>While CSV receives Parliamentary appropriation for its functions, budget is allocated to each of the jurisdictions</w:t>
      </w:r>
      <w:r w:rsidR="00E15F31" w:rsidRPr="002D04C8">
        <w:t>,</w:t>
      </w:r>
      <w:r w:rsidRPr="002D04C8">
        <w:t xml:space="preserve"> and made available for the provision of services and facilities to the College</w:t>
      </w:r>
      <w:r w:rsidR="00E15F31" w:rsidRPr="002D04C8">
        <w:t>,</w:t>
      </w:r>
      <w:r w:rsidRPr="002D04C8">
        <w:t xml:space="preserve"> in accordance with budgets approved by the Attorney-General under section 41 of the CSV Act.</w:t>
      </w:r>
    </w:p>
    <w:p w14:paraId="64E4609B" w14:textId="77777777" w:rsidR="00326EBB" w:rsidRPr="002D04C8" w:rsidRDefault="00326EBB" w:rsidP="00326EBB"/>
    <w:p w14:paraId="285B1498" w14:textId="77777777" w:rsidR="00326EBB" w:rsidRPr="002D04C8" w:rsidRDefault="00326EBB" w:rsidP="00326EBB">
      <w:r w:rsidRPr="002D04C8">
        <w:t>CSV’s budget breakdown for the purposes of corporate functions, the jurisdictions, and the College is shown in the table below, and includes funding from annual and special appropriations as well as trust funding. Charges relating to the corporate functions as set out in the table below include the whole of CSV charges such as Capital Asset Charges and Depreciation.</w:t>
      </w:r>
    </w:p>
    <w:p w14:paraId="4931CF7A" w14:textId="77777777" w:rsidR="00326EBB" w:rsidRPr="002D04C8" w:rsidRDefault="00326EBB" w:rsidP="00326EBB"/>
    <w:p w14:paraId="16F1675F" w14:textId="77777777" w:rsidR="00326EBB" w:rsidRPr="002D04C8" w:rsidRDefault="00326EBB" w:rsidP="00326EBB">
      <w:r w:rsidRPr="002D04C8">
        <w:t>Built into appropriation funding is depreciation, rent, accommodation and a capital asset charge. These are classified as non-discretionary items and funding is held and managed centrally by CSV.</w:t>
      </w:r>
    </w:p>
    <w:p w14:paraId="46175824" w14:textId="77777777" w:rsidR="00326EBB" w:rsidRPr="002D04C8" w:rsidRDefault="00326EBB" w:rsidP="00326EBB"/>
    <w:p w14:paraId="089D3280" w14:textId="5B1644BF" w:rsidR="00326EBB" w:rsidRDefault="00326EBB" w:rsidP="00326EBB">
      <w:r w:rsidRPr="002D04C8">
        <w:t>The bud</w:t>
      </w:r>
      <w:r w:rsidR="00E15F31" w:rsidRPr="002D04C8">
        <w:t xml:space="preserve">get allocation profiles of </w:t>
      </w:r>
      <w:r w:rsidR="00AC25F8">
        <w:t>JS</w:t>
      </w:r>
      <w:r w:rsidRPr="002D04C8">
        <w:t>, the jurisdictions and the College are based on an historical allocations profile adjusted for savings, indexation and new funding.</w:t>
      </w:r>
    </w:p>
    <w:p w14:paraId="395391AC" w14:textId="77777777" w:rsidR="00501D0E" w:rsidRPr="002D04C8" w:rsidRDefault="00501D0E" w:rsidP="00326EBB"/>
    <w:p w14:paraId="11A70EAD" w14:textId="198A6827" w:rsidR="00326EBB" w:rsidRPr="00E15F31" w:rsidRDefault="00501D0E" w:rsidP="00501D0E">
      <w:pPr>
        <w:pStyle w:val="Caption"/>
      </w:pPr>
      <w:r>
        <w:t xml:space="preserve">Table </w:t>
      </w:r>
      <w:r w:rsidR="009A41BE">
        <w:t>3</w:t>
      </w:r>
      <w:r>
        <w:t xml:space="preserve">: </w:t>
      </w:r>
      <w:r w:rsidR="00A7716B">
        <w:tab/>
      </w:r>
      <w:r w:rsidR="00326EBB" w:rsidRPr="00E15F31">
        <w:t xml:space="preserve">Court Services Victoria’s budget allocation </w:t>
      </w:r>
      <w:r>
        <w:t>by jurisdiction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A0" w:firstRow="1" w:lastRow="0" w:firstColumn="1" w:lastColumn="0" w:noHBand="0" w:noVBand="0"/>
      </w:tblPr>
      <w:tblGrid>
        <w:gridCol w:w="2460"/>
        <w:gridCol w:w="1814"/>
      </w:tblGrid>
      <w:tr w:rsidR="00326EBB" w:rsidRPr="00E15F31" w14:paraId="2E1B0C15" w14:textId="77777777" w:rsidTr="00501D0E">
        <w:trPr>
          <w:trHeight w:val="906"/>
        </w:trPr>
        <w:tc>
          <w:tcPr>
            <w:tcW w:w="0" w:type="auto"/>
            <w:shd w:val="clear" w:color="auto" w:fill="auto"/>
            <w:noWrap/>
            <w:vAlign w:val="center"/>
          </w:tcPr>
          <w:p w14:paraId="50EAC2D6" w14:textId="77777777" w:rsidR="00326EBB" w:rsidRPr="00E15F31" w:rsidRDefault="00326EBB" w:rsidP="00501D0E">
            <w:pPr>
              <w:pStyle w:val="Tableheading"/>
              <w:jc w:val="center"/>
            </w:pPr>
            <w:r w:rsidRPr="00E15F31">
              <w:t>By Business Area</w:t>
            </w:r>
          </w:p>
        </w:tc>
        <w:tc>
          <w:tcPr>
            <w:tcW w:w="0" w:type="auto"/>
            <w:shd w:val="clear" w:color="auto" w:fill="auto"/>
            <w:noWrap/>
            <w:vAlign w:val="center"/>
          </w:tcPr>
          <w:p w14:paraId="59416A3A" w14:textId="77777777" w:rsidR="00326EBB" w:rsidRPr="00E15F31" w:rsidRDefault="00326EBB" w:rsidP="00501D0E">
            <w:pPr>
              <w:pStyle w:val="Tableheading"/>
              <w:jc w:val="center"/>
            </w:pPr>
            <w:r w:rsidRPr="00E15F31">
              <w:t>2015-16</w:t>
            </w:r>
          </w:p>
          <w:p w14:paraId="3D950EC8" w14:textId="77777777" w:rsidR="00326EBB" w:rsidRPr="00E15F31" w:rsidRDefault="00326EBB" w:rsidP="00501D0E">
            <w:pPr>
              <w:pStyle w:val="Tableheading"/>
              <w:jc w:val="center"/>
            </w:pPr>
            <w:r w:rsidRPr="00E15F31">
              <w:t>Published Budget</w:t>
            </w:r>
          </w:p>
          <w:p w14:paraId="1A64F516" w14:textId="77777777" w:rsidR="00326EBB" w:rsidRPr="00E15F31" w:rsidRDefault="00326EBB" w:rsidP="00501D0E">
            <w:pPr>
              <w:pStyle w:val="Tableheading"/>
              <w:jc w:val="center"/>
            </w:pPr>
            <w:r w:rsidRPr="00E15F31">
              <w:t>$m</w:t>
            </w:r>
          </w:p>
        </w:tc>
      </w:tr>
      <w:tr w:rsidR="00326EBB" w:rsidRPr="00F73D3B" w14:paraId="572E8D5F" w14:textId="77777777" w:rsidTr="00501D0E">
        <w:trPr>
          <w:trHeight w:val="300"/>
        </w:trPr>
        <w:tc>
          <w:tcPr>
            <w:tcW w:w="0" w:type="auto"/>
            <w:noWrap/>
            <w:vAlign w:val="center"/>
          </w:tcPr>
          <w:p w14:paraId="5EAB5938" w14:textId="77777777" w:rsidR="00326EBB" w:rsidRPr="00F73D3B" w:rsidRDefault="00326EBB" w:rsidP="00F73D3B">
            <w:pPr>
              <w:pStyle w:val="Tabletext"/>
            </w:pPr>
            <w:r w:rsidRPr="00F73D3B">
              <w:t>Supreme Court</w:t>
            </w:r>
          </w:p>
        </w:tc>
        <w:tc>
          <w:tcPr>
            <w:tcW w:w="0" w:type="auto"/>
            <w:noWrap/>
            <w:vAlign w:val="center"/>
          </w:tcPr>
          <w:p w14:paraId="6E8AA025" w14:textId="05EA3524" w:rsidR="00326EBB" w:rsidRPr="00F73D3B" w:rsidRDefault="00E15F31" w:rsidP="00F73D3B">
            <w:pPr>
              <w:pStyle w:val="Tabletext"/>
              <w:jc w:val="right"/>
            </w:pPr>
            <w:r w:rsidRPr="00F73D3B">
              <w:t>65.5</w:t>
            </w:r>
          </w:p>
        </w:tc>
      </w:tr>
      <w:tr w:rsidR="00326EBB" w:rsidRPr="00F73D3B" w14:paraId="6F0655CB" w14:textId="77777777" w:rsidTr="00501D0E">
        <w:trPr>
          <w:trHeight w:val="300"/>
        </w:trPr>
        <w:tc>
          <w:tcPr>
            <w:tcW w:w="0" w:type="auto"/>
            <w:noWrap/>
            <w:vAlign w:val="center"/>
          </w:tcPr>
          <w:p w14:paraId="2FF25EF0" w14:textId="77777777" w:rsidR="00326EBB" w:rsidRPr="00F73D3B" w:rsidRDefault="00326EBB" w:rsidP="00F73D3B">
            <w:pPr>
              <w:pStyle w:val="Tabletext"/>
            </w:pPr>
            <w:r w:rsidRPr="00F73D3B">
              <w:t>County Court</w:t>
            </w:r>
          </w:p>
        </w:tc>
        <w:tc>
          <w:tcPr>
            <w:tcW w:w="0" w:type="auto"/>
            <w:noWrap/>
            <w:vAlign w:val="center"/>
          </w:tcPr>
          <w:p w14:paraId="0030E679" w14:textId="05054986" w:rsidR="00326EBB" w:rsidRPr="00F73D3B" w:rsidRDefault="00E15F31" w:rsidP="00F73D3B">
            <w:pPr>
              <w:pStyle w:val="Tabletext"/>
              <w:jc w:val="right"/>
            </w:pPr>
            <w:r w:rsidRPr="00F73D3B">
              <w:t>89.8</w:t>
            </w:r>
          </w:p>
        </w:tc>
      </w:tr>
      <w:tr w:rsidR="00326EBB" w:rsidRPr="00F73D3B" w14:paraId="515FC709" w14:textId="77777777" w:rsidTr="00501D0E">
        <w:trPr>
          <w:trHeight w:val="300"/>
        </w:trPr>
        <w:tc>
          <w:tcPr>
            <w:tcW w:w="0" w:type="auto"/>
            <w:noWrap/>
            <w:vAlign w:val="center"/>
          </w:tcPr>
          <w:p w14:paraId="61164288" w14:textId="77777777" w:rsidR="00326EBB" w:rsidRPr="00F73D3B" w:rsidRDefault="00326EBB" w:rsidP="00F73D3B">
            <w:pPr>
              <w:pStyle w:val="Tabletext"/>
            </w:pPr>
            <w:r w:rsidRPr="00F73D3B">
              <w:t xml:space="preserve">Magistrates’ Court </w:t>
            </w:r>
          </w:p>
        </w:tc>
        <w:tc>
          <w:tcPr>
            <w:tcW w:w="0" w:type="auto"/>
            <w:noWrap/>
            <w:vAlign w:val="center"/>
          </w:tcPr>
          <w:p w14:paraId="2E035850" w14:textId="7132A30E" w:rsidR="00326EBB" w:rsidRPr="00F73D3B" w:rsidRDefault="00E15F31" w:rsidP="00F73D3B">
            <w:pPr>
              <w:pStyle w:val="Tabletext"/>
              <w:jc w:val="right"/>
            </w:pPr>
            <w:r w:rsidRPr="00F73D3B">
              <w:t>124.7</w:t>
            </w:r>
          </w:p>
        </w:tc>
      </w:tr>
      <w:tr w:rsidR="00326EBB" w:rsidRPr="00F73D3B" w14:paraId="48C8D8D2" w14:textId="77777777" w:rsidTr="00501D0E">
        <w:trPr>
          <w:trHeight w:val="252"/>
        </w:trPr>
        <w:tc>
          <w:tcPr>
            <w:tcW w:w="0" w:type="auto"/>
            <w:noWrap/>
            <w:vAlign w:val="center"/>
          </w:tcPr>
          <w:p w14:paraId="6263732B" w14:textId="77777777" w:rsidR="00326EBB" w:rsidRPr="00F73D3B" w:rsidRDefault="00326EBB" w:rsidP="00F73D3B">
            <w:pPr>
              <w:pStyle w:val="Tabletext"/>
            </w:pPr>
            <w:r w:rsidRPr="00F73D3B">
              <w:t>VCAT</w:t>
            </w:r>
          </w:p>
        </w:tc>
        <w:tc>
          <w:tcPr>
            <w:tcW w:w="0" w:type="auto"/>
            <w:noWrap/>
            <w:vAlign w:val="center"/>
          </w:tcPr>
          <w:p w14:paraId="1C461CBA" w14:textId="3EA646B3" w:rsidR="00326EBB" w:rsidRPr="00F73D3B" w:rsidRDefault="00E15F31" w:rsidP="00F73D3B">
            <w:pPr>
              <w:pStyle w:val="Tabletext"/>
              <w:jc w:val="right"/>
            </w:pPr>
            <w:r w:rsidRPr="00F73D3B">
              <w:t>41.3</w:t>
            </w:r>
          </w:p>
        </w:tc>
      </w:tr>
      <w:tr w:rsidR="00326EBB" w:rsidRPr="00F73D3B" w14:paraId="0CCA1C97" w14:textId="77777777" w:rsidTr="00501D0E">
        <w:trPr>
          <w:trHeight w:val="300"/>
        </w:trPr>
        <w:tc>
          <w:tcPr>
            <w:tcW w:w="0" w:type="auto"/>
            <w:noWrap/>
            <w:vAlign w:val="center"/>
          </w:tcPr>
          <w:p w14:paraId="5C32D48B" w14:textId="77777777" w:rsidR="00326EBB" w:rsidRPr="00F73D3B" w:rsidRDefault="00326EBB" w:rsidP="00F73D3B">
            <w:pPr>
              <w:pStyle w:val="Tabletext"/>
            </w:pPr>
            <w:r w:rsidRPr="00F73D3B">
              <w:t xml:space="preserve">Children’s Court </w:t>
            </w:r>
          </w:p>
        </w:tc>
        <w:tc>
          <w:tcPr>
            <w:tcW w:w="0" w:type="auto"/>
            <w:noWrap/>
            <w:vAlign w:val="center"/>
          </w:tcPr>
          <w:p w14:paraId="2510B3B0" w14:textId="0BF30930" w:rsidR="00326EBB" w:rsidRPr="00F73D3B" w:rsidRDefault="00E15F31" w:rsidP="00F73D3B">
            <w:pPr>
              <w:pStyle w:val="Tabletext"/>
              <w:jc w:val="right"/>
            </w:pPr>
            <w:r w:rsidRPr="00F73D3B">
              <w:t>19.2</w:t>
            </w:r>
          </w:p>
        </w:tc>
      </w:tr>
      <w:tr w:rsidR="00326EBB" w:rsidRPr="00F73D3B" w14:paraId="17C5A58E" w14:textId="77777777" w:rsidTr="00501D0E">
        <w:trPr>
          <w:trHeight w:val="300"/>
        </w:trPr>
        <w:tc>
          <w:tcPr>
            <w:tcW w:w="0" w:type="auto"/>
            <w:noWrap/>
            <w:vAlign w:val="center"/>
          </w:tcPr>
          <w:p w14:paraId="40B7826E" w14:textId="77777777" w:rsidR="00326EBB" w:rsidRPr="00F73D3B" w:rsidRDefault="00326EBB" w:rsidP="00F73D3B">
            <w:pPr>
              <w:pStyle w:val="Tabletext"/>
            </w:pPr>
            <w:r w:rsidRPr="00F73D3B">
              <w:t xml:space="preserve">Coroner’s Court </w:t>
            </w:r>
          </w:p>
        </w:tc>
        <w:tc>
          <w:tcPr>
            <w:tcW w:w="0" w:type="auto"/>
            <w:noWrap/>
            <w:vAlign w:val="center"/>
          </w:tcPr>
          <w:p w14:paraId="5B138AEE" w14:textId="05B426D8" w:rsidR="00326EBB" w:rsidRPr="00F73D3B" w:rsidRDefault="00E15F31" w:rsidP="00F73D3B">
            <w:pPr>
              <w:pStyle w:val="Tabletext"/>
              <w:jc w:val="right"/>
            </w:pPr>
            <w:r w:rsidRPr="00F73D3B">
              <w:t>16.3</w:t>
            </w:r>
          </w:p>
        </w:tc>
      </w:tr>
      <w:tr w:rsidR="00326EBB" w:rsidRPr="00F73D3B" w14:paraId="43718114" w14:textId="77777777" w:rsidTr="00501D0E">
        <w:trPr>
          <w:trHeight w:val="300"/>
        </w:trPr>
        <w:tc>
          <w:tcPr>
            <w:tcW w:w="0" w:type="auto"/>
            <w:noWrap/>
            <w:vAlign w:val="center"/>
          </w:tcPr>
          <w:p w14:paraId="146CEAF1" w14:textId="77777777" w:rsidR="00326EBB" w:rsidRPr="00F73D3B" w:rsidRDefault="00326EBB" w:rsidP="00F73D3B">
            <w:pPr>
              <w:pStyle w:val="Tabletext"/>
            </w:pPr>
            <w:r w:rsidRPr="00F73D3B">
              <w:t>Judicial College of Victoria</w:t>
            </w:r>
          </w:p>
        </w:tc>
        <w:tc>
          <w:tcPr>
            <w:tcW w:w="0" w:type="auto"/>
            <w:noWrap/>
            <w:vAlign w:val="center"/>
          </w:tcPr>
          <w:p w14:paraId="317DD56D" w14:textId="6B42ECFB" w:rsidR="00326EBB" w:rsidRPr="00F73D3B" w:rsidRDefault="00E15F31" w:rsidP="00F73D3B">
            <w:pPr>
              <w:pStyle w:val="Tabletext"/>
              <w:jc w:val="right"/>
            </w:pPr>
            <w:r w:rsidRPr="00F73D3B">
              <w:t>2.1</w:t>
            </w:r>
          </w:p>
        </w:tc>
      </w:tr>
      <w:tr w:rsidR="00326EBB" w:rsidRPr="00F73D3B" w14:paraId="08705439" w14:textId="77777777" w:rsidTr="00501D0E">
        <w:trPr>
          <w:trHeight w:val="300"/>
        </w:trPr>
        <w:tc>
          <w:tcPr>
            <w:tcW w:w="0" w:type="auto"/>
            <w:noWrap/>
            <w:vAlign w:val="center"/>
          </w:tcPr>
          <w:p w14:paraId="7471A4DE" w14:textId="4412AD33" w:rsidR="00326EBB" w:rsidRPr="00F73D3B" w:rsidRDefault="00B17189" w:rsidP="00F73D3B">
            <w:pPr>
              <w:pStyle w:val="Tabletext"/>
            </w:pPr>
            <w:r w:rsidRPr="00F73D3B">
              <w:t>Jurisdiction</w:t>
            </w:r>
            <w:r w:rsidR="00326EBB" w:rsidRPr="00F73D3B">
              <w:t xml:space="preserve"> Services</w:t>
            </w:r>
          </w:p>
        </w:tc>
        <w:tc>
          <w:tcPr>
            <w:tcW w:w="0" w:type="auto"/>
            <w:noWrap/>
            <w:vAlign w:val="center"/>
          </w:tcPr>
          <w:p w14:paraId="46CED93A" w14:textId="018A4216" w:rsidR="00326EBB" w:rsidRPr="00F73D3B" w:rsidRDefault="00E15F31" w:rsidP="00F73D3B">
            <w:pPr>
              <w:pStyle w:val="Tabletext"/>
              <w:jc w:val="right"/>
            </w:pPr>
            <w:r w:rsidRPr="00F73D3B">
              <w:t>107.1</w:t>
            </w:r>
          </w:p>
        </w:tc>
      </w:tr>
      <w:tr w:rsidR="00326EBB" w:rsidRPr="00F73D3B" w14:paraId="41D74385" w14:textId="77777777" w:rsidTr="00501D0E">
        <w:trPr>
          <w:trHeight w:val="300"/>
        </w:trPr>
        <w:tc>
          <w:tcPr>
            <w:tcW w:w="0" w:type="auto"/>
            <w:noWrap/>
            <w:vAlign w:val="center"/>
          </w:tcPr>
          <w:p w14:paraId="585BD37D" w14:textId="77777777" w:rsidR="00326EBB" w:rsidRPr="00F73D3B" w:rsidRDefault="00326EBB" w:rsidP="00F73D3B">
            <w:pPr>
              <w:pStyle w:val="Tabletext"/>
            </w:pPr>
            <w:r w:rsidRPr="00F73D3B">
              <w:t>Total CSV</w:t>
            </w:r>
          </w:p>
        </w:tc>
        <w:tc>
          <w:tcPr>
            <w:tcW w:w="0" w:type="auto"/>
            <w:noWrap/>
            <w:vAlign w:val="center"/>
          </w:tcPr>
          <w:p w14:paraId="55CD58DF" w14:textId="676C633B" w:rsidR="00326EBB" w:rsidRPr="00F73D3B" w:rsidRDefault="00B17189" w:rsidP="00F73D3B">
            <w:pPr>
              <w:pStyle w:val="Tabletext"/>
              <w:jc w:val="right"/>
            </w:pPr>
            <w:r w:rsidRPr="00F73D3B">
              <w:t>466.1</w:t>
            </w:r>
          </w:p>
        </w:tc>
      </w:tr>
    </w:tbl>
    <w:p w14:paraId="4FD2851B" w14:textId="77777777" w:rsidR="008F0392" w:rsidRDefault="008F0392" w:rsidP="00C60580">
      <w:pPr>
        <w:pStyle w:val="Notes"/>
        <w:ind w:left="0"/>
      </w:pPr>
    </w:p>
    <w:p w14:paraId="0ACD87C2" w14:textId="585D391A" w:rsidR="00501D0E" w:rsidRPr="00B70830" w:rsidRDefault="0017170F" w:rsidP="00B70830">
      <w:pPr>
        <w:pStyle w:val="Heading3"/>
      </w:pPr>
      <w:r w:rsidRPr="00B70830">
        <w:t>Disclosure of Grants and Transfer Payments</w:t>
      </w:r>
    </w:p>
    <w:p w14:paraId="09DDD560" w14:textId="0973DEE7" w:rsidR="00501D0E" w:rsidRPr="00B70830" w:rsidRDefault="00501D0E" w:rsidP="00501D0E">
      <w:pPr>
        <w:pStyle w:val="Caption"/>
      </w:pPr>
      <w:r w:rsidRPr="00B70830">
        <w:t xml:space="preserve">Table </w:t>
      </w:r>
      <w:r w:rsidR="009A41BE" w:rsidRPr="00B70830">
        <w:t>4</w:t>
      </w:r>
      <w:r w:rsidRPr="00B70830">
        <w:t xml:space="preserve">: </w:t>
      </w:r>
      <w:r w:rsidR="00A7716B" w:rsidRPr="00B70830">
        <w:tab/>
      </w:r>
      <w:r w:rsidRPr="00B70830">
        <w:t>Grants and other transfer payments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4878"/>
        <w:gridCol w:w="1276"/>
      </w:tblGrid>
      <w:tr w:rsidR="0017170F" w:rsidRPr="00B70830" w14:paraId="17525B46" w14:textId="77777777" w:rsidTr="00527946">
        <w:tc>
          <w:tcPr>
            <w:tcW w:w="4878" w:type="dxa"/>
            <w:shd w:val="clear" w:color="auto" w:fill="auto"/>
          </w:tcPr>
          <w:p w14:paraId="4B35EA93" w14:textId="77777777" w:rsidR="0017170F" w:rsidRPr="00B70830" w:rsidRDefault="0017170F" w:rsidP="00501D0E">
            <w:pPr>
              <w:pStyle w:val="Tableheading"/>
            </w:pPr>
            <w:r w:rsidRPr="00B70830">
              <w:t>Organisation</w:t>
            </w:r>
          </w:p>
        </w:tc>
        <w:tc>
          <w:tcPr>
            <w:tcW w:w="1276" w:type="dxa"/>
            <w:shd w:val="clear" w:color="auto" w:fill="auto"/>
          </w:tcPr>
          <w:p w14:paraId="6E74F11A" w14:textId="77777777" w:rsidR="0017170F" w:rsidRPr="00B70830" w:rsidRDefault="0017170F" w:rsidP="00501D0E">
            <w:pPr>
              <w:pStyle w:val="Tableheading"/>
            </w:pPr>
            <w:r w:rsidRPr="00B70830">
              <w:t>Payment$</w:t>
            </w:r>
          </w:p>
        </w:tc>
      </w:tr>
      <w:tr w:rsidR="00561829" w:rsidRPr="00B70830" w14:paraId="66B90F34" w14:textId="77777777" w:rsidTr="00527946">
        <w:tc>
          <w:tcPr>
            <w:tcW w:w="4878" w:type="dxa"/>
            <w:shd w:val="clear" w:color="auto" w:fill="auto"/>
          </w:tcPr>
          <w:p w14:paraId="37BB675E" w14:textId="77777777" w:rsidR="00561829" w:rsidRPr="009676EE" w:rsidRDefault="00561829" w:rsidP="00B70830">
            <w:pPr>
              <w:pStyle w:val="Tabletext"/>
            </w:pPr>
            <w:r>
              <w:t>African Community Foundation</w:t>
            </w:r>
          </w:p>
        </w:tc>
        <w:tc>
          <w:tcPr>
            <w:tcW w:w="1276" w:type="dxa"/>
            <w:shd w:val="clear" w:color="auto" w:fill="auto"/>
          </w:tcPr>
          <w:p w14:paraId="2B794782" w14:textId="77777777" w:rsidR="00561829" w:rsidRPr="009676EE" w:rsidRDefault="00561829" w:rsidP="00F56DEF">
            <w:pPr>
              <w:pStyle w:val="Tabletext"/>
              <w:jc w:val="right"/>
            </w:pPr>
            <w:r>
              <w:t>9,000</w:t>
            </w:r>
          </w:p>
        </w:tc>
      </w:tr>
      <w:tr w:rsidR="00561829" w:rsidRPr="00B70830" w14:paraId="4CC8A64F" w14:textId="77777777" w:rsidTr="00527946">
        <w:tc>
          <w:tcPr>
            <w:tcW w:w="4878" w:type="dxa"/>
            <w:shd w:val="clear" w:color="auto" w:fill="auto"/>
          </w:tcPr>
          <w:p w14:paraId="64893AF2" w14:textId="77777777" w:rsidR="00561829" w:rsidRPr="00B70830" w:rsidRDefault="00561829" w:rsidP="00B70830">
            <w:pPr>
              <w:pStyle w:val="Tabletext"/>
            </w:pPr>
            <w:r w:rsidRPr="009676EE">
              <w:t>Australian Bureau of Statistics</w:t>
            </w:r>
          </w:p>
        </w:tc>
        <w:tc>
          <w:tcPr>
            <w:tcW w:w="1276" w:type="dxa"/>
            <w:shd w:val="clear" w:color="auto" w:fill="auto"/>
          </w:tcPr>
          <w:p w14:paraId="7FA735D2" w14:textId="77777777" w:rsidR="00561829" w:rsidRPr="00B70830" w:rsidRDefault="00561829" w:rsidP="00B70830">
            <w:pPr>
              <w:pStyle w:val="Tabletext"/>
              <w:jc w:val="right"/>
            </w:pPr>
            <w:r w:rsidRPr="009676EE">
              <w:t>74,724</w:t>
            </w:r>
          </w:p>
        </w:tc>
      </w:tr>
      <w:tr w:rsidR="00561829" w:rsidRPr="00B70830" w14:paraId="13D3810C" w14:textId="77777777" w:rsidTr="00527946">
        <w:tc>
          <w:tcPr>
            <w:tcW w:w="4878" w:type="dxa"/>
            <w:shd w:val="clear" w:color="auto" w:fill="auto"/>
          </w:tcPr>
          <w:p w14:paraId="48A109A1" w14:textId="77777777" w:rsidR="00561829" w:rsidRPr="00B70830" w:rsidRDefault="00561829" w:rsidP="00B70830">
            <w:pPr>
              <w:pStyle w:val="Tabletext"/>
            </w:pPr>
            <w:r w:rsidRPr="009676EE">
              <w:t>Court Network</w:t>
            </w:r>
          </w:p>
        </w:tc>
        <w:tc>
          <w:tcPr>
            <w:tcW w:w="1276" w:type="dxa"/>
            <w:shd w:val="clear" w:color="auto" w:fill="auto"/>
          </w:tcPr>
          <w:p w14:paraId="64FB32AA" w14:textId="77777777" w:rsidR="00561829" w:rsidRPr="00B70830" w:rsidRDefault="00561829" w:rsidP="00B70830">
            <w:pPr>
              <w:pStyle w:val="Tabletext"/>
              <w:jc w:val="right"/>
            </w:pPr>
            <w:r w:rsidRPr="009676EE">
              <w:t>730,125</w:t>
            </w:r>
          </w:p>
        </w:tc>
      </w:tr>
      <w:tr w:rsidR="00561829" w:rsidRPr="00B70830" w14:paraId="3C3FA0EB" w14:textId="77777777" w:rsidTr="00527946">
        <w:tc>
          <w:tcPr>
            <w:tcW w:w="4878" w:type="dxa"/>
            <w:shd w:val="clear" w:color="auto" w:fill="auto"/>
          </w:tcPr>
          <w:p w14:paraId="340A624E" w14:textId="77777777" w:rsidR="00561829" w:rsidRPr="00B70830" w:rsidRDefault="00561829" w:rsidP="00B70830">
            <w:pPr>
              <w:pStyle w:val="Tabletext"/>
            </w:pPr>
            <w:r w:rsidRPr="009676EE">
              <w:t>Department of Health and Human Services</w:t>
            </w:r>
          </w:p>
        </w:tc>
        <w:tc>
          <w:tcPr>
            <w:tcW w:w="1276" w:type="dxa"/>
            <w:shd w:val="clear" w:color="auto" w:fill="auto"/>
          </w:tcPr>
          <w:p w14:paraId="0D6A25FA" w14:textId="77777777" w:rsidR="00561829" w:rsidRPr="00B70830" w:rsidRDefault="00561829" w:rsidP="00B70830">
            <w:pPr>
              <w:pStyle w:val="Tabletext"/>
              <w:jc w:val="right"/>
            </w:pPr>
            <w:r w:rsidRPr="009676EE">
              <w:t>34,167</w:t>
            </w:r>
          </w:p>
        </w:tc>
      </w:tr>
      <w:tr w:rsidR="00561829" w:rsidRPr="00B70830" w14:paraId="3BBE234B" w14:textId="77777777" w:rsidTr="00527946">
        <w:tc>
          <w:tcPr>
            <w:tcW w:w="4878" w:type="dxa"/>
            <w:shd w:val="clear" w:color="auto" w:fill="auto"/>
          </w:tcPr>
          <w:p w14:paraId="700D1A94" w14:textId="77777777" w:rsidR="00561829" w:rsidRPr="00B70830" w:rsidRDefault="00561829" w:rsidP="00B70830">
            <w:pPr>
              <w:pStyle w:val="Tabletext"/>
            </w:pPr>
            <w:r w:rsidRPr="009676EE">
              <w:t>Department of Justice &amp; Regulation</w:t>
            </w:r>
          </w:p>
        </w:tc>
        <w:tc>
          <w:tcPr>
            <w:tcW w:w="1276" w:type="dxa"/>
            <w:shd w:val="clear" w:color="auto" w:fill="auto"/>
          </w:tcPr>
          <w:p w14:paraId="41C19D58" w14:textId="77777777" w:rsidR="00561829" w:rsidRPr="00B70830" w:rsidRDefault="00561829" w:rsidP="00B70830">
            <w:pPr>
              <w:pStyle w:val="Tabletext"/>
              <w:jc w:val="right"/>
            </w:pPr>
            <w:r w:rsidRPr="009676EE">
              <w:t>103,800</w:t>
            </w:r>
          </w:p>
        </w:tc>
      </w:tr>
      <w:tr w:rsidR="00561829" w:rsidRPr="00B70830" w14:paraId="09C73E41" w14:textId="77777777" w:rsidTr="00527946">
        <w:tc>
          <w:tcPr>
            <w:tcW w:w="4878" w:type="dxa"/>
            <w:shd w:val="clear" w:color="auto" w:fill="auto"/>
          </w:tcPr>
          <w:p w14:paraId="085CC46C" w14:textId="77777777" w:rsidR="00561829" w:rsidRPr="00B70830" w:rsidRDefault="00561829" w:rsidP="00B70830">
            <w:pPr>
              <w:pStyle w:val="Tabletext"/>
            </w:pPr>
            <w:r w:rsidRPr="009676EE">
              <w:t>Jesuit Social Services</w:t>
            </w:r>
          </w:p>
        </w:tc>
        <w:tc>
          <w:tcPr>
            <w:tcW w:w="1276" w:type="dxa"/>
            <w:shd w:val="clear" w:color="auto" w:fill="auto"/>
          </w:tcPr>
          <w:p w14:paraId="69E82458" w14:textId="77777777" w:rsidR="00561829" w:rsidRPr="00B70830" w:rsidRDefault="00561829" w:rsidP="00B70830">
            <w:pPr>
              <w:pStyle w:val="Tabletext"/>
              <w:jc w:val="right"/>
            </w:pPr>
            <w:r w:rsidRPr="009676EE">
              <w:t>136,364</w:t>
            </w:r>
          </w:p>
        </w:tc>
      </w:tr>
      <w:tr w:rsidR="00561829" w:rsidRPr="00B70830" w14:paraId="700B3070" w14:textId="77777777" w:rsidTr="00527946">
        <w:tc>
          <w:tcPr>
            <w:tcW w:w="4878" w:type="dxa"/>
            <w:shd w:val="clear" w:color="auto" w:fill="auto"/>
          </w:tcPr>
          <w:p w14:paraId="3BAC07E0" w14:textId="77777777" w:rsidR="00561829" w:rsidRPr="00B70830" w:rsidRDefault="00561829" w:rsidP="00B70830">
            <w:pPr>
              <w:pStyle w:val="Tabletext"/>
            </w:pPr>
            <w:r w:rsidRPr="009676EE">
              <w:t>Judic</w:t>
            </w:r>
            <w:r>
              <w:t>i</w:t>
            </w:r>
            <w:r w:rsidRPr="009676EE">
              <w:t>al College of Victoria</w:t>
            </w:r>
          </w:p>
        </w:tc>
        <w:tc>
          <w:tcPr>
            <w:tcW w:w="1276" w:type="dxa"/>
            <w:shd w:val="clear" w:color="auto" w:fill="auto"/>
          </w:tcPr>
          <w:p w14:paraId="51B6E20F" w14:textId="77777777" w:rsidR="00561829" w:rsidRPr="00B70830" w:rsidRDefault="00561829" w:rsidP="00561829">
            <w:pPr>
              <w:pStyle w:val="Tabletext"/>
              <w:jc w:val="right"/>
            </w:pPr>
            <w:r w:rsidRPr="009676EE">
              <w:t>2,09</w:t>
            </w:r>
            <w:r>
              <w:t>8</w:t>
            </w:r>
            <w:r w:rsidRPr="009676EE">
              <w:t>,</w:t>
            </w:r>
            <w:r>
              <w:t>6</w:t>
            </w:r>
            <w:r w:rsidRPr="009676EE">
              <w:t>00</w:t>
            </w:r>
          </w:p>
        </w:tc>
      </w:tr>
      <w:tr w:rsidR="00561829" w:rsidRPr="00B70830" w14:paraId="0721246B" w14:textId="77777777" w:rsidTr="00527946">
        <w:tc>
          <w:tcPr>
            <w:tcW w:w="4878" w:type="dxa"/>
            <w:shd w:val="clear" w:color="auto" w:fill="auto"/>
          </w:tcPr>
          <w:p w14:paraId="784E3477" w14:textId="77777777" w:rsidR="00561829" w:rsidRPr="009676EE" w:rsidRDefault="00561829" w:rsidP="00B70830">
            <w:pPr>
              <w:pStyle w:val="Tabletext"/>
            </w:pPr>
            <w:r>
              <w:t>Luke Batty Foundation</w:t>
            </w:r>
          </w:p>
        </w:tc>
        <w:tc>
          <w:tcPr>
            <w:tcW w:w="1276" w:type="dxa"/>
            <w:shd w:val="clear" w:color="auto" w:fill="auto"/>
          </w:tcPr>
          <w:p w14:paraId="6B3FBC21" w14:textId="77777777" w:rsidR="00561829" w:rsidRPr="009676EE" w:rsidRDefault="00561829" w:rsidP="00F56DEF">
            <w:pPr>
              <w:pStyle w:val="Tabletext"/>
              <w:jc w:val="right"/>
            </w:pPr>
            <w:r>
              <w:t>25,000</w:t>
            </w:r>
          </w:p>
        </w:tc>
      </w:tr>
      <w:tr w:rsidR="00561829" w:rsidRPr="00B70830" w14:paraId="20930445" w14:textId="77777777" w:rsidTr="00527946">
        <w:tc>
          <w:tcPr>
            <w:tcW w:w="4878" w:type="dxa"/>
            <w:shd w:val="clear" w:color="auto" w:fill="auto"/>
          </w:tcPr>
          <w:p w14:paraId="6448B4F8" w14:textId="77777777" w:rsidR="00561829" w:rsidRPr="00B70830" w:rsidRDefault="00561829" w:rsidP="00B70830">
            <w:pPr>
              <w:pStyle w:val="Tabletext"/>
            </w:pPr>
            <w:r w:rsidRPr="009676EE">
              <w:t>Supreme Court Library</w:t>
            </w:r>
          </w:p>
        </w:tc>
        <w:tc>
          <w:tcPr>
            <w:tcW w:w="1276" w:type="dxa"/>
            <w:shd w:val="clear" w:color="auto" w:fill="auto"/>
          </w:tcPr>
          <w:p w14:paraId="545373EC" w14:textId="77777777" w:rsidR="00561829" w:rsidRPr="00B70830" w:rsidRDefault="00561829" w:rsidP="00B70830">
            <w:pPr>
              <w:pStyle w:val="Tabletext"/>
              <w:jc w:val="right"/>
            </w:pPr>
            <w:r w:rsidRPr="009676EE">
              <w:t>350,000</w:t>
            </w:r>
          </w:p>
        </w:tc>
      </w:tr>
      <w:tr w:rsidR="00B70830" w:rsidRPr="00B70830" w14:paraId="3A18C6EF" w14:textId="77777777" w:rsidTr="00527946">
        <w:tc>
          <w:tcPr>
            <w:tcW w:w="4878" w:type="dxa"/>
            <w:shd w:val="clear" w:color="auto" w:fill="auto"/>
          </w:tcPr>
          <w:p w14:paraId="050363B7" w14:textId="004FF2A9" w:rsidR="00B70830" w:rsidRPr="00B70830" w:rsidRDefault="00B70830" w:rsidP="00B70830">
            <w:pPr>
              <w:pStyle w:val="Tabletext"/>
            </w:pPr>
            <w:r w:rsidRPr="009676EE">
              <w:t>Other minor grants</w:t>
            </w:r>
          </w:p>
        </w:tc>
        <w:tc>
          <w:tcPr>
            <w:tcW w:w="1276" w:type="dxa"/>
            <w:shd w:val="clear" w:color="auto" w:fill="auto"/>
          </w:tcPr>
          <w:p w14:paraId="6E1516CE" w14:textId="72CB6A61" w:rsidR="00B70830" w:rsidRPr="00B70830" w:rsidRDefault="00974D79" w:rsidP="00B70830">
            <w:pPr>
              <w:pStyle w:val="Tabletext"/>
              <w:jc w:val="right"/>
            </w:pPr>
            <w:r>
              <w:t>198,288</w:t>
            </w:r>
          </w:p>
        </w:tc>
      </w:tr>
      <w:tr w:rsidR="00B70830" w:rsidRPr="009135CE" w14:paraId="22FB0959" w14:textId="77777777" w:rsidTr="00F242C2">
        <w:tc>
          <w:tcPr>
            <w:tcW w:w="4878" w:type="dxa"/>
            <w:shd w:val="clear" w:color="auto" w:fill="auto"/>
          </w:tcPr>
          <w:p w14:paraId="731E70AC" w14:textId="77777777" w:rsidR="00B70830" w:rsidRPr="00B70830" w:rsidRDefault="00B70830" w:rsidP="00B70830">
            <w:pPr>
              <w:pStyle w:val="Tabletext"/>
            </w:pPr>
            <w:r w:rsidRPr="00B70830">
              <w:rPr>
                <w:b/>
              </w:rPr>
              <w:t>Total grants and other transfers</w:t>
            </w:r>
          </w:p>
        </w:tc>
        <w:tc>
          <w:tcPr>
            <w:tcW w:w="1276" w:type="dxa"/>
            <w:shd w:val="clear" w:color="auto" w:fill="auto"/>
          </w:tcPr>
          <w:p w14:paraId="71D567C6" w14:textId="6CA54B76" w:rsidR="00B70830" w:rsidRPr="008D4F7A" w:rsidRDefault="00B70830" w:rsidP="00B70830">
            <w:pPr>
              <w:pStyle w:val="Tabletext"/>
              <w:jc w:val="right"/>
              <w:rPr>
                <w:b/>
              </w:rPr>
            </w:pPr>
            <w:r w:rsidRPr="008D4F7A">
              <w:rPr>
                <w:b/>
              </w:rPr>
              <w:t>3,760,068</w:t>
            </w:r>
          </w:p>
        </w:tc>
      </w:tr>
    </w:tbl>
    <w:p w14:paraId="13A25CE6" w14:textId="77777777" w:rsidR="00CF273E" w:rsidRPr="009135CE" w:rsidRDefault="00CF273E" w:rsidP="00C302B0">
      <w:pPr>
        <w:rPr>
          <w:highlight w:val="yellow"/>
        </w:rPr>
      </w:pPr>
    </w:p>
    <w:p w14:paraId="1A9263C4" w14:textId="77777777" w:rsidR="00CF273E" w:rsidRPr="00CF273E" w:rsidRDefault="00653CB0" w:rsidP="00653CB0">
      <w:pPr>
        <w:pStyle w:val="Heading1"/>
      </w:pPr>
      <w:r>
        <w:br w:type="page"/>
      </w:r>
      <w:bookmarkStart w:id="19" w:name="_Toc466381170"/>
      <w:r w:rsidR="00CF273E" w:rsidRPr="00CF273E">
        <w:t>SECTION 3:</w:t>
      </w:r>
      <w:r w:rsidR="005459C6">
        <w:t xml:space="preserve"> </w:t>
      </w:r>
      <w:r w:rsidR="00CF273E" w:rsidRPr="00CF273E">
        <w:t>WORKFORCE DATA</w:t>
      </w:r>
      <w:bookmarkEnd w:id="19"/>
    </w:p>
    <w:p w14:paraId="7D0A1810" w14:textId="2934E10A" w:rsidR="00C62F57" w:rsidRPr="004A0989" w:rsidRDefault="008836AC" w:rsidP="00C62F57">
      <w:pPr>
        <w:pStyle w:val="Heading2"/>
      </w:pPr>
      <w:bookmarkStart w:id="20" w:name="_Toc466381171"/>
      <w:r>
        <w:t>Workforce Data</w:t>
      </w:r>
      <w:bookmarkEnd w:id="20"/>
    </w:p>
    <w:p w14:paraId="0060A624" w14:textId="77777777" w:rsidR="005767BC" w:rsidRDefault="005767BC" w:rsidP="00643BCF">
      <w:r w:rsidRPr="004A0989">
        <w:t xml:space="preserve">People and Culture undertakes monitoring of CSV-wide workforce data. </w:t>
      </w:r>
    </w:p>
    <w:p w14:paraId="0DDE2F0A" w14:textId="77777777" w:rsidR="00643BCF" w:rsidRPr="004A0989" w:rsidRDefault="00643BCF" w:rsidP="00643BCF"/>
    <w:p w14:paraId="16D26B47" w14:textId="77777777" w:rsidR="005767BC" w:rsidRPr="004A0989" w:rsidRDefault="005767BC" w:rsidP="00643BCF">
      <w:r w:rsidRPr="004A0989">
        <w:t>The data provided is actual full-time equivalent (FTE) data for VPS employees and does not include Statutory Appointees.</w:t>
      </w:r>
    </w:p>
    <w:p w14:paraId="216A3F1D" w14:textId="77777777" w:rsidR="005767BC" w:rsidRPr="004A0989" w:rsidRDefault="005767BC" w:rsidP="005767BC">
      <w:pPr>
        <w:pStyle w:val="BodyText"/>
      </w:pPr>
    </w:p>
    <w:p w14:paraId="040405D9" w14:textId="2EC3A6E3" w:rsidR="005767BC" w:rsidRPr="004A0989" w:rsidRDefault="005767BC" w:rsidP="005767BC">
      <w:pPr>
        <w:pStyle w:val="Caption"/>
      </w:pPr>
      <w:r w:rsidRPr="004A0989">
        <w:t xml:space="preserve">Table </w:t>
      </w:r>
      <w:r w:rsidR="009A41BE">
        <w:t>5</w:t>
      </w:r>
      <w:r w:rsidRPr="004A0989">
        <w:t xml:space="preserve">: </w:t>
      </w:r>
      <w:r w:rsidRPr="004A0989">
        <w:tab/>
        <w:t>Full time equivalent (FTE) staffing</w:t>
      </w:r>
    </w:p>
    <w:tbl>
      <w:tblPr>
        <w:tblW w:w="0" w:type="auto"/>
        <w:tblBorders>
          <w:top w:val="single" w:sz="4" w:space="0" w:color="auto"/>
          <w:bottom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4115"/>
        <w:gridCol w:w="927"/>
      </w:tblGrid>
      <w:tr w:rsidR="005767BC" w:rsidRPr="004A0989" w14:paraId="091E52EE" w14:textId="77777777" w:rsidTr="00B539FA">
        <w:tc>
          <w:tcPr>
            <w:tcW w:w="4115" w:type="dxa"/>
            <w:shd w:val="clear" w:color="auto" w:fill="auto"/>
          </w:tcPr>
          <w:p w14:paraId="2961185F" w14:textId="77777777" w:rsidR="005767BC" w:rsidRPr="004A0989" w:rsidRDefault="005767BC" w:rsidP="00B539FA">
            <w:pPr>
              <w:pStyle w:val="Tabletext"/>
            </w:pPr>
            <w:r w:rsidRPr="004A0989">
              <w:t>Full Time Equivalent – 30 June 2015</w:t>
            </w:r>
          </w:p>
        </w:tc>
        <w:tc>
          <w:tcPr>
            <w:tcW w:w="927" w:type="dxa"/>
            <w:shd w:val="clear" w:color="auto" w:fill="auto"/>
          </w:tcPr>
          <w:p w14:paraId="0CF0B361" w14:textId="77777777" w:rsidR="005767BC" w:rsidRPr="004A0989" w:rsidRDefault="005767BC" w:rsidP="00B539FA">
            <w:pPr>
              <w:pStyle w:val="Tabletext"/>
            </w:pPr>
            <w:r w:rsidRPr="004A0989">
              <w:t>1,665.7</w:t>
            </w:r>
          </w:p>
        </w:tc>
      </w:tr>
      <w:tr w:rsidR="005767BC" w:rsidRPr="004A0989" w14:paraId="2A041F56" w14:textId="77777777" w:rsidTr="00B539FA">
        <w:tc>
          <w:tcPr>
            <w:tcW w:w="4115" w:type="dxa"/>
            <w:shd w:val="clear" w:color="auto" w:fill="auto"/>
          </w:tcPr>
          <w:p w14:paraId="6B601AE6" w14:textId="77777777" w:rsidR="005767BC" w:rsidRPr="004A0989" w:rsidRDefault="005767BC" w:rsidP="00B539FA">
            <w:pPr>
              <w:pStyle w:val="Tabletext"/>
            </w:pPr>
            <w:r w:rsidRPr="004A0989">
              <w:t>Full Time Equivalent – 30 June 2016</w:t>
            </w:r>
          </w:p>
        </w:tc>
        <w:tc>
          <w:tcPr>
            <w:tcW w:w="927" w:type="dxa"/>
            <w:shd w:val="clear" w:color="auto" w:fill="auto"/>
          </w:tcPr>
          <w:p w14:paraId="60F4CA5C" w14:textId="77777777" w:rsidR="005767BC" w:rsidRPr="004A0989" w:rsidRDefault="005767BC" w:rsidP="00B539FA">
            <w:pPr>
              <w:pStyle w:val="Tabletext"/>
            </w:pPr>
            <w:r w:rsidRPr="004A0989">
              <w:t>1,639.3</w:t>
            </w:r>
          </w:p>
        </w:tc>
      </w:tr>
    </w:tbl>
    <w:p w14:paraId="7B330001" w14:textId="77777777" w:rsidR="005767BC" w:rsidRPr="004A0989" w:rsidRDefault="005767BC" w:rsidP="005767BC">
      <w:pPr>
        <w:rPr>
          <w:szCs w:val="20"/>
        </w:rPr>
      </w:pPr>
    </w:p>
    <w:p w14:paraId="6E94176D" w14:textId="77777777" w:rsidR="005767BC" w:rsidRPr="004A0989" w:rsidRDefault="005767BC" w:rsidP="005767BC">
      <w:pPr>
        <w:rPr>
          <w:szCs w:val="20"/>
        </w:rPr>
      </w:pPr>
    </w:p>
    <w:p w14:paraId="4253B48C" w14:textId="22E624BD" w:rsidR="005767BC" w:rsidRPr="004A0989" w:rsidRDefault="005767BC" w:rsidP="005767BC">
      <w:pPr>
        <w:pStyle w:val="Caption"/>
      </w:pPr>
      <w:r w:rsidRPr="004A0989">
        <w:t xml:space="preserve">Table </w:t>
      </w:r>
      <w:r w:rsidR="009A41BE">
        <w:t>6</w:t>
      </w:r>
      <w:r w:rsidRPr="004A0989">
        <w:t xml:space="preserve">: </w:t>
      </w:r>
      <w:r w:rsidRPr="004A0989">
        <w:tab/>
        <w:t>Summary of employment levels</w:t>
      </w:r>
    </w:p>
    <w:tbl>
      <w:tblPr>
        <w:tblW w:w="8988" w:type="dxa"/>
        <w:tblBorders>
          <w:top w:val="single" w:sz="4" w:space="0" w:color="auto"/>
          <w:bottom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1642"/>
        <w:gridCol w:w="1434"/>
        <w:gridCol w:w="1434"/>
        <w:gridCol w:w="1434"/>
        <w:gridCol w:w="1343"/>
        <w:gridCol w:w="1701"/>
      </w:tblGrid>
      <w:tr w:rsidR="005767BC" w:rsidRPr="004A0989" w14:paraId="79A081B6" w14:textId="77777777" w:rsidTr="00B539FA">
        <w:tc>
          <w:tcPr>
            <w:tcW w:w="1642" w:type="dxa"/>
            <w:shd w:val="clear" w:color="auto" w:fill="auto"/>
          </w:tcPr>
          <w:p w14:paraId="204233C1" w14:textId="77777777" w:rsidR="005767BC" w:rsidRPr="004A0989" w:rsidRDefault="005767BC" w:rsidP="00B539FA">
            <w:pPr>
              <w:rPr>
                <w:b/>
                <w:sz w:val="20"/>
                <w:szCs w:val="20"/>
              </w:rPr>
            </w:pPr>
          </w:p>
        </w:tc>
        <w:tc>
          <w:tcPr>
            <w:tcW w:w="5645" w:type="dxa"/>
            <w:gridSpan w:val="4"/>
            <w:shd w:val="clear" w:color="auto" w:fill="auto"/>
          </w:tcPr>
          <w:p w14:paraId="26C8453D" w14:textId="77777777" w:rsidR="005767BC" w:rsidRPr="004A0989" w:rsidRDefault="005767BC" w:rsidP="00B539FA">
            <w:pPr>
              <w:rPr>
                <w:b/>
                <w:sz w:val="20"/>
                <w:szCs w:val="20"/>
              </w:rPr>
            </w:pPr>
            <w:r w:rsidRPr="004A0989">
              <w:rPr>
                <w:b/>
                <w:sz w:val="20"/>
                <w:szCs w:val="20"/>
              </w:rPr>
              <w:t>Ongoing employees</w:t>
            </w:r>
          </w:p>
        </w:tc>
        <w:tc>
          <w:tcPr>
            <w:tcW w:w="1701" w:type="dxa"/>
            <w:shd w:val="clear" w:color="auto" w:fill="auto"/>
          </w:tcPr>
          <w:p w14:paraId="6C14EBA1" w14:textId="77777777" w:rsidR="005767BC" w:rsidRPr="004A0989" w:rsidRDefault="005767BC" w:rsidP="00B539FA">
            <w:pPr>
              <w:rPr>
                <w:b/>
                <w:sz w:val="20"/>
                <w:szCs w:val="20"/>
              </w:rPr>
            </w:pPr>
            <w:r w:rsidRPr="004A0989">
              <w:rPr>
                <w:b/>
                <w:sz w:val="20"/>
                <w:szCs w:val="20"/>
              </w:rPr>
              <w:t>Fixed term and casual employees</w:t>
            </w:r>
          </w:p>
        </w:tc>
      </w:tr>
      <w:tr w:rsidR="005767BC" w:rsidRPr="004A0989" w14:paraId="73438F59" w14:textId="77777777" w:rsidTr="00B539FA">
        <w:tc>
          <w:tcPr>
            <w:tcW w:w="1642" w:type="dxa"/>
            <w:shd w:val="clear" w:color="auto" w:fill="auto"/>
          </w:tcPr>
          <w:p w14:paraId="1D9D17A2" w14:textId="77777777" w:rsidR="005767BC" w:rsidRPr="004A0989" w:rsidRDefault="005767BC" w:rsidP="00B539FA">
            <w:pPr>
              <w:rPr>
                <w:b/>
                <w:sz w:val="20"/>
                <w:szCs w:val="20"/>
              </w:rPr>
            </w:pPr>
          </w:p>
        </w:tc>
        <w:tc>
          <w:tcPr>
            <w:tcW w:w="1434" w:type="dxa"/>
            <w:shd w:val="clear" w:color="auto" w:fill="auto"/>
          </w:tcPr>
          <w:p w14:paraId="2EA066B6" w14:textId="77777777" w:rsidR="005767BC" w:rsidRPr="004A0989" w:rsidRDefault="005767BC" w:rsidP="00B539FA">
            <w:pPr>
              <w:jc w:val="center"/>
              <w:rPr>
                <w:sz w:val="20"/>
                <w:szCs w:val="20"/>
              </w:rPr>
            </w:pPr>
            <w:r w:rsidRPr="004A0989">
              <w:rPr>
                <w:sz w:val="20"/>
                <w:szCs w:val="20"/>
              </w:rPr>
              <w:t>Number</w:t>
            </w:r>
          </w:p>
          <w:p w14:paraId="5A912B2F" w14:textId="77777777" w:rsidR="005767BC" w:rsidRPr="004A0989" w:rsidRDefault="005767BC" w:rsidP="00B539FA">
            <w:pPr>
              <w:jc w:val="center"/>
              <w:rPr>
                <w:b/>
                <w:sz w:val="20"/>
                <w:szCs w:val="20"/>
              </w:rPr>
            </w:pPr>
            <w:r w:rsidRPr="004A0989">
              <w:rPr>
                <w:sz w:val="20"/>
                <w:szCs w:val="20"/>
              </w:rPr>
              <w:t>(headcount)</w:t>
            </w:r>
          </w:p>
        </w:tc>
        <w:tc>
          <w:tcPr>
            <w:tcW w:w="1434" w:type="dxa"/>
            <w:shd w:val="clear" w:color="auto" w:fill="auto"/>
          </w:tcPr>
          <w:p w14:paraId="0E328677" w14:textId="77777777" w:rsidR="005767BC" w:rsidRPr="004A0989" w:rsidRDefault="005767BC" w:rsidP="00B539FA">
            <w:pPr>
              <w:jc w:val="center"/>
              <w:rPr>
                <w:sz w:val="20"/>
                <w:szCs w:val="20"/>
              </w:rPr>
            </w:pPr>
            <w:r w:rsidRPr="004A0989">
              <w:rPr>
                <w:sz w:val="20"/>
                <w:szCs w:val="20"/>
              </w:rPr>
              <w:t>Full time</w:t>
            </w:r>
          </w:p>
          <w:p w14:paraId="435D3548" w14:textId="77777777" w:rsidR="005767BC" w:rsidRPr="004A0989" w:rsidRDefault="005767BC" w:rsidP="00B539FA">
            <w:pPr>
              <w:jc w:val="center"/>
              <w:rPr>
                <w:b/>
                <w:sz w:val="20"/>
                <w:szCs w:val="20"/>
              </w:rPr>
            </w:pPr>
            <w:r w:rsidRPr="004A0989">
              <w:rPr>
                <w:sz w:val="20"/>
                <w:szCs w:val="20"/>
              </w:rPr>
              <w:t>(headcount)</w:t>
            </w:r>
          </w:p>
        </w:tc>
        <w:tc>
          <w:tcPr>
            <w:tcW w:w="1434" w:type="dxa"/>
            <w:shd w:val="clear" w:color="auto" w:fill="auto"/>
          </w:tcPr>
          <w:p w14:paraId="69D1F1E1" w14:textId="77777777" w:rsidR="005767BC" w:rsidRPr="004A0989" w:rsidRDefault="005767BC" w:rsidP="00B539FA">
            <w:pPr>
              <w:jc w:val="center"/>
              <w:rPr>
                <w:sz w:val="20"/>
                <w:szCs w:val="20"/>
              </w:rPr>
            </w:pPr>
            <w:r w:rsidRPr="004A0989">
              <w:rPr>
                <w:sz w:val="20"/>
                <w:szCs w:val="20"/>
              </w:rPr>
              <w:t>Part time</w:t>
            </w:r>
          </w:p>
          <w:p w14:paraId="36394611" w14:textId="77777777" w:rsidR="005767BC" w:rsidRPr="004A0989" w:rsidRDefault="005767BC" w:rsidP="00B539FA">
            <w:pPr>
              <w:jc w:val="center"/>
              <w:rPr>
                <w:b/>
                <w:sz w:val="20"/>
                <w:szCs w:val="20"/>
              </w:rPr>
            </w:pPr>
            <w:r w:rsidRPr="004A0989">
              <w:rPr>
                <w:sz w:val="20"/>
                <w:szCs w:val="20"/>
              </w:rPr>
              <w:t>(headcount)</w:t>
            </w:r>
          </w:p>
        </w:tc>
        <w:tc>
          <w:tcPr>
            <w:tcW w:w="1343" w:type="dxa"/>
            <w:shd w:val="clear" w:color="auto" w:fill="auto"/>
          </w:tcPr>
          <w:p w14:paraId="4E41C148" w14:textId="77777777" w:rsidR="005767BC" w:rsidRPr="004A0989" w:rsidRDefault="005767BC" w:rsidP="00B539FA">
            <w:pPr>
              <w:jc w:val="center"/>
              <w:rPr>
                <w:b/>
                <w:sz w:val="20"/>
                <w:szCs w:val="20"/>
              </w:rPr>
            </w:pPr>
            <w:r w:rsidRPr="004A0989">
              <w:rPr>
                <w:sz w:val="20"/>
                <w:szCs w:val="20"/>
              </w:rPr>
              <w:t>FTE</w:t>
            </w:r>
          </w:p>
        </w:tc>
        <w:tc>
          <w:tcPr>
            <w:tcW w:w="1701" w:type="dxa"/>
            <w:shd w:val="clear" w:color="auto" w:fill="auto"/>
          </w:tcPr>
          <w:p w14:paraId="4BA0CF75" w14:textId="77777777" w:rsidR="005767BC" w:rsidRPr="004A0989" w:rsidRDefault="005767BC" w:rsidP="00B539FA">
            <w:pPr>
              <w:jc w:val="center"/>
              <w:rPr>
                <w:b/>
                <w:sz w:val="20"/>
                <w:szCs w:val="20"/>
              </w:rPr>
            </w:pPr>
            <w:r w:rsidRPr="004A0989">
              <w:rPr>
                <w:sz w:val="20"/>
                <w:szCs w:val="20"/>
              </w:rPr>
              <w:t>FTE</w:t>
            </w:r>
          </w:p>
        </w:tc>
      </w:tr>
      <w:tr w:rsidR="005767BC" w:rsidRPr="004A0989" w14:paraId="7DFC3FFC" w14:textId="77777777" w:rsidTr="00B539FA">
        <w:tc>
          <w:tcPr>
            <w:tcW w:w="1642" w:type="dxa"/>
            <w:shd w:val="clear" w:color="auto" w:fill="auto"/>
          </w:tcPr>
          <w:p w14:paraId="01DF2CFE" w14:textId="77777777" w:rsidR="005767BC" w:rsidRPr="004A0989" w:rsidRDefault="005767BC" w:rsidP="00B539FA">
            <w:pPr>
              <w:rPr>
                <w:sz w:val="20"/>
                <w:szCs w:val="20"/>
              </w:rPr>
            </w:pPr>
            <w:r w:rsidRPr="004A0989">
              <w:rPr>
                <w:sz w:val="20"/>
                <w:szCs w:val="20"/>
              </w:rPr>
              <w:t>June 2015</w:t>
            </w:r>
          </w:p>
        </w:tc>
        <w:tc>
          <w:tcPr>
            <w:tcW w:w="1434" w:type="dxa"/>
            <w:shd w:val="clear" w:color="auto" w:fill="auto"/>
          </w:tcPr>
          <w:p w14:paraId="69CDAFDD" w14:textId="77777777" w:rsidR="005767BC" w:rsidRPr="004A0989" w:rsidRDefault="005767BC" w:rsidP="00B539FA">
            <w:pPr>
              <w:jc w:val="right"/>
              <w:rPr>
                <w:b/>
                <w:sz w:val="20"/>
                <w:szCs w:val="20"/>
              </w:rPr>
            </w:pPr>
            <w:r w:rsidRPr="004A0989">
              <w:rPr>
                <w:sz w:val="20"/>
                <w:szCs w:val="20"/>
              </w:rPr>
              <w:t>1,542</w:t>
            </w:r>
          </w:p>
        </w:tc>
        <w:tc>
          <w:tcPr>
            <w:tcW w:w="1434" w:type="dxa"/>
            <w:shd w:val="clear" w:color="auto" w:fill="auto"/>
          </w:tcPr>
          <w:p w14:paraId="12E095D8" w14:textId="77777777" w:rsidR="005767BC" w:rsidRPr="004A0989" w:rsidRDefault="005767BC" w:rsidP="00B539FA">
            <w:pPr>
              <w:jc w:val="right"/>
              <w:rPr>
                <w:b/>
                <w:sz w:val="20"/>
                <w:szCs w:val="20"/>
              </w:rPr>
            </w:pPr>
            <w:r w:rsidRPr="004A0989">
              <w:rPr>
                <w:sz w:val="20"/>
                <w:szCs w:val="20"/>
              </w:rPr>
              <w:t>1,297</w:t>
            </w:r>
          </w:p>
        </w:tc>
        <w:tc>
          <w:tcPr>
            <w:tcW w:w="1434" w:type="dxa"/>
            <w:shd w:val="clear" w:color="auto" w:fill="auto"/>
          </w:tcPr>
          <w:p w14:paraId="4CE140CE" w14:textId="77777777" w:rsidR="005767BC" w:rsidRPr="004A0989" w:rsidRDefault="005767BC" w:rsidP="00B539FA">
            <w:pPr>
              <w:jc w:val="right"/>
              <w:rPr>
                <w:b/>
                <w:sz w:val="20"/>
                <w:szCs w:val="20"/>
              </w:rPr>
            </w:pPr>
            <w:r w:rsidRPr="004A0989">
              <w:rPr>
                <w:sz w:val="20"/>
                <w:szCs w:val="20"/>
              </w:rPr>
              <w:t>245</w:t>
            </w:r>
          </w:p>
        </w:tc>
        <w:tc>
          <w:tcPr>
            <w:tcW w:w="1343" w:type="dxa"/>
            <w:shd w:val="clear" w:color="auto" w:fill="auto"/>
          </w:tcPr>
          <w:p w14:paraId="788007A8" w14:textId="77777777" w:rsidR="005767BC" w:rsidRPr="004A0989" w:rsidRDefault="005767BC" w:rsidP="00B539FA">
            <w:pPr>
              <w:jc w:val="right"/>
              <w:rPr>
                <w:b/>
                <w:sz w:val="20"/>
                <w:szCs w:val="20"/>
              </w:rPr>
            </w:pPr>
            <w:r w:rsidRPr="004A0989">
              <w:rPr>
                <w:sz w:val="20"/>
                <w:szCs w:val="20"/>
              </w:rPr>
              <w:t>1,446.5</w:t>
            </w:r>
          </w:p>
        </w:tc>
        <w:tc>
          <w:tcPr>
            <w:tcW w:w="1701" w:type="dxa"/>
            <w:shd w:val="clear" w:color="auto" w:fill="auto"/>
          </w:tcPr>
          <w:p w14:paraId="62B2BCA7" w14:textId="77777777" w:rsidR="005767BC" w:rsidRPr="004A0989" w:rsidRDefault="005767BC" w:rsidP="00B539FA">
            <w:pPr>
              <w:jc w:val="right"/>
              <w:rPr>
                <w:b/>
                <w:sz w:val="20"/>
                <w:szCs w:val="20"/>
              </w:rPr>
            </w:pPr>
            <w:r w:rsidRPr="004A0989">
              <w:rPr>
                <w:sz w:val="20"/>
                <w:szCs w:val="20"/>
              </w:rPr>
              <w:t>219.2</w:t>
            </w:r>
          </w:p>
        </w:tc>
      </w:tr>
      <w:tr w:rsidR="005767BC" w:rsidRPr="004A0989" w14:paraId="4F5A81C8" w14:textId="77777777" w:rsidTr="00B539FA">
        <w:tc>
          <w:tcPr>
            <w:tcW w:w="1642" w:type="dxa"/>
            <w:shd w:val="clear" w:color="auto" w:fill="auto"/>
          </w:tcPr>
          <w:p w14:paraId="512FA746" w14:textId="77777777" w:rsidR="005767BC" w:rsidRPr="004A0989" w:rsidRDefault="005767BC" w:rsidP="00B539FA">
            <w:pPr>
              <w:rPr>
                <w:sz w:val="20"/>
                <w:szCs w:val="20"/>
              </w:rPr>
            </w:pPr>
            <w:r w:rsidRPr="004A0989">
              <w:rPr>
                <w:sz w:val="20"/>
                <w:szCs w:val="20"/>
              </w:rPr>
              <w:t>June 2016</w:t>
            </w:r>
          </w:p>
        </w:tc>
        <w:tc>
          <w:tcPr>
            <w:tcW w:w="1434" w:type="dxa"/>
            <w:shd w:val="clear" w:color="auto" w:fill="auto"/>
          </w:tcPr>
          <w:p w14:paraId="2C3104AB" w14:textId="77777777" w:rsidR="005767BC" w:rsidRPr="004A0989" w:rsidRDefault="005767BC" w:rsidP="00B539FA">
            <w:pPr>
              <w:jc w:val="right"/>
              <w:rPr>
                <w:sz w:val="20"/>
                <w:szCs w:val="20"/>
              </w:rPr>
            </w:pPr>
            <w:r w:rsidRPr="004A0989">
              <w:rPr>
                <w:sz w:val="20"/>
                <w:szCs w:val="20"/>
              </w:rPr>
              <w:t>1,497</w:t>
            </w:r>
          </w:p>
        </w:tc>
        <w:tc>
          <w:tcPr>
            <w:tcW w:w="1434" w:type="dxa"/>
            <w:shd w:val="clear" w:color="auto" w:fill="auto"/>
          </w:tcPr>
          <w:p w14:paraId="6F8CDE99" w14:textId="77777777" w:rsidR="005767BC" w:rsidRPr="004A0989" w:rsidRDefault="005767BC" w:rsidP="00B539FA">
            <w:pPr>
              <w:jc w:val="right"/>
              <w:rPr>
                <w:sz w:val="20"/>
                <w:szCs w:val="20"/>
              </w:rPr>
            </w:pPr>
            <w:r w:rsidRPr="004A0989">
              <w:rPr>
                <w:sz w:val="20"/>
                <w:szCs w:val="20"/>
              </w:rPr>
              <w:t>1,242</w:t>
            </w:r>
          </w:p>
        </w:tc>
        <w:tc>
          <w:tcPr>
            <w:tcW w:w="1434" w:type="dxa"/>
            <w:shd w:val="clear" w:color="auto" w:fill="auto"/>
          </w:tcPr>
          <w:p w14:paraId="0A44828E" w14:textId="77777777" w:rsidR="005767BC" w:rsidRPr="004A0989" w:rsidRDefault="005767BC" w:rsidP="00B539FA">
            <w:pPr>
              <w:jc w:val="right"/>
              <w:rPr>
                <w:sz w:val="20"/>
                <w:szCs w:val="20"/>
              </w:rPr>
            </w:pPr>
            <w:r w:rsidRPr="004A0989">
              <w:rPr>
                <w:sz w:val="20"/>
                <w:szCs w:val="20"/>
              </w:rPr>
              <w:t>255</w:t>
            </w:r>
          </w:p>
        </w:tc>
        <w:tc>
          <w:tcPr>
            <w:tcW w:w="1343" w:type="dxa"/>
            <w:shd w:val="clear" w:color="auto" w:fill="auto"/>
          </w:tcPr>
          <w:p w14:paraId="01513584" w14:textId="77777777" w:rsidR="005767BC" w:rsidRPr="004A0989" w:rsidRDefault="005767BC" w:rsidP="00B539FA">
            <w:pPr>
              <w:jc w:val="right"/>
              <w:rPr>
                <w:sz w:val="20"/>
                <w:szCs w:val="20"/>
              </w:rPr>
            </w:pPr>
            <w:r w:rsidRPr="004A0989">
              <w:rPr>
                <w:sz w:val="20"/>
                <w:szCs w:val="20"/>
              </w:rPr>
              <w:t>1,400.5</w:t>
            </w:r>
          </w:p>
        </w:tc>
        <w:tc>
          <w:tcPr>
            <w:tcW w:w="1701" w:type="dxa"/>
            <w:shd w:val="clear" w:color="auto" w:fill="auto"/>
          </w:tcPr>
          <w:p w14:paraId="237EB7B6" w14:textId="77777777" w:rsidR="005767BC" w:rsidRPr="004A0989" w:rsidRDefault="005767BC" w:rsidP="00B539FA">
            <w:pPr>
              <w:jc w:val="right"/>
              <w:rPr>
                <w:sz w:val="20"/>
                <w:szCs w:val="20"/>
              </w:rPr>
            </w:pPr>
            <w:r w:rsidRPr="004A0989">
              <w:rPr>
                <w:sz w:val="20"/>
                <w:szCs w:val="20"/>
              </w:rPr>
              <w:t>238.8</w:t>
            </w:r>
          </w:p>
        </w:tc>
      </w:tr>
    </w:tbl>
    <w:p w14:paraId="5E31B1A1" w14:textId="77777777" w:rsidR="005767BC" w:rsidRPr="004A0989" w:rsidRDefault="005767BC" w:rsidP="005767BC"/>
    <w:p w14:paraId="33785916" w14:textId="77777777" w:rsidR="005767BC" w:rsidRPr="004A0989" w:rsidRDefault="005767BC" w:rsidP="005767BC"/>
    <w:p w14:paraId="2AFE748A" w14:textId="721C2B11" w:rsidR="005767BC" w:rsidRPr="004A0989" w:rsidRDefault="005767BC" w:rsidP="005767BC">
      <w:pPr>
        <w:pStyle w:val="Caption"/>
      </w:pPr>
      <w:r w:rsidRPr="004A0989">
        <w:t xml:space="preserve">Table </w:t>
      </w:r>
      <w:r w:rsidR="009A41BE">
        <w:t>7</w:t>
      </w:r>
      <w:r w:rsidRPr="004A0989">
        <w:t xml:space="preserve">: </w:t>
      </w:r>
      <w:r w:rsidRPr="004A0989">
        <w:tab/>
        <w:t>Details of employment levels</w:t>
      </w:r>
    </w:p>
    <w:tbl>
      <w:tblPr>
        <w:tblW w:w="9725" w:type="dxa"/>
        <w:tblBorders>
          <w:top w:val="single" w:sz="4" w:space="0" w:color="auto"/>
          <w:bottom w:val="single" w:sz="4" w:space="0" w:color="auto"/>
          <w:insideH w:val="single" w:sz="4" w:space="0" w:color="auto"/>
          <w:insideV w:val="single" w:sz="4" w:space="0" w:color="auto"/>
        </w:tblBorders>
        <w:tblCellMar>
          <w:top w:w="28" w:type="dxa"/>
          <w:left w:w="57" w:type="dxa"/>
          <w:right w:w="57" w:type="dxa"/>
        </w:tblCellMar>
        <w:tblLook w:val="04A0" w:firstRow="1" w:lastRow="0" w:firstColumn="1" w:lastColumn="0" w:noHBand="0" w:noVBand="1"/>
      </w:tblPr>
      <w:tblGrid>
        <w:gridCol w:w="2042"/>
        <w:gridCol w:w="1289"/>
        <w:gridCol w:w="1187"/>
        <w:gridCol w:w="1351"/>
        <w:gridCol w:w="1328"/>
        <w:gridCol w:w="1276"/>
        <w:gridCol w:w="1252"/>
      </w:tblGrid>
      <w:tr w:rsidR="005767BC" w:rsidRPr="004A0989" w14:paraId="2DDE7E78" w14:textId="77777777" w:rsidTr="00B539FA">
        <w:tc>
          <w:tcPr>
            <w:tcW w:w="2042" w:type="dxa"/>
            <w:shd w:val="clear" w:color="auto" w:fill="auto"/>
          </w:tcPr>
          <w:p w14:paraId="7EC999E9" w14:textId="77777777" w:rsidR="005767BC" w:rsidRPr="004A0989" w:rsidRDefault="005767BC" w:rsidP="00B539FA">
            <w:pPr>
              <w:rPr>
                <w:b/>
                <w:sz w:val="20"/>
                <w:szCs w:val="20"/>
              </w:rPr>
            </w:pPr>
          </w:p>
        </w:tc>
        <w:tc>
          <w:tcPr>
            <w:tcW w:w="3827" w:type="dxa"/>
            <w:gridSpan w:val="3"/>
            <w:shd w:val="clear" w:color="auto" w:fill="auto"/>
          </w:tcPr>
          <w:p w14:paraId="1722804D" w14:textId="77777777" w:rsidR="005767BC" w:rsidRPr="004A0989" w:rsidRDefault="005767BC" w:rsidP="00B539FA">
            <w:pPr>
              <w:jc w:val="center"/>
              <w:rPr>
                <w:b/>
                <w:sz w:val="20"/>
                <w:szCs w:val="20"/>
              </w:rPr>
            </w:pPr>
            <w:r w:rsidRPr="004A0989">
              <w:rPr>
                <w:b/>
                <w:sz w:val="20"/>
                <w:szCs w:val="20"/>
              </w:rPr>
              <w:t>30 June 2015</w:t>
            </w:r>
          </w:p>
        </w:tc>
        <w:tc>
          <w:tcPr>
            <w:tcW w:w="3856" w:type="dxa"/>
            <w:gridSpan w:val="3"/>
          </w:tcPr>
          <w:p w14:paraId="21A0B8CE" w14:textId="77777777" w:rsidR="005767BC" w:rsidRPr="004A0989" w:rsidRDefault="005767BC" w:rsidP="00B539FA">
            <w:pPr>
              <w:jc w:val="center"/>
              <w:rPr>
                <w:b/>
                <w:sz w:val="20"/>
                <w:szCs w:val="20"/>
              </w:rPr>
            </w:pPr>
            <w:r w:rsidRPr="004A0989">
              <w:rPr>
                <w:b/>
                <w:sz w:val="20"/>
                <w:szCs w:val="20"/>
              </w:rPr>
              <w:t>30 June 2016</w:t>
            </w:r>
          </w:p>
        </w:tc>
      </w:tr>
      <w:tr w:rsidR="005767BC" w:rsidRPr="004A0989" w14:paraId="2D4A53AF" w14:textId="77777777" w:rsidTr="00B539FA">
        <w:tc>
          <w:tcPr>
            <w:tcW w:w="2042" w:type="dxa"/>
            <w:shd w:val="clear" w:color="auto" w:fill="auto"/>
          </w:tcPr>
          <w:p w14:paraId="4BA68DF2" w14:textId="77777777" w:rsidR="005767BC" w:rsidRPr="004A0989" w:rsidRDefault="005767BC" w:rsidP="00B539FA">
            <w:pPr>
              <w:rPr>
                <w:b/>
                <w:sz w:val="20"/>
                <w:szCs w:val="20"/>
              </w:rPr>
            </w:pPr>
          </w:p>
        </w:tc>
        <w:tc>
          <w:tcPr>
            <w:tcW w:w="2476" w:type="dxa"/>
            <w:gridSpan w:val="2"/>
            <w:shd w:val="clear" w:color="auto" w:fill="auto"/>
          </w:tcPr>
          <w:p w14:paraId="4FA05A46" w14:textId="77777777" w:rsidR="005767BC" w:rsidRPr="004A0989" w:rsidRDefault="005767BC" w:rsidP="00B539FA">
            <w:pPr>
              <w:rPr>
                <w:b/>
                <w:sz w:val="20"/>
                <w:szCs w:val="20"/>
              </w:rPr>
            </w:pPr>
            <w:r w:rsidRPr="004A0989">
              <w:rPr>
                <w:b/>
                <w:sz w:val="20"/>
                <w:szCs w:val="20"/>
              </w:rPr>
              <w:t>Ongoing employees</w:t>
            </w:r>
          </w:p>
        </w:tc>
        <w:tc>
          <w:tcPr>
            <w:tcW w:w="1351" w:type="dxa"/>
            <w:shd w:val="clear" w:color="auto" w:fill="auto"/>
          </w:tcPr>
          <w:p w14:paraId="55B415B5" w14:textId="77777777" w:rsidR="005767BC" w:rsidRPr="004A0989" w:rsidRDefault="005767BC" w:rsidP="00B539FA">
            <w:pPr>
              <w:rPr>
                <w:b/>
                <w:sz w:val="20"/>
                <w:szCs w:val="20"/>
              </w:rPr>
            </w:pPr>
            <w:r w:rsidRPr="004A0989">
              <w:rPr>
                <w:b/>
                <w:sz w:val="20"/>
                <w:szCs w:val="20"/>
              </w:rPr>
              <w:t>Fixed term and casual employees</w:t>
            </w:r>
          </w:p>
        </w:tc>
        <w:tc>
          <w:tcPr>
            <w:tcW w:w="2604" w:type="dxa"/>
            <w:gridSpan w:val="2"/>
          </w:tcPr>
          <w:p w14:paraId="78B19844" w14:textId="77777777" w:rsidR="005767BC" w:rsidRPr="004A0989" w:rsidRDefault="005767BC" w:rsidP="00B539FA">
            <w:pPr>
              <w:rPr>
                <w:b/>
                <w:sz w:val="20"/>
                <w:szCs w:val="20"/>
              </w:rPr>
            </w:pPr>
            <w:r w:rsidRPr="004A0989">
              <w:rPr>
                <w:b/>
                <w:sz w:val="20"/>
                <w:szCs w:val="20"/>
              </w:rPr>
              <w:t>Ongoing employees</w:t>
            </w:r>
          </w:p>
        </w:tc>
        <w:tc>
          <w:tcPr>
            <w:tcW w:w="1252" w:type="dxa"/>
          </w:tcPr>
          <w:p w14:paraId="502B6EE6" w14:textId="77777777" w:rsidR="005767BC" w:rsidRPr="004A0989" w:rsidRDefault="005767BC" w:rsidP="00B539FA">
            <w:pPr>
              <w:rPr>
                <w:b/>
                <w:sz w:val="20"/>
                <w:szCs w:val="20"/>
              </w:rPr>
            </w:pPr>
            <w:r w:rsidRPr="004A0989">
              <w:rPr>
                <w:b/>
                <w:sz w:val="20"/>
                <w:szCs w:val="20"/>
              </w:rPr>
              <w:t>Fixed term and casual employees</w:t>
            </w:r>
          </w:p>
        </w:tc>
      </w:tr>
      <w:tr w:rsidR="005767BC" w:rsidRPr="004A0989" w14:paraId="6E22BA2C" w14:textId="77777777" w:rsidTr="00B539FA">
        <w:tc>
          <w:tcPr>
            <w:tcW w:w="2042" w:type="dxa"/>
            <w:shd w:val="clear" w:color="auto" w:fill="auto"/>
          </w:tcPr>
          <w:p w14:paraId="17792A28" w14:textId="77777777" w:rsidR="005767BC" w:rsidRPr="004A0989" w:rsidRDefault="005767BC" w:rsidP="00B539FA">
            <w:pPr>
              <w:jc w:val="center"/>
              <w:rPr>
                <w:b/>
                <w:sz w:val="20"/>
                <w:szCs w:val="20"/>
              </w:rPr>
            </w:pPr>
          </w:p>
        </w:tc>
        <w:tc>
          <w:tcPr>
            <w:tcW w:w="1289" w:type="dxa"/>
            <w:shd w:val="clear" w:color="auto" w:fill="auto"/>
          </w:tcPr>
          <w:p w14:paraId="1E53023F" w14:textId="77777777" w:rsidR="005767BC" w:rsidRPr="004A0989" w:rsidRDefault="005767BC" w:rsidP="00B539FA">
            <w:pPr>
              <w:jc w:val="center"/>
              <w:rPr>
                <w:sz w:val="20"/>
                <w:szCs w:val="20"/>
              </w:rPr>
            </w:pPr>
            <w:r w:rsidRPr="004A0989">
              <w:rPr>
                <w:sz w:val="20"/>
                <w:szCs w:val="20"/>
              </w:rPr>
              <w:t>Number</w:t>
            </w:r>
          </w:p>
          <w:p w14:paraId="7189E9D3" w14:textId="77777777" w:rsidR="005767BC" w:rsidRPr="004A0989" w:rsidRDefault="005767BC" w:rsidP="00B539FA">
            <w:pPr>
              <w:jc w:val="center"/>
              <w:rPr>
                <w:b/>
                <w:sz w:val="20"/>
                <w:szCs w:val="20"/>
              </w:rPr>
            </w:pPr>
            <w:r w:rsidRPr="004A0989">
              <w:rPr>
                <w:sz w:val="20"/>
                <w:szCs w:val="20"/>
              </w:rPr>
              <w:t>(headcount)</w:t>
            </w:r>
          </w:p>
        </w:tc>
        <w:tc>
          <w:tcPr>
            <w:tcW w:w="1187" w:type="dxa"/>
            <w:shd w:val="clear" w:color="auto" w:fill="auto"/>
          </w:tcPr>
          <w:p w14:paraId="52DC33AB" w14:textId="77777777" w:rsidR="005767BC" w:rsidRPr="004A0989" w:rsidRDefault="005767BC" w:rsidP="00B539FA">
            <w:pPr>
              <w:jc w:val="center"/>
              <w:rPr>
                <w:b/>
                <w:sz w:val="20"/>
                <w:szCs w:val="20"/>
              </w:rPr>
            </w:pPr>
            <w:r w:rsidRPr="004A0989">
              <w:rPr>
                <w:sz w:val="20"/>
                <w:szCs w:val="20"/>
              </w:rPr>
              <w:t>FTE</w:t>
            </w:r>
          </w:p>
        </w:tc>
        <w:tc>
          <w:tcPr>
            <w:tcW w:w="1351" w:type="dxa"/>
            <w:shd w:val="clear" w:color="auto" w:fill="auto"/>
          </w:tcPr>
          <w:p w14:paraId="64B7163D" w14:textId="77777777" w:rsidR="005767BC" w:rsidRPr="004A0989" w:rsidRDefault="005767BC" w:rsidP="00B539FA">
            <w:pPr>
              <w:jc w:val="center"/>
              <w:rPr>
                <w:b/>
                <w:sz w:val="20"/>
                <w:szCs w:val="20"/>
              </w:rPr>
            </w:pPr>
            <w:r w:rsidRPr="004A0989">
              <w:rPr>
                <w:sz w:val="20"/>
                <w:szCs w:val="20"/>
              </w:rPr>
              <w:t>FTE</w:t>
            </w:r>
          </w:p>
        </w:tc>
        <w:tc>
          <w:tcPr>
            <w:tcW w:w="1328" w:type="dxa"/>
          </w:tcPr>
          <w:p w14:paraId="5EDD0A4F" w14:textId="77777777" w:rsidR="005767BC" w:rsidRPr="004A0989" w:rsidRDefault="005767BC" w:rsidP="00B539FA">
            <w:pPr>
              <w:jc w:val="center"/>
              <w:rPr>
                <w:sz w:val="20"/>
                <w:szCs w:val="20"/>
              </w:rPr>
            </w:pPr>
            <w:r w:rsidRPr="004A0989">
              <w:rPr>
                <w:sz w:val="20"/>
                <w:szCs w:val="20"/>
              </w:rPr>
              <w:t>Number</w:t>
            </w:r>
          </w:p>
          <w:p w14:paraId="60E164F8" w14:textId="77777777" w:rsidR="005767BC" w:rsidRPr="004A0989" w:rsidRDefault="005767BC" w:rsidP="00B539FA">
            <w:pPr>
              <w:jc w:val="center"/>
              <w:rPr>
                <w:b/>
                <w:sz w:val="20"/>
                <w:szCs w:val="20"/>
              </w:rPr>
            </w:pPr>
            <w:r w:rsidRPr="004A0989">
              <w:rPr>
                <w:sz w:val="20"/>
                <w:szCs w:val="20"/>
              </w:rPr>
              <w:t>(headcount)</w:t>
            </w:r>
          </w:p>
        </w:tc>
        <w:tc>
          <w:tcPr>
            <w:tcW w:w="1276" w:type="dxa"/>
          </w:tcPr>
          <w:p w14:paraId="41EB69FE" w14:textId="77777777" w:rsidR="005767BC" w:rsidRPr="004A0989" w:rsidRDefault="005767BC" w:rsidP="00B539FA">
            <w:pPr>
              <w:jc w:val="center"/>
              <w:rPr>
                <w:b/>
                <w:sz w:val="20"/>
                <w:szCs w:val="20"/>
              </w:rPr>
            </w:pPr>
            <w:r w:rsidRPr="004A0989">
              <w:rPr>
                <w:sz w:val="20"/>
                <w:szCs w:val="20"/>
              </w:rPr>
              <w:t>FTE</w:t>
            </w:r>
          </w:p>
        </w:tc>
        <w:tc>
          <w:tcPr>
            <w:tcW w:w="1252" w:type="dxa"/>
          </w:tcPr>
          <w:p w14:paraId="7F4DFE53" w14:textId="77777777" w:rsidR="005767BC" w:rsidRPr="004A0989" w:rsidRDefault="005767BC" w:rsidP="00B539FA">
            <w:pPr>
              <w:jc w:val="center"/>
              <w:rPr>
                <w:b/>
                <w:sz w:val="20"/>
                <w:szCs w:val="20"/>
              </w:rPr>
            </w:pPr>
            <w:r w:rsidRPr="004A0989">
              <w:rPr>
                <w:sz w:val="20"/>
                <w:szCs w:val="20"/>
              </w:rPr>
              <w:t>FTE</w:t>
            </w:r>
          </w:p>
        </w:tc>
      </w:tr>
      <w:tr w:rsidR="005767BC" w:rsidRPr="004A0989" w14:paraId="3CA8C190" w14:textId="77777777" w:rsidTr="00B539FA">
        <w:tc>
          <w:tcPr>
            <w:tcW w:w="9725" w:type="dxa"/>
            <w:gridSpan w:val="7"/>
            <w:shd w:val="clear" w:color="auto" w:fill="auto"/>
          </w:tcPr>
          <w:p w14:paraId="454D2C49" w14:textId="77777777" w:rsidR="005767BC" w:rsidRPr="004A0989" w:rsidRDefault="005767BC" w:rsidP="00B539FA">
            <w:pPr>
              <w:rPr>
                <w:b/>
                <w:sz w:val="20"/>
                <w:szCs w:val="20"/>
              </w:rPr>
            </w:pPr>
            <w:r w:rsidRPr="004A0989">
              <w:rPr>
                <w:b/>
                <w:sz w:val="20"/>
                <w:szCs w:val="20"/>
              </w:rPr>
              <w:t>Gender</w:t>
            </w:r>
          </w:p>
        </w:tc>
      </w:tr>
      <w:tr w:rsidR="005767BC" w:rsidRPr="004A0989" w14:paraId="5ADC8501" w14:textId="77777777" w:rsidTr="00B539FA">
        <w:tc>
          <w:tcPr>
            <w:tcW w:w="2042" w:type="dxa"/>
            <w:shd w:val="clear" w:color="auto" w:fill="auto"/>
          </w:tcPr>
          <w:p w14:paraId="3116915F" w14:textId="77777777" w:rsidR="005767BC" w:rsidRPr="004A0989" w:rsidRDefault="005767BC" w:rsidP="00B539FA">
            <w:pPr>
              <w:rPr>
                <w:b/>
                <w:sz w:val="20"/>
                <w:szCs w:val="20"/>
              </w:rPr>
            </w:pPr>
            <w:r w:rsidRPr="004A0989">
              <w:rPr>
                <w:sz w:val="20"/>
                <w:szCs w:val="20"/>
              </w:rPr>
              <w:t>Male</w:t>
            </w:r>
          </w:p>
        </w:tc>
        <w:tc>
          <w:tcPr>
            <w:tcW w:w="1289" w:type="dxa"/>
            <w:shd w:val="clear" w:color="auto" w:fill="auto"/>
          </w:tcPr>
          <w:p w14:paraId="49D3BE1B" w14:textId="77777777" w:rsidR="005767BC" w:rsidRPr="004A0989" w:rsidRDefault="005767BC" w:rsidP="00B539FA">
            <w:pPr>
              <w:jc w:val="right"/>
              <w:rPr>
                <w:b/>
                <w:sz w:val="20"/>
                <w:szCs w:val="20"/>
              </w:rPr>
            </w:pPr>
            <w:r w:rsidRPr="004A0989">
              <w:rPr>
                <w:sz w:val="20"/>
                <w:szCs w:val="20"/>
              </w:rPr>
              <w:t>489</w:t>
            </w:r>
          </w:p>
        </w:tc>
        <w:tc>
          <w:tcPr>
            <w:tcW w:w="1187" w:type="dxa"/>
            <w:shd w:val="clear" w:color="auto" w:fill="auto"/>
          </w:tcPr>
          <w:p w14:paraId="5B30EE6B" w14:textId="77777777" w:rsidR="005767BC" w:rsidRPr="004A0989" w:rsidRDefault="005767BC" w:rsidP="00B539FA">
            <w:pPr>
              <w:jc w:val="right"/>
              <w:rPr>
                <w:b/>
                <w:sz w:val="20"/>
                <w:szCs w:val="20"/>
              </w:rPr>
            </w:pPr>
            <w:r w:rsidRPr="004A0989">
              <w:rPr>
                <w:sz w:val="20"/>
                <w:szCs w:val="20"/>
              </w:rPr>
              <w:t>481.6</w:t>
            </w:r>
          </w:p>
        </w:tc>
        <w:tc>
          <w:tcPr>
            <w:tcW w:w="1351" w:type="dxa"/>
            <w:shd w:val="clear" w:color="auto" w:fill="auto"/>
          </w:tcPr>
          <w:p w14:paraId="7F376C30" w14:textId="77777777" w:rsidR="005767BC" w:rsidRPr="004A0989" w:rsidRDefault="005767BC" w:rsidP="00B539FA">
            <w:pPr>
              <w:jc w:val="right"/>
              <w:rPr>
                <w:b/>
                <w:sz w:val="20"/>
                <w:szCs w:val="20"/>
              </w:rPr>
            </w:pPr>
            <w:r w:rsidRPr="004A0989">
              <w:rPr>
                <w:sz w:val="20"/>
                <w:szCs w:val="20"/>
              </w:rPr>
              <w:t>82.3</w:t>
            </w:r>
          </w:p>
        </w:tc>
        <w:tc>
          <w:tcPr>
            <w:tcW w:w="1328" w:type="dxa"/>
          </w:tcPr>
          <w:p w14:paraId="0C3E6E2B" w14:textId="77777777" w:rsidR="005767BC" w:rsidRPr="004A0989" w:rsidRDefault="005767BC" w:rsidP="00B539FA">
            <w:pPr>
              <w:jc w:val="right"/>
              <w:rPr>
                <w:sz w:val="20"/>
                <w:szCs w:val="20"/>
              </w:rPr>
            </w:pPr>
            <w:r w:rsidRPr="004A0989">
              <w:rPr>
                <w:sz w:val="20"/>
                <w:szCs w:val="20"/>
              </w:rPr>
              <w:t>453</w:t>
            </w:r>
          </w:p>
        </w:tc>
        <w:tc>
          <w:tcPr>
            <w:tcW w:w="1276" w:type="dxa"/>
          </w:tcPr>
          <w:p w14:paraId="52151D7E" w14:textId="77777777" w:rsidR="005767BC" w:rsidRPr="004A0989" w:rsidRDefault="005767BC" w:rsidP="00B539FA">
            <w:pPr>
              <w:jc w:val="right"/>
              <w:rPr>
                <w:sz w:val="20"/>
                <w:szCs w:val="20"/>
              </w:rPr>
            </w:pPr>
            <w:r w:rsidRPr="004A0989">
              <w:rPr>
                <w:sz w:val="20"/>
                <w:szCs w:val="20"/>
              </w:rPr>
              <w:t>447.6</w:t>
            </w:r>
          </w:p>
        </w:tc>
        <w:tc>
          <w:tcPr>
            <w:tcW w:w="1252" w:type="dxa"/>
          </w:tcPr>
          <w:p w14:paraId="0F195B9E" w14:textId="77777777" w:rsidR="005767BC" w:rsidRPr="004A0989" w:rsidRDefault="005767BC" w:rsidP="00B539FA">
            <w:pPr>
              <w:jc w:val="right"/>
              <w:rPr>
                <w:sz w:val="20"/>
                <w:szCs w:val="20"/>
              </w:rPr>
            </w:pPr>
            <w:r w:rsidRPr="004A0989">
              <w:rPr>
                <w:sz w:val="20"/>
                <w:szCs w:val="20"/>
              </w:rPr>
              <w:t>89.4</w:t>
            </w:r>
          </w:p>
        </w:tc>
      </w:tr>
      <w:tr w:rsidR="005767BC" w:rsidRPr="004A0989" w14:paraId="6C474349" w14:textId="77777777" w:rsidTr="00B539FA">
        <w:tc>
          <w:tcPr>
            <w:tcW w:w="2042" w:type="dxa"/>
            <w:shd w:val="clear" w:color="auto" w:fill="auto"/>
          </w:tcPr>
          <w:p w14:paraId="58E75193" w14:textId="77777777" w:rsidR="005767BC" w:rsidRPr="004A0989" w:rsidRDefault="005767BC" w:rsidP="00B539FA">
            <w:pPr>
              <w:rPr>
                <w:b/>
                <w:sz w:val="20"/>
                <w:szCs w:val="20"/>
              </w:rPr>
            </w:pPr>
            <w:r w:rsidRPr="004A0989">
              <w:rPr>
                <w:sz w:val="20"/>
                <w:szCs w:val="20"/>
              </w:rPr>
              <w:t>Female</w:t>
            </w:r>
          </w:p>
        </w:tc>
        <w:tc>
          <w:tcPr>
            <w:tcW w:w="1289" w:type="dxa"/>
            <w:shd w:val="clear" w:color="auto" w:fill="auto"/>
          </w:tcPr>
          <w:p w14:paraId="3D3168EB" w14:textId="77777777" w:rsidR="005767BC" w:rsidRPr="004A0989" w:rsidRDefault="005767BC" w:rsidP="00B539FA">
            <w:pPr>
              <w:jc w:val="right"/>
              <w:rPr>
                <w:b/>
                <w:sz w:val="20"/>
                <w:szCs w:val="20"/>
              </w:rPr>
            </w:pPr>
            <w:r w:rsidRPr="004A0989">
              <w:rPr>
                <w:sz w:val="20"/>
                <w:szCs w:val="20"/>
              </w:rPr>
              <w:t>1,053</w:t>
            </w:r>
          </w:p>
        </w:tc>
        <w:tc>
          <w:tcPr>
            <w:tcW w:w="1187" w:type="dxa"/>
            <w:shd w:val="clear" w:color="auto" w:fill="auto"/>
          </w:tcPr>
          <w:p w14:paraId="2B92C428" w14:textId="77777777" w:rsidR="005767BC" w:rsidRPr="004A0989" w:rsidRDefault="005767BC" w:rsidP="00B539FA">
            <w:pPr>
              <w:jc w:val="right"/>
              <w:rPr>
                <w:b/>
                <w:sz w:val="20"/>
                <w:szCs w:val="20"/>
              </w:rPr>
            </w:pPr>
            <w:r w:rsidRPr="004A0989">
              <w:rPr>
                <w:sz w:val="20"/>
                <w:szCs w:val="20"/>
              </w:rPr>
              <w:t>964.9</w:t>
            </w:r>
          </w:p>
        </w:tc>
        <w:tc>
          <w:tcPr>
            <w:tcW w:w="1351" w:type="dxa"/>
            <w:shd w:val="clear" w:color="auto" w:fill="auto"/>
          </w:tcPr>
          <w:p w14:paraId="387C02A1" w14:textId="77777777" w:rsidR="005767BC" w:rsidRPr="004A0989" w:rsidRDefault="005767BC" w:rsidP="00B539FA">
            <w:pPr>
              <w:jc w:val="right"/>
              <w:rPr>
                <w:b/>
                <w:sz w:val="20"/>
                <w:szCs w:val="20"/>
              </w:rPr>
            </w:pPr>
            <w:r w:rsidRPr="004A0989">
              <w:rPr>
                <w:sz w:val="20"/>
                <w:szCs w:val="20"/>
              </w:rPr>
              <w:t>136.9</w:t>
            </w:r>
          </w:p>
        </w:tc>
        <w:tc>
          <w:tcPr>
            <w:tcW w:w="1328" w:type="dxa"/>
          </w:tcPr>
          <w:p w14:paraId="087DBB00" w14:textId="77777777" w:rsidR="005767BC" w:rsidRPr="004A0989" w:rsidRDefault="005767BC" w:rsidP="00B539FA">
            <w:pPr>
              <w:jc w:val="right"/>
              <w:rPr>
                <w:sz w:val="20"/>
                <w:szCs w:val="20"/>
              </w:rPr>
            </w:pPr>
            <w:r w:rsidRPr="004A0989">
              <w:rPr>
                <w:sz w:val="20"/>
                <w:szCs w:val="20"/>
              </w:rPr>
              <w:t>1,044</w:t>
            </w:r>
          </w:p>
        </w:tc>
        <w:tc>
          <w:tcPr>
            <w:tcW w:w="1276" w:type="dxa"/>
          </w:tcPr>
          <w:p w14:paraId="5A7BA0AD" w14:textId="77777777" w:rsidR="005767BC" w:rsidRPr="004A0989" w:rsidRDefault="005767BC" w:rsidP="00B539FA">
            <w:pPr>
              <w:jc w:val="right"/>
              <w:rPr>
                <w:sz w:val="20"/>
                <w:szCs w:val="20"/>
              </w:rPr>
            </w:pPr>
            <w:r w:rsidRPr="004A0989">
              <w:rPr>
                <w:sz w:val="20"/>
                <w:szCs w:val="20"/>
              </w:rPr>
              <w:t>952.9</w:t>
            </w:r>
          </w:p>
        </w:tc>
        <w:tc>
          <w:tcPr>
            <w:tcW w:w="1252" w:type="dxa"/>
          </w:tcPr>
          <w:p w14:paraId="53CFF718" w14:textId="77777777" w:rsidR="005767BC" w:rsidRPr="004A0989" w:rsidRDefault="005767BC" w:rsidP="00B539FA">
            <w:pPr>
              <w:jc w:val="right"/>
              <w:rPr>
                <w:sz w:val="20"/>
                <w:szCs w:val="20"/>
              </w:rPr>
            </w:pPr>
            <w:r w:rsidRPr="004A0989">
              <w:rPr>
                <w:sz w:val="20"/>
                <w:szCs w:val="20"/>
              </w:rPr>
              <w:t>149.4</w:t>
            </w:r>
          </w:p>
        </w:tc>
      </w:tr>
      <w:tr w:rsidR="005767BC" w:rsidRPr="004A0989" w14:paraId="563264BA" w14:textId="77777777" w:rsidTr="00B539FA">
        <w:tc>
          <w:tcPr>
            <w:tcW w:w="2042" w:type="dxa"/>
            <w:shd w:val="clear" w:color="auto" w:fill="auto"/>
          </w:tcPr>
          <w:p w14:paraId="04ED331F" w14:textId="77777777" w:rsidR="005767BC" w:rsidRPr="004A0989" w:rsidRDefault="005767BC" w:rsidP="00B539FA">
            <w:pPr>
              <w:rPr>
                <w:b/>
                <w:sz w:val="20"/>
                <w:szCs w:val="20"/>
              </w:rPr>
            </w:pPr>
            <w:r w:rsidRPr="004A0989">
              <w:rPr>
                <w:b/>
                <w:sz w:val="20"/>
                <w:szCs w:val="20"/>
              </w:rPr>
              <w:t>Total</w:t>
            </w:r>
          </w:p>
        </w:tc>
        <w:tc>
          <w:tcPr>
            <w:tcW w:w="1289" w:type="dxa"/>
            <w:shd w:val="clear" w:color="auto" w:fill="auto"/>
          </w:tcPr>
          <w:p w14:paraId="1ACED972" w14:textId="77777777" w:rsidR="005767BC" w:rsidRPr="004A0989" w:rsidRDefault="005767BC" w:rsidP="00B539FA">
            <w:pPr>
              <w:jc w:val="right"/>
              <w:rPr>
                <w:b/>
                <w:sz w:val="20"/>
                <w:szCs w:val="20"/>
              </w:rPr>
            </w:pPr>
            <w:r w:rsidRPr="004A0989">
              <w:rPr>
                <w:b/>
                <w:sz w:val="20"/>
                <w:szCs w:val="20"/>
              </w:rPr>
              <w:t>1,542</w:t>
            </w:r>
          </w:p>
        </w:tc>
        <w:tc>
          <w:tcPr>
            <w:tcW w:w="1187" w:type="dxa"/>
            <w:shd w:val="clear" w:color="auto" w:fill="auto"/>
          </w:tcPr>
          <w:p w14:paraId="0C78B233" w14:textId="77777777" w:rsidR="005767BC" w:rsidRPr="004A0989" w:rsidRDefault="005767BC" w:rsidP="00B539FA">
            <w:pPr>
              <w:jc w:val="right"/>
              <w:rPr>
                <w:b/>
                <w:sz w:val="20"/>
                <w:szCs w:val="20"/>
              </w:rPr>
            </w:pPr>
            <w:r w:rsidRPr="004A0989">
              <w:rPr>
                <w:b/>
                <w:sz w:val="20"/>
                <w:szCs w:val="20"/>
              </w:rPr>
              <w:t>1,446.5</w:t>
            </w:r>
          </w:p>
        </w:tc>
        <w:tc>
          <w:tcPr>
            <w:tcW w:w="1351" w:type="dxa"/>
            <w:shd w:val="clear" w:color="auto" w:fill="auto"/>
          </w:tcPr>
          <w:p w14:paraId="0D590275" w14:textId="77777777" w:rsidR="005767BC" w:rsidRPr="004A0989" w:rsidRDefault="005767BC" w:rsidP="00B539FA">
            <w:pPr>
              <w:jc w:val="right"/>
              <w:rPr>
                <w:b/>
                <w:sz w:val="20"/>
                <w:szCs w:val="20"/>
              </w:rPr>
            </w:pPr>
            <w:r w:rsidRPr="004A0989">
              <w:rPr>
                <w:b/>
                <w:sz w:val="20"/>
                <w:szCs w:val="20"/>
              </w:rPr>
              <w:t>219.2</w:t>
            </w:r>
          </w:p>
        </w:tc>
        <w:tc>
          <w:tcPr>
            <w:tcW w:w="1328" w:type="dxa"/>
          </w:tcPr>
          <w:p w14:paraId="2ABFF143" w14:textId="77777777" w:rsidR="005767BC" w:rsidRPr="004A0989" w:rsidRDefault="005767BC" w:rsidP="00B539FA">
            <w:pPr>
              <w:jc w:val="right"/>
              <w:rPr>
                <w:b/>
                <w:sz w:val="20"/>
                <w:szCs w:val="20"/>
              </w:rPr>
            </w:pPr>
            <w:r w:rsidRPr="004A0989">
              <w:rPr>
                <w:b/>
                <w:sz w:val="20"/>
                <w:szCs w:val="20"/>
              </w:rPr>
              <w:t>1,497</w:t>
            </w:r>
          </w:p>
        </w:tc>
        <w:tc>
          <w:tcPr>
            <w:tcW w:w="1276" w:type="dxa"/>
          </w:tcPr>
          <w:p w14:paraId="20975801" w14:textId="77777777" w:rsidR="005767BC" w:rsidRPr="004A0989" w:rsidRDefault="005767BC" w:rsidP="00B539FA">
            <w:pPr>
              <w:jc w:val="right"/>
              <w:rPr>
                <w:b/>
                <w:sz w:val="20"/>
                <w:szCs w:val="20"/>
              </w:rPr>
            </w:pPr>
            <w:r w:rsidRPr="004A0989">
              <w:rPr>
                <w:b/>
                <w:sz w:val="20"/>
                <w:szCs w:val="20"/>
              </w:rPr>
              <w:t>1,400.5</w:t>
            </w:r>
          </w:p>
        </w:tc>
        <w:tc>
          <w:tcPr>
            <w:tcW w:w="1252" w:type="dxa"/>
          </w:tcPr>
          <w:p w14:paraId="6917EED6" w14:textId="77777777" w:rsidR="005767BC" w:rsidRPr="004A0989" w:rsidRDefault="005767BC" w:rsidP="00B539FA">
            <w:pPr>
              <w:jc w:val="right"/>
              <w:rPr>
                <w:b/>
                <w:sz w:val="20"/>
                <w:szCs w:val="20"/>
              </w:rPr>
            </w:pPr>
            <w:r w:rsidRPr="004A0989">
              <w:rPr>
                <w:b/>
                <w:sz w:val="20"/>
                <w:szCs w:val="20"/>
              </w:rPr>
              <w:t>238.8</w:t>
            </w:r>
          </w:p>
        </w:tc>
      </w:tr>
      <w:tr w:rsidR="005767BC" w:rsidRPr="004A0989" w14:paraId="04268B46" w14:textId="77777777" w:rsidTr="00B539FA">
        <w:tc>
          <w:tcPr>
            <w:tcW w:w="9725" w:type="dxa"/>
            <w:gridSpan w:val="7"/>
            <w:shd w:val="clear" w:color="auto" w:fill="auto"/>
          </w:tcPr>
          <w:p w14:paraId="664F1D5E" w14:textId="77777777" w:rsidR="005767BC" w:rsidRPr="004A0989" w:rsidRDefault="005767BC" w:rsidP="00B539FA">
            <w:pPr>
              <w:rPr>
                <w:b/>
                <w:sz w:val="20"/>
                <w:szCs w:val="20"/>
              </w:rPr>
            </w:pPr>
            <w:r w:rsidRPr="004A0989">
              <w:rPr>
                <w:b/>
                <w:sz w:val="20"/>
                <w:szCs w:val="20"/>
              </w:rPr>
              <w:t>Age</w:t>
            </w:r>
          </w:p>
        </w:tc>
      </w:tr>
      <w:tr w:rsidR="005767BC" w:rsidRPr="004A0989" w14:paraId="6BD53A13" w14:textId="77777777" w:rsidTr="00B539FA">
        <w:tc>
          <w:tcPr>
            <w:tcW w:w="2042" w:type="dxa"/>
            <w:shd w:val="clear" w:color="auto" w:fill="auto"/>
          </w:tcPr>
          <w:p w14:paraId="55B9B407" w14:textId="77777777" w:rsidR="005767BC" w:rsidRPr="004A0989" w:rsidRDefault="005767BC" w:rsidP="00B539FA">
            <w:pPr>
              <w:rPr>
                <w:b/>
                <w:sz w:val="20"/>
                <w:szCs w:val="20"/>
              </w:rPr>
            </w:pPr>
            <w:r w:rsidRPr="004A0989">
              <w:rPr>
                <w:sz w:val="20"/>
                <w:szCs w:val="20"/>
              </w:rPr>
              <w:t>Under 25</w:t>
            </w:r>
          </w:p>
        </w:tc>
        <w:tc>
          <w:tcPr>
            <w:tcW w:w="1289" w:type="dxa"/>
            <w:shd w:val="clear" w:color="auto" w:fill="auto"/>
          </w:tcPr>
          <w:p w14:paraId="503C41D7" w14:textId="77777777" w:rsidR="005767BC" w:rsidRPr="004A0989" w:rsidRDefault="005767BC" w:rsidP="00B539FA">
            <w:pPr>
              <w:jc w:val="right"/>
              <w:rPr>
                <w:b/>
                <w:sz w:val="20"/>
                <w:szCs w:val="20"/>
              </w:rPr>
            </w:pPr>
            <w:r w:rsidRPr="004A0989">
              <w:rPr>
                <w:sz w:val="20"/>
                <w:szCs w:val="20"/>
              </w:rPr>
              <w:t>139</w:t>
            </w:r>
          </w:p>
        </w:tc>
        <w:tc>
          <w:tcPr>
            <w:tcW w:w="1187" w:type="dxa"/>
            <w:shd w:val="clear" w:color="auto" w:fill="auto"/>
          </w:tcPr>
          <w:p w14:paraId="32B6B205" w14:textId="77777777" w:rsidR="005767BC" w:rsidRPr="004A0989" w:rsidRDefault="005767BC" w:rsidP="00B539FA">
            <w:pPr>
              <w:jc w:val="right"/>
              <w:rPr>
                <w:b/>
                <w:sz w:val="20"/>
                <w:szCs w:val="20"/>
              </w:rPr>
            </w:pPr>
            <w:r w:rsidRPr="004A0989">
              <w:rPr>
                <w:sz w:val="20"/>
                <w:szCs w:val="20"/>
              </w:rPr>
              <w:t xml:space="preserve">138.4  </w:t>
            </w:r>
          </w:p>
        </w:tc>
        <w:tc>
          <w:tcPr>
            <w:tcW w:w="1351" w:type="dxa"/>
            <w:shd w:val="clear" w:color="auto" w:fill="auto"/>
          </w:tcPr>
          <w:p w14:paraId="25D82649" w14:textId="77777777" w:rsidR="005767BC" w:rsidRPr="004A0989" w:rsidRDefault="005767BC" w:rsidP="00B539FA">
            <w:pPr>
              <w:jc w:val="right"/>
              <w:rPr>
                <w:b/>
                <w:sz w:val="20"/>
                <w:szCs w:val="20"/>
              </w:rPr>
            </w:pPr>
            <w:r w:rsidRPr="004A0989">
              <w:rPr>
                <w:sz w:val="20"/>
                <w:szCs w:val="20"/>
              </w:rPr>
              <w:t>22.1</w:t>
            </w:r>
          </w:p>
        </w:tc>
        <w:tc>
          <w:tcPr>
            <w:tcW w:w="1328" w:type="dxa"/>
          </w:tcPr>
          <w:p w14:paraId="70418865" w14:textId="77777777" w:rsidR="005767BC" w:rsidRPr="004A0989" w:rsidRDefault="005767BC" w:rsidP="00B539FA">
            <w:pPr>
              <w:jc w:val="right"/>
              <w:rPr>
                <w:sz w:val="20"/>
                <w:szCs w:val="20"/>
              </w:rPr>
            </w:pPr>
            <w:r w:rsidRPr="004A0989">
              <w:rPr>
                <w:sz w:val="20"/>
                <w:szCs w:val="20"/>
              </w:rPr>
              <w:t>124</w:t>
            </w:r>
          </w:p>
        </w:tc>
        <w:tc>
          <w:tcPr>
            <w:tcW w:w="1276" w:type="dxa"/>
          </w:tcPr>
          <w:p w14:paraId="1D1A8EA5" w14:textId="77777777" w:rsidR="005767BC" w:rsidRPr="004A0989" w:rsidRDefault="005767BC" w:rsidP="00B539FA">
            <w:pPr>
              <w:jc w:val="right"/>
              <w:rPr>
                <w:sz w:val="20"/>
                <w:szCs w:val="20"/>
              </w:rPr>
            </w:pPr>
            <w:r w:rsidRPr="004A0989">
              <w:rPr>
                <w:sz w:val="20"/>
                <w:szCs w:val="20"/>
              </w:rPr>
              <w:t>122.6</w:t>
            </w:r>
          </w:p>
        </w:tc>
        <w:tc>
          <w:tcPr>
            <w:tcW w:w="1252" w:type="dxa"/>
          </w:tcPr>
          <w:p w14:paraId="1EDEFE79" w14:textId="77777777" w:rsidR="005767BC" w:rsidRPr="004A0989" w:rsidRDefault="005767BC" w:rsidP="00B539FA">
            <w:pPr>
              <w:jc w:val="right"/>
              <w:rPr>
                <w:sz w:val="20"/>
                <w:szCs w:val="20"/>
              </w:rPr>
            </w:pPr>
            <w:r w:rsidRPr="004A0989">
              <w:rPr>
                <w:sz w:val="20"/>
                <w:szCs w:val="20"/>
              </w:rPr>
              <w:t>32.1</w:t>
            </w:r>
          </w:p>
        </w:tc>
      </w:tr>
      <w:tr w:rsidR="005767BC" w:rsidRPr="004A0989" w14:paraId="26FA3D80" w14:textId="77777777" w:rsidTr="00B539FA">
        <w:tc>
          <w:tcPr>
            <w:tcW w:w="2042" w:type="dxa"/>
            <w:shd w:val="clear" w:color="auto" w:fill="auto"/>
          </w:tcPr>
          <w:p w14:paraId="6E21EE19" w14:textId="77777777" w:rsidR="005767BC" w:rsidRPr="004A0989" w:rsidRDefault="005767BC" w:rsidP="00B539FA">
            <w:pPr>
              <w:rPr>
                <w:b/>
                <w:sz w:val="20"/>
                <w:szCs w:val="20"/>
              </w:rPr>
            </w:pPr>
            <w:r w:rsidRPr="004A0989">
              <w:rPr>
                <w:sz w:val="20"/>
                <w:szCs w:val="20"/>
              </w:rPr>
              <w:t>25-34</w:t>
            </w:r>
          </w:p>
        </w:tc>
        <w:tc>
          <w:tcPr>
            <w:tcW w:w="1289" w:type="dxa"/>
            <w:shd w:val="clear" w:color="auto" w:fill="auto"/>
          </w:tcPr>
          <w:p w14:paraId="26B83762" w14:textId="77777777" w:rsidR="005767BC" w:rsidRPr="004A0989" w:rsidRDefault="005767BC" w:rsidP="00B539FA">
            <w:pPr>
              <w:jc w:val="right"/>
              <w:rPr>
                <w:b/>
                <w:sz w:val="20"/>
                <w:szCs w:val="20"/>
              </w:rPr>
            </w:pPr>
            <w:r w:rsidRPr="004A0989">
              <w:rPr>
                <w:sz w:val="20"/>
                <w:szCs w:val="20"/>
              </w:rPr>
              <w:t>475</w:t>
            </w:r>
          </w:p>
        </w:tc>
        <w:tc>
          <w:tcPr>
            <w:tcW w:w="1187" w:type="dxa"/>
            <w:shd w:val="clear" w:color="auto" w:fill="auto"/>
          </w:tcPr>
          <w:p w14:paraId="04317FA6" w14:textId="77777777" w:rsidR="005767BC" w:rsidRPr="004A0989" w:rsidRDefault="005767BC" w:rsidP="00B539FA">
            <w:pPr>
              <w:jc w:val="right"/>
              <w:rPr>
                <w:b/>
                <w:sz w:val="20"/>
                <w:szCs w:val="20"/>
              </w:rPr>
            </w:pPr>
            <w:r w:rsidRPr="004A0989">
              <w:rPr>
                <w:sz w:val="20"/>
                <w:szCs w:val="20"/>
              </w:rPr>
              <w:t>455.2</w:t>
            </w:r>
          </w:p>
        </w:tc>
        <w:tc>
          <w:tcPr>
            <w:tcW w:w="1351" w:type="dxa"/>
            <w:shd w:val="clear" w:color="auto" w:fill="auto"/>
          </w:tcPr>
          <w:p w14:paraId="79FABCFF" w14:textId="77777777" w:rsidR="005767BC" w:rsidRPr="004A0989" w:rsidRDefault="005767BC" w:rsidP="00B539FA">
            <w:pPr>
              <w:jc w:val="right"/>
              <w:rPr>
                <w:b/>
                <w:sz w:val="20"/>
                <w:szCs w:val="20"/>
              </w:rPr>
            </w:pPr>
            <w:r w:rsidRPr="004A0989">
              <w:rPr>
                <w:sz w:val="20"/>
                <w:szCs w:val="20"/>
              </w:rPr>
              <w:t>141.4</w:t>
            </w:r>
          </w:p>
        </w:tc>
        <w:tc>
          <w:tcPr>
            <w:tcW w:w="1328" w:type="dxa"/>
          </w:tcPr>
          <w:p w14:paraId="23317D99" w14:textId="77777777" w:rsidR="005767BC" w:rsidRPr="004A0989" w:rsidRDefault="005767BC" w:rsidP="00B539FA">
            <w:pPr>
              <w:jc w:val="right"/>
              <w:rPr>
                <w:sz w:val="20"/>
                <w:szCs w:val="20"/>
              </w:rPr>
            </w:pPr>
            <w:r w:rsidRPr="004A0989">
              <w:rPr>
                <w:sz w:val="20"/>
                <w:szCs w:val="20"/>
              </w:rPr>
              <w:t>471</w:t>
            </w:r>
          </w:p>
        </w:tc>
        <w:tc>
          <w:tcPr>
            <w:tcW w:w="1276" w:type="dxa"/>
          </w:tcPr>
          <w:p w14:paraId="3CAC0CE8" w14:textId="77777777" w:rsidR="005767BC" w:rsidRPr="004A0989" w:rsidRDefault="005767BC" w:rsidP="00B539FA">
            <w:pPr>
              <w:jc w:val="right"/>
              <w:rPr>
                <w:sz w:val="20"/>
                <w:szCs w:val="20"/>
              </w:rPr>
            </w:pPr>
            <w:r w:rsidRPr="004A0989">
              <w:rPr>
                <w:sz w:val="20"/>
                <w:szCs w:val="20"/>
              </w:rPr>
              <w:t>449.8</w:t>
            </w:r>
          </w:p>
        </w:tc>
        <w:tc>
          <w:tcPr>
            <w:tcW w:w="1252" w:type="dxa"/>
          </w:tcPr>
          <w:p w14:paraId="2F77EE35" w14:textId="77777777" w:rsidR="005767BC" w:rsidRPr="004A0989" w:rsidRDefault="005767BC" w:rsidP="00B539FA">
            <w:pPr>
              <w:jc w:val="right"/>
              <w:rPr>
                <w:sz w:val="20"/>
                <w:szCs w:val="20"/>
              </w:rPr>
            </w:pPr>
            <w:r w:rsidRPr="004A0989">
              <w:rPr>
                <w:sz w:val="20"/>
                <w:szCs w:val="20"/>
              </w:rPr>
              <w:t>146.8</w:t>
            </w:r>
          </w:p>
        </w:tc>
      </w:tr>
      <w:tr w:rsidR="005767BC" w:rsidRPr="004A0989" w14:paraId="1049BE19" w14:textId="77777777" w:rsidTr="00B539FA">
        <w:tc>
          <w:tcPr>
            <w:tcW w:w="2042" w:type="dxa"/>
            <w:shd w:val="clear" w:color="auto" w:fill="auto"/>
          </w:tcPr>
          <w:p w14:paraId="69160D99" w14:textId="77777777" w:rsidR="005767BC" w:rsidRPr="004A0989" w:rsidRDefault="005767BC" w:rsidP="00B539FA">
            <w:pPr>
              <w:rPr>
                <w:b/>
                <w:sz w:val="20"/>
                <w:szCs w:val="20"/>
              </w:rPr>
            </w:pPr>
            <w:r w:rsidRPr="004A0989">
              <w:rPr>
                <w:sz w:val="20"/>
                <w:szCs w:val="20"/>
              </w:rPr>
              <w:t>35-44</w:t>
            </w:r>
          </w:p>
        </w:tc>
        <w:tc>
          <w:tcPr>
            <w:tcW w:w="1289" w:type="dxa"/>
            <w:shd w:val="clear" w:color="auto" w:fill="auto"/>
          </w:tcPr>
          <w:p w14:paraId="0E1485F8" w14:textId="77777777" w:rsidR="005767BC" w:rsidRPr="004A0989" w:rsidRDefault="005767BC" w:rsidP="00B539FA">
            <w:pPr>
              <w:jc w:val="right"/>
              <w:rPr>
                <w:b/>
                <w:sz w:val="20"/>
                <w:szCs w:val="20"/>
              </w:rPr>
            </w:pPr>
            <w:r w:rsidRPr="004A0989">
              <w:rPr>
                <w:sz w:val="20"/>
                <w:szCs w:val="20"/>
              </w:rPr>
              <w:t>310</w:t>
            </w:r>
          </w:p>
        </w:tc>
        <w:tc>
          <w:tcPr>
            <w:tcW w:w="1187" w:type="dxa"/>
            <w:shd w:val="clear" w:color="auto" w:fill="auto"/>
          </w:tcPr>
          <w:p w14:paraId="44643756" w14:textId="77777777" w:rsidR="005767BC" w:rsidRPr="004A0989" w:rsidRDefault="005767BC" w:rsidP="00B539FA">
            <w:pPr>
              <w:jc w:val="right"/>
              <w:rPr>
                <w:b/>
                <w:sz w:val="20"/>
                <w:szCs w:val="20"/>
              </w:rPr>
            </w:pPr>
            <w:r w:rsidRPr="004A0989">
              <w:rPr>
                <w:sz w:val="20"/>
                <w:szCs w:val="20"/>
              </w:rPr>
              <w:t>272.7</w:t>
            </w:r>
          </w:p>
        </w:tc>
        <w:tc>
          <w:tcPr>
            <w:tcW w:w="1351" w:type="dxa"/>
            <w:shd w:val="clear" w:color="auto" w:fill="auto"/>
          </w:tcPr>
          <w:p w14:paraId="53ABB994" w14:textId="77777777" w:rsidR="005767BC" w:rsidRPr="004A0989" w:rsidRDefault="005767BC" w:rsidP="00B539FA">
            <w:pPr>
              <w:jc w:val="right"/>
              <w:rPr>
                <w:b/>
                <w:sz w:val="20"/>
                <w:szCs w:val="20"/>
              </w:rPr>
            </w:pPr>
            <w:r w:rsidRPr="004A0989">
              <w:rPr>
                <w:sz w:val="20"/>
                <w:szCs w:val="20"/>
              </w:rPr>
              <w:t>25.6</w:t>
            </w:r>
          </w:p>
        </w:tc>
        <w:tc>
          <w:tcPr>
            <w:tcW w:w="1328" w:type="dxa"/>
          </w:tcPr>
          <w:p w14:paraId="7DFB4CB6" w14:textId="77777777" w:rsidR="005767BC" w:rsidRPr="004A0989" w:rsidRDefault="005767BC" w:rsidP="00B539FA">
            <w:pPr>
              <w:jc w:val="right"/>
              <w:rPr>
                <w:sz w:val="20"/>
                <w:szCs w:val="20"/>
              </w:rPr>
            </w:pPr>
            <w:r w:rsidRPr="004A0989">
              <w:rPr>
                <w:sz w:val="20"/>
                <w:szCs w:val="20"/>
              </w:rPr>
              <w:t>296</w:t>
            </w:r>
          </w:p>
        </w:tc>
        <w:tc>
          <w:tcPr>
            <w:tcW w:w="1276" w:type="dxa"/>
          </w:tcPr>
          <w:p w14:paraId="2CBADC2D" w14:textId="77777777" w:rsidR="005767BC" w:rsidRPr="004A0989" w:rsidRDefault="005767BC" w:rsidP="00B539FA">
            <w:pPr>
              <w:jc w:val="right"/>
              <w:rPr>
                <w:sz w:val="20"/>
                <w:szCs w:val="20"/>
              </w:rPr>
            </w:pPr>
            <w:r w:rsidRPr="004A0989">
              <w:rPr>
                <w:sz w:val="20"/>
                <w:szCs w:val="20"/>
              </w:rPr>
              <w:t>261.4</w:t>
            </w:r>
          </w:p>
        </w:tc>
        <w:tc>
          <w:tcPr>
            <w:tcW w:w="1252" w:type="dxa"/>
          </w:tcPr>
          <w:p w14:paraId="179D8025" w14:textId="77777777" w:rsidR="005767BC" w:rsidRPr="004A0989" w:rsidRDefault="005767BC" w:rsidP="00B539FA">
            <w:pPr>
              <w:jc w:val="right"/>
              <w:rPr>
                <w:sz w:val="20"/>
                <w:szCs w:val="20"/>
              </w:rPr>
            </w:pPr>
            <w:r w:rsidRPr="004A0989">
              <w:rPr>
                <w:sz w:val="20"/>
                <w:szCs w:val="20"/>
              </w:rPr>
              <w:t>29.7</w:t>
            </w:r>
          </w:p>
        </w:tc>
      </w:tr>
      <w:tr w:rsidR="005767BC" w:rsidRPr="004A0989" w14:paraId="73D32F42" w14:textId="77777777" w:rsidTr="00B539FA">
        <w:tc>
          <w:tcPr>
            <w:tcW w:w="2042" w:type="dxa"/>
            <w:shd w:val="clear" w:color="auto" w:fill="auto"/>
          </w:tcPr>
          <w:p w14:paraId="780E7076" w14:textId="77777777" w:rsidR="005767BC" w:rsidRPr="004A0989" w:rsidRDefault="005767BC" w:rsidP="00B539FA">
            <w:pPr>
              <w:rPr>
                <w:b/>
                <w:sz w:val="20"/>
                <w:szCs w:val="20"/>
              </w:rPr>
            </w:pPr>
            <w:r w:rsidRPr="004A0989">
              <w:rPr>
                <w:sz w:val="20"/>
                <w:szCs w:val="20"/>
              </w:rPr>
              <w:t>45-54</w:t>
            </w:r>
          </w:p>
        </w:tc>
        <w:tc>
          <w:tcPr>
            <w:tcW w:w="1289" w:type="dxa"/>
            <w:shd w:val="clear" w:color="auto" w:fill="auto"/>
          </w:tcPr>
          <w:p w14:paraId="5CFD6596" w14:textId="77777777" w:rsidR="005767BC" w:rsidRPr="004A0989" w:rsidRDefault="005767BC" w:rsidP="00B539FA">
            <w:pPr>
              <w:jc w:val="right"/>
              <w:rPr>
                <w:b/>
                <w:sz w:val="20"/>
                <w:szCs w:val="20"/>
              </w:rPr>
            </w:pPr>
            <w:r w:rsidRPr="004A0989">
              <w:rPr>
                <w:sz w:val="20"/>
                <w:szCs w:val="20"/>
              </w:rPr>
              <w:t>298</w:t>
            </w:r>
          </w:p>
        </w:tc>
        <w:tc>
          <w:tcPr>
            <w:tcW w:w="1187" w:type="dxa"/>
            <w:shd w:val="clear" w:color="auto" w:fill="auto"/>
          </w:tcPr>
          <w:p w14:paraId="002F1C1D" w14:textId="77777777" w:rsidR="005767BC" w:rsidRPr="004A0989" w:rsidRDefault="005767BC" w:rsidP="00B539FA">
            <w:pPr>
              <w:jc w:val="right"/>
              <w:rPr>
                <w:b/>
                <w:sz w:val="20"/>
                <w:szCs w:val="20"/>
              </w:rPr>
            </w:pPr>
            <w:r w:rsidRPr="004A0989">
              <w:rPr>
                <w:sz w:val="20"/>
                <w:szCs w:val="20"/>
              </w:rPr>
              <w:t>274.9</w:t>
            </w:r>
          </w:p>
        </w:tc>
        <w:tc>
          <w:tcPr>
            <w:tcW w:w="1351" w:type="dxa"/>
            <w:shd w:val="clear" w:color="auto" w:fill="auto"/>
          </w:tcPr>
          <w:p w14:paraId="2A56383D" w14:textId="77777777" w:rsidR="005767BC" w:rsidRPr="004A0989" w:rsidRDefault="005767BC" w:rsidP="00B539FA">
            <w:pPr>
              <w:jc w:val="right"/>
              <w:rPr>
                <w:b/>
                <w:sz w:val="20"/>
                <w:szCs w:val="20"/>
              </w:rPr>
            </w:pPr>
            <w:r w:rsidRPr="004A0989">
              <w:rPr>
                <w:sz w:val="20"/>
                <w:szCs w:val="20"/>
              </w:rPr>
              <w:t>20</w:t>
            </w:r>
          </w:p>
        </w:tc>
        <w:tc>
          <w:tcPr>
            <w:tcW w:w="1328" w:type="dxa"/>
          </w:tcPr>
          <w:p w14:paraId="48B83C60" w14:textId="77777777" w:rsidR="005767BC" w:rsidRPr="004A0989" w:rsidRDefault="005767BC" w:rsidP="00B539FA">
            <w:pPr>
              <w:jc w:val="right"/>
              <w:rPr>
                <w:sz w:val="20"/>
                <w:szCs w:val="20"/>
              </w:rPr>
            </w:pPr>
            <w:r w:rsidRPr="004A0989">
              <w:rPr>
                <w:sz w:val="20"/>
                <w:szCs w:val="20"/>
              </w:rPr>
              <w:t>285</w:t>
            </w:r>
          </w:p>
        </w:tc>
        <w:tc>
          <w:tcPr>
            <w:tcW w:w="1276" w:type="dxa"/>
          </w:tcPr>
          <w:p w14:paraId="5EF10A49" w14:textId="77777777" w:rsidR="005767BC" w:rsidRPr="004A0989" w:rsidRDefault="005767BC" w:rsidP="00B539FA">
            <w:pPr>
              <w:jc w:val="right"/>
              <w:rPr>
                <w:sz w:val="20"/>
                <w:szCs w:val="20"/>
              </w:rPr>
            </w:pPr>
            <w:r w:rsidRPr="004A0989">
              <w:rPr>
                <w:sz w:val="20"/>
                <w:szCs w:val="20"/>
              </w:rPr>
              <w:t>261.1</w:t>
            </w:r>
          </w:p>
        </w:tc>
        <w:tc>
          <w:tcPr>
            <w:tcW w:w="1252" w:type="dxa"/>
          </w:tcPr>
          <w:p w14:paraId="6024836F" w14:textId="77777777" w:rsidR="005767BC" w:rsidRPr="004A0989" w:rsidRDefault="005767BC" w:rsidP="00B539FA">
            <w:pPr>
              <w:jc w:val="right"/>
              <w:rPr>
                <w:sz w:val="20"/>
                <w:szCs w:val="20"/>
              </w:rPr>
            </w:pPr>
            <w:r w:rsidRPr="004A0989">
              <w:rPr>
                <w:sz w:val="20"/>
                <w:szCs w:val="20"/>
              </w:rPr>
              <w:t>16.7</w:t>
            </w:r>
          </w:p>
        </w:tc>
      </w:tr>
      <w:tr w:rsidR="005767BC" w:rsidRPr="004A0989" w14:paraId="48B8A02E" w14:textId="77777777" w:rsidTr="00B539FA">
        <w:tc>
          <w:tcPr>
            <w:tcW w:w="2042" w:type="dxa"/>
            <w:shd w:val="clear" w:color="auto" w:fill="auto"/>
          </w:tcPr>
          <w:p w14:paraId="07C8F370" w14:textId="77777777" w:rsidR="005767BC" w:rsidRPr="004A0989" w:rsidRDefault="005767BC" w:rsidP="00B539FA">
            <w:pPr>
              <w:rPr>
                <w:b/>
                <w:sz w:val="20"/>
                <w:szCs w:val="20"/>
              </w:rPr>
            </w:pPr>
            <w:r w:rsidRPr="004A0989">
              <w:rPr>
                <w:sz w:val="20"/>
                <w:szCs w:val="20"/>
              </w:rPr>
              <w:t>55-64</w:t>
            </w:r>
          </w:p>
        </w:tc>
        <w:tc>
          <w:tcPr>
            <w:tcW w:w="1289" w:type="dxa"/>
            <w:shd w:val="clear" w:color="auto" w:fill="auto"/>
          </w:tcPr>
          <w:p w14:paraId="432FB7ED" w14:textId="77777777" w:rsidR="005767BC" w:rsidRPr="004A0989" w:rsidRDefault="005767BC" w:rsidP="00B539FA">
            <w:pPr>
              <w:jc w:val="right"/>
              <w:rPr>
                <w:b/>
                <w:sz w:val="20"/>
                <w:szCs w:val="20"/>
              </w:rPr>
            </w:pPr>
            <w:r w:rsidRPr="004A0989">
              <w:rPr>
                <w:sz w:val="20"/>
                <w:szCs w:val="20"/>
              </w:rPr>
              <w:t>256</w:t>
            </w:r>
          </w:p>
        </w:tc>
        <w:tc>
          <w:tcPr>
            <w:tcW w:w="1187" w:type="dxa"/>
            <w:shd w:val="clear" w:color="auto" w:fill="auto"/>
          </w:tcPr>
          <w:p w14:paraId="18AFC755" w14:textId="77777777" w:rsidR="005767BC" w:rsidRPr="004A0989" w:rsidRDefault="005767BC" w:rsidP="00B539FA">
            <w:pPr>
              <w:jc w:val="right"/>
              <w:rPr>
                <w:b/>
                <w:sz w:val="20"/>
                <w:szCs w:val="20"/>
              </w:rPr>
            </w:pPr>
            <w:r w:rsidRPr="004A0989">
              <w:rPr>
                <w:sz w:val="20"/>
                <w:szCs w:val="20"/>
              </w:rPr>
              <w:t>246.5</w:t>
            </w:r>
          </w:p>
        </w:tc>
        <w:tc>
          <w:tcPr>
            <w:tcW w:w="1351" w:type="dxa"/>
            <w:shd w:val="clear" w:color="auto" w:fill="auto"/>
          </w:tcPr>
          <w:p w14:paraId="2A7EBF41" w14:textId="77777777" w:rsidR="005767BC" w:rsidRPr="004A0989" w:rsidRDefault="005767BC" w:rsidP="00B539FA">
            <w:pPr>
              <w:jc w:val="right"/>
              <w:rPr>
                <w:b/>
                <w:sz w:val="20"/>
                <w:szCs w:val="20"/>
              </w:rPr>
            </w:pPr>
            <w:r w:rsidRPr="004A0989">
              <w:rPr>
                <w:sz w:val="20"/>
                <w:szCs w:val="20"/>
              </w:rPr>
              <w:t>8.8</w:t>
            </w:r>
          </w:p>
        </w:tc>
        <w:tc>
          <w:tcPr>
            <w:tcW w:w="1328" w:type="dxa"/>
          </w:tcPr>
          <w:p w14:paraId="5B7BDD01" w14:textId="77777777" w:rsidR="005767BC" w:rsidRPr="004A0989" w:rsidRDefault="005767BC" w:rsidP="00B539FA">
            <w:pPr>
              <w:jc w:val="right"/>
              <w:rPr>
                <w:sz w:val="20"/>
                <w:szCs w:val="20"/>
              </w:rPr>
            </w:pPr>
            <w:r w:rsidRPr="004A0989">
              <w:rPr>
                <w:sz w:val="20"/>
                <w:szCs w:val="20"/>
              </w:rPr>
              <w:t>247</w:t>
            </w:r>
          </w:p>
        </w:tc>
        <w:tc>
          <w:tcPr>
            <w:tcW w:w="1276" w:type="dxa"/>
          </w:tcPr>
          <w:p w14:paraId="39DA58A3" w14:textId="77777777" w:rsidR="005767BC" w:rsidRPr="004A0989" w:rsidRDefault="005767BC" w:rsidP="00B539FA">
            <w:pPr>
              <w:jc w:val="right"/>
              <w:rPr>
                <w:sz w:val="20"/>
                <w:szCs w:val="20"/>
              </w:rPr>
            </w:pPr>
            <w:r w:rsidRPr="004A0989">
              <w:rPr>
                <w:sz w:val="20"/>
                <w:szCs w:val="20"/>
              </w:rPr>
              <w:t>237.4</w:t>
            </w:r>
          </w:p>
        </w:tc>
        <w:tc>
          <w:tcPr>
            <w:tcW w:w="1252" w:type="dxa"/>
          </w:tcPr>
          <w:p w14:paraId="088746ED" w14:textId="77777777" w:rsidR="005767BC" w:rsidRPr="004A0989" w:rsidRDefault="005767BC" w:rsidP="00B539FA">
            <w:pPr>
              <w:jc w:val="right"/>
              <w:rPr>
                <w:sz w:val="20"/>
                <w:szCs w:val="20"/>
              </w:rPr>
            </w:pPr>
            <w:r w:rsidRPr="004A0989">
              <w:rPr>
                <w:sz w:val="20"/>
                <w:szCs w:val="20"/>
              </w:rPr>
              <w:t>13.5</w:t>
            </w:r>
          </w:p>
        </w:tc>
      </w:tr>
      <w:tr w:rsidR="005767BC" w:rsidRPr="004A0989" w14:paraId="413F8F56" w14:textId="77777777" w:rsidTr="00B539FA">
        <w:tc>
          <w:tcPr>
            <w:tcW w:w="2042" w:type="dxa"/>
            <w:shd w:val="clear" w:color="auto" w:fill="auto"/>
          </w:tcPr>
          <w:p w14:paraId="6DE5D362" w14:textId="77777777" w:rsidR="005767BC" w:rsidRPr="004A0989" w:rsidRDefault="005767BC" w:rsidP="00B539FA">
            <w:pPr>
              <w:rPr>
                <w:b/>
                <w:sz w:val="20"/>
                <w:szCs w:val="20"/>
              </w:rPr>
            </w:pPr>
            <w:r w:rsidRPr="004A0989">
              <w:rPr>
                <w:sz w:val="20"/>
                <w:szCs w:val="20"/>
              </w:rPr>
              <w:t>Over 64</w:t>
            </w:r>
          </w:p>
        </w:tc>
        <w:tc>
          <w:tcPr>
            <w:tcW w:w="1289" w:type="dxa"/>
            <w:shd w:val="clear" w:color="auto" w:fill="auto"/>
          </w:tcPr>
          <w:p w14:paraId="24EB4C2B" w14:textId="77777777" w:rsidR="005767BC" w:rsidRPr="004A0989" w:rsidRDefault="005767BC" w:rsidP="00B539FA">
            <w:pPr>
              <w:jc w:val="right"/>
              <w:rPr>
                <w:b/>
                <w:sz w:val="20"/>
                <w:szCs w:val="20"/>
              </w:rPr>
            </w:pPr>
            <w:r w:rsidRPr="004A0989">
              <w:rPr>
                <w:sz w:val="20"/>
                <w:szCs w:val="20"/>
              </w:rPr>
              <w:t>64</w:t>
            </w:r>
          </w:p>
        </w:tc>
        <w:tc>
          <w:tcPr>
            <w:tcW w:w="1187" w:type="dxa"/>
            <w:shd w:val="clear" w:color="auto" w:fill="auto"/>
          </w:tcPr>
          <w:p w14:paraId="71D5C0F2" w14:textId="77777777" w:rsidR="005767BC" w:rsidRPr="004A0989" w:rsidRDefault="005767BC" w:rsidP="00B539FA">
            <w:pPr>
              <w:jc w:val="right"/>
              <w:rPr>
                <w:b/>
                <w:sz w:val="20"/>
                <w:szCs w:val="20"/>
              </w:rPr>
            </w:pPr>
            <w:r w:rsidRPr="004A0989">
              <w:rPr>
                <w:sz w:val="20"/>
                <w:szCs w:val="20"/>
              </w:rPr>
              <w:t>58.8</w:t>
            </w:r>
          </w:p>
        </w:tc>
        <w:tc>
          <w:tcPr>
            <w:tcW w:w="1351" w:type="dxa"/>
            <w:shd w:val="clear" w:color="auto" w:fill="auto"/>
          </w:tcPr>
          <w:p w14:paraId="3057EE04" w14:textId="77777777" w:rsidR="005767BC" w:rsidRPr="004A0989" w:rsidRDefault="005767BC" w:rsidP="00B539FA">
            <w:pPr>
              <w:jc w:val="right"/>
              <w:rPr>
                <w:b/>
                <w:sz w:val="20"/>
                <w:szCs w:val="20"/>
              </w:rPr>
            </w:pPr>
            <w:r w:rsidRPr="004A0989">
              <w:rPr>
                <w:sz w:val="20"/>
                <w:szCs w:val="20"/>
              </w:rPr>
              <w:t>1.3</w:t>
            </w:r>
          </w:p>
        </w:tc>
        <w:tc>
          <w:tcPr>
            <w:tcW w:w="1328" w:type="dxa"/>
          </w:tcPr>
          <w:p w14:paraId="3852CAB9" w14:textId="77777777" w:rsidR="005767BC" w:rsidRPr="004A0989" w:rsidRDefault="005767BC" w:rsidP="00B539FA">
            <w:pPr>
              <w:jc w:val="right"/>
              <w:rPr>
                <w:sz w:val="20"/>
                <w:szCs w:val="20"/>
              </w:rPr>
            </w:pPr>
            <w:r w:rsidRPr="004A0989">
              <w:rPr>
                <w:sz w:val="20"/>
                <w:szCs w:val="20"/>
              </w:rPr>
              <w:t>74</w:t>
            </w:r>
          </w:p>
        </w:tc>
        <w:tc>
          <w:tcPr>
            <w:tcW w:w="1276" w:type="dxa"/>
          </w:tcPr>
          <w:p w14:paraId="5B37E8AE" w14:textId="77777777" w:rsidR="005767BC" w:rsidRPr="004A0989" w:rsidRDefault="005767BC" w:rsidP="00B539FA">
            <w:pPr>
              <w:jc w:val="right"/>
              <w:rPr>
                <w:sz w:val="20"/>
                <w:szCs w:val="20"/>
              </w:rPr>
            </w:pPr>
            <w:r w:rsidRPr="004A0989">
              <w:rPr>
                <w:sz w:val="20"/>
                <w:szCs w:val="20"/>
              </w:rPr>
              <w:t>68.2</w:t>
            </w:r>
          </w:p>
        </w:tc>
        <w:tc>
          <w:tcPr>
            <w:tcW w:w="1252" w:type="dxa"/>
          </w:tcPr>
          <w:p w14:paraId="0AE65460" w14:textId="77777777" w:rsidR="005767BC" w:rsidRPr="004A0989" w:rsidRDefault="005767BC" w:rsidP="00B539FA">
            <w:pPr>
              <w:jc w:val="right"/>
              <w:rPr>
                <w:sz w:val="20"/>
                <w:szCs w:val="20"/>
              </w:rPr>
            </w:pPr>
            <w:r w:rsidRPr="004A0989">
              <w:rPr>
                <w:sz w:val="20"/>
                <w:szCs w:val="20"/>
              </w:rPr>
              <w:t>0</w:t>
            </w:r>
          </w:p>
        </w:tc>
      </w:tr>
      <w:tr w:rsidR="005767BC" w:rsidRPr="004A0989" w14:paraId="3338D2D2" w14:textId="77777777" w:rsidTr="00B539FA">
        <w:tc>
          <w:tcPr>
            <w:tcW w:w="2042" w:type="dxa"/>
            <w:shd w:val="clear" w:color="auto" w:fill="auto"/>
          </w:tcPr>
          <w:p w14:paraId="3E6AB361" w14:textId="77777777" w:rsidR="005767BC" w:rsidRPr="004A0989" w:rsidRDefault="005767BC" w:rsidP="00B539FA">
            <w:pPr>
              <w:rPr>
                <w:b/>
                <w:sz w:val="20"/>
                <w:szCs w:val="20"/>
              </w:rPr>
            </w:pPr>
            <w:r w:rsidRPr="004A0989">
              <w:rPr>
                <w:b/>
                <w:sz w:val="20"/>
                <w:szCs w:val="20"/>
              </w:rPr>
              <w:t>Total</w:t>
            </w:r>
          </w:p>
        </w:tc>
        <w:tc>
          <w:tcPr>
            <w:tcW w:w="1289" w:type="dxa"/>
            <w:shd w:val="clear" w:color="auto" w:fill="auto"/>
          </w:tcPr>
          <w:p w14:paraId="1E70619D" w14:textId="77777777" w:rsidR="005767BC" w:rsidRPr="004A0989" w:rsidRDefault="005767BC" w:rsidP="00B539FA">
            <w:pPr>
              <w:jc w:val="right"/>
              <w:rPr>
                <w:b/>
                <w:sz w:val="20"/>
                <w:szCs w:val="20"/>
              </w:rPr>
            </w:pPr>
            <w:r w:rsidRPr="004A0989">
              <w:rPr>
                <w:b/>
                <w:sz w:val="20"/>
                <w:szCs w:val="20"/>
              </w:rPr>
              <w:t>1,542</w:t>
            </w:r>
          </w:p>
        </w:tc>
        <w:tc>
          <w:tcPr>
            <w:tcW w:w="1187" w:type="dxa"/>
            <w:shd w:val="clear" w:color="auto" w:fill="auto"/>
          </w:tcPr>
          <w:p w14:paraId="585D818D" w14:textId="77777777" w:rsidR="005767BC" w:rsidRPr="004A0989" w:rsidRDefault="005767BC" w:rsidP="00B539FA">
            <w:pPr>
              <w:jc w:val="right"/>
              <w:rPr>
                <w:b/>
                <w:sz w:val="20"/>
                <w:szCs w:val="20"/>
              </w:rPr>
            </w:pPr>
            <w:r w:rsidRPr="004A0989">
              <w:rPr>
                <w:b/>
                <w:sz w:val="20"/>
                <w:szCs w:val="20"/>
              </w:rPr>
              <w:t>1,446.5</w:t>
            </w:r>
          </w:p>
        </w:tc>
        <w:tc>
          <w:tcPr>
            <w:tcW w:w="1351" w:type="dxa"/>
            <w:shd w:val="clear" w:color="auto" w:fill="auto"/>
          </w:tcPr>
          <w:p w14:paraId="163FDCEF" w14:textId="77777777" w:rsidR="005767BC" w:rsidRPr="004A0989" w:rsidRDefault="005767BC" w:rsidP="00B539FA">
            <w:pPr>
              <w:jc w:val="right"/>
              <w:rPr>
                <w:b/>
                <w:sz w:val="20"/>
                <w:szCs w:val="20"/>
              </w:rPr>
            </w:pPr>
            <w:r w:rsidRPr="004A0989">
              <w:rPr>
                <w:b/>
                <w:sz w:val="20"/>
                <w:szCs w:val="20"/>
              </w:rPr>
              <w:t>219.2</w:t>
            </w:r>
          </w:p>
        </w:tc>
        <w:tc>
          <w:tcPr>
            <w:tcW w:w="1328" w:type="dxa"/>
          </w:tcPr>
          <w:p w14:paraId="2B0B8714" w14:textId="77777777" w:rsidR="005767BC" w:rsidRPr="004A0989" w:rsidRDefault="005767BC" w:rsidP="00B539FA">
            <w:pPr>
              <w:jc w:val="right"/>
              <w:rPr>
                <w:b/>
                <w:sz w:val="20"/>
                <w:szCs w:val="20"/>
              </w:rPr>
            </w:pPr>
            <w:r w:rsidRPr="004A0989">
              <w:rPr>
                <w:b/>
                <w:sz w:val="20"/>
                <w:szCs w:val="20"/>
              </w:rPr>
              <w:t>1,497</w:t>
            </w:r>
          </w:p>
        </w:tc>
        <w:tc>
          <w:tcPr>
            <w:tcW w:w="1276" w:type="dxa"/>
          </w:tcPr>
          <w:p w14:paraId="7449E454" w14:textId="77777777" w:rsidR="005767BC" w:rsidRPr="004A0989" w:rsidRDefault="005767BC" w:rsidP="00B539FA">
            <w:pPr>
              <w:jc w:val="right"/>
              <w:rPr>
                <w:b/>
                <w:sz w:val="20"/>
                <w:szCs w:val="20"/>
              </w:rPr>
            </w:pPr>
            <w:r w:rsidRPr="004A0989">
              <w:rPr>
                <w:b/>
                <w:sz w:val="20"/>
                <w:szCs w:val="20"/>
              </w:rPr>
              <w:t>1,400.5</w:t>
            </w:r>
          </w:p>
        </w:tc>
        <w:tc>
          <w:tcPr>
            <w:tcW w:w="1252" w:type="dxa"/>
          </w:tcPr>
          <w:p w14:paraId="51C95117" w14:textId="77777777" w:rsidR="005767BC" w:rsidRPr="004A0989" w:rsidRDefault="005767BC" w:rsidP="00B539FA">
            <w:pPr>
              <w:jc w:val="right"/>
              <w:rPr>
                <w:b/>
                <w:sz w:val="20"/>
                <w:szCs w:val="20"/>
              </w:rPr>
            </w:pPr>
            <w:r w:rsidRPr="004A0989">
              <w:rPr>
                <w:b/>
                <w:sz w:val="20"/>
                <w:szCs w:val="20"/>
              </w:rPr>
              <w:t>238.8</w:t>
            </w:r>
          </w:p>
        </w:tc>
      </w:tr>
      <w:tr w:rsidR="005767BC" w:rsidRPr="00456361" w14:paraId="667755BD" w14:textId="77777777" w:rsidTr="00B539FA">
        <w:tc>
          <w:tcPr>
            <w:tcW w:w="9725" w:type="dxa"/>
            <w:gridSpan w:val="7"/>
            <w:shd w:val="clear" w:color="auto" w:fill="auto"/>
          </w:tcPr>
          <w:p w14:paraId="25FC989C" w14:textId="77777777" w:rsidR="005767BC" w:rsidRPr="00456361" w:rsidRDefault="005767BC" w:rsidP="00B539FA">
            <w:pPr>
              <w:rPr>
                <w:b/>
                <w:sz w:val="20"/>
                <w:szCs w:val="20"/>
              </w:rPr>
            </w:pPr>
            <w:r w:rsidRPr="00456361">
              <w:rPr>
                <w:b/>
                <w:sz w:val="20"/>
                <w:szCs w:val="20"/>
              </w:rPr>
              <w:t>Classification</w:t>
            </w:r>
          </w:p>
        </w:tc>
      </w:tr>
      <w:tr w:rsidR="005767BC" w:rsidRPr="00456361" w14:paraId="48FD7E64" w14:textId="77777777" w:rsidTr="00B539FA">
        <w:tc>
          <w:tcPr>
            <w:tcW w:w="2042" w:type="dxa"/>
            <w:shd w:val="clear" w:color="auto" w:fill="auto"/>
          </w:tcPr>
          <w:p w14:paraId="0B210EED" w14:textId="77777777" w:rsidR="005767BC" w:rsidRPr="00456361" w:rsidRDefault="005767BC" w:rsidP="00B539FA">
            <w:pPr>
              <w:rPr>
                <w:sz w:val="20"/>
                <w:szCs w:val="20"/>
              </w:rPr>
            </w:pPr>
            <w:r w:rsidRPr="00456361">
              <w:rPr>
                <w:sz w:val="20"/>
                <w:szCs w:val="20"/>
              </w:rPr>
              <w:t>Executive Officer 1</w:t>
            </w:r>
          </w:p>
        </w:tc>
        <w:tc>
          <w:tcPr>
            <w:tcW w:w="1289" w:type="dxa"/>
            <w:shd w:val="clear" w:color="auto" w:fill="auto"/>
          </w:tcPr>
          <w:p w14:paraId="0E4656B8" w14:textId="77777777" w:rsidR="005767BC" w:rsidRPr="00456361" w:rsidRDefault="005767BC" w:rsidP="00B539FA">
            <w:pPr>
              <w:jc w:val="right"/>
              <w:rPr>
                <w:sz w:val="20"/>
                <w:szCs w:val="20"/>
              </w:rPr>
            </w:pPr>
            <w:r w:rsidRPr="00456361">
              <w:rPr>
                <w:sz w:val="20"/>
                <w:szCs w:val="20"/>
              </w:rPr>
              <w:t>1</w:t>
            </w:r>
          </w:p>
        </w:tc>
        <w:tc>
          <w:tcPr>
            <w:tcW w:w="1187" w:type="dxa"/>
            <w:shd w:val="clear" w:color="auto" w:fill="auto"/>
          </w:tcPr>
          <w:p w14:paraId="3B79824C" w14:textId="77777777" w:rsidR="005767BC" w:rsidRPr="00456361" w:rsidRDefault="005767BC" w:rsidP="00B539FA">
            <w:pPr>
              <w:jc w:val="right"/>
              <w:rPr>
                <w:sz w:val="20"/>
                <w:szCs w:val="20"/>
              </w:rPr>
            </w:pPr>
            <w:r w:rsidRPr="00456361">
              <w:rPr>
                <w:sz w:val="20"/>
                <w:szCs w:val="20"/>
              </w:rPr>
              <w:t>1</w:t>
            </w:r>
          </w:p>
        </w:tc>
        <w:tc>
          <w:tcPr>
            <w:tcW w:w="1351" w:type="dxa"/>
            <w:shd w:val="clear" w:color="auto" w:fill="auto"/>
          </w:tcPr>
          <w:p w14:paraId="3F8872F4" w14:textId="77777777" w:rsidR="005767BC" w:rsidRPr="00456361" w:rsidRDefault="005767BC" w:rsidP="00B539FA">
            <w:pPr>
              <w:jc w:val="right"/>
              <w:rPr>
                <w:sz w:val="20"/>
                <w:szCs w:val="20"/>
              </w:rPr>
            </w:pPr>
            <w:r w:rsidRPr="00456361">
              <w:rPr>
                <w:sz w:val="20"/>
                <w:szCs w:val="20"/>
              </w:rPr>
              <w:t>0</w:t>
            </w:r>
          </w:p>
        </w:tc>
        <w:tc>
          <w:tcPr>
            <w:tcW w:w="1328" w:type="dxa"/>
          </w:tcPr>
          <w:p w14:paraId="70AED035" w14:textId="77777777" w:rsidR="005767BC" w:rsidRPr="00456361" w:rsidRDefault="005767BC" w:rsidP="00B539FA">
            <w:pPr>
              <w:jc w:val="right"/>
              <w:rPr>
                <w:sz w:val="20"/>
                <w:szCs w:val="20"/>
              </w:rPr>
            </w:pPr>
            <w:r w:rsidRPr="00456361">
              <w:rPr>
                <w:sz w:val="20"/>
                <w:szCs w:val="20"/>
              </w:rPr>
              <w:t>1</w:t>
            </w:r>
          </w:p>
        </w:tc>
        <w:tc>
          <w:tcPr>
            <w:tcW w:w="1276" w:type="dxa"/>
          </w:tcPr>
          <w:p w14:paraId="7D766BB9" w14:textId="77777777" w:rsidR="005767BC" w:rsidRPr="00456361" w:rsidRDefault="005767BC" w:rsidP="00B539FA">
            <w:pPr>
              <w:jc w:val="right"/>
              <w:rPr>
                <w:sz w:val="20"/>
                <w:szCs w:val="20"/>
              </w:rPr>
            </w:pPr>
            <w:r w:rsidRPr="00456361">
              <w:rPr>
                <w:sz w:val="20"/>
                <w:szCs w:val="20"/>
              </w:rPr>
              <w:t>1</w:t>
            </w:r>
          </w:p>
        </w:tc>
        <w:tc>
          <w:tcPr>
            <w:tcW w:w="1252" w:type="dxa"/>
          </w:tcPr>
          <w:p w14:paraId="430F9CC1" w14:textId="77777777" w:rsidR="005767BC" w:rsidRPr="00456361" w:rsidRDefault="005767BC" w:rsidP="00B539FA">
            <w:pPr>
              <w:jc w:val="right"/>
              <w:rPr>
                <w:sz w:val="20"/>
                <w:szCs w:val="20"/>
              </w:rPr>
            </w:pPr>
            <w:r w:rsidRPr="00456361">
              <w:rPr>
                <w:sz w:val="20"/>
                <w:szCs w:val="20"/>
              </w:rPr>
              <w:t>0</w:t>
            </w:r>
          </w:p>
        </w:tc>
      </w:tr>
      <w:tr w:rsidR="005767BC" w:rsidRPr="00456361" w14:paraId="23A65152" w14:textId="77777777" w:rsidTr="00B539FA">
        <w:tc>
          <w:tcPr>
            <w:tcW w:w="2042" w:type="dxa"/>
            <w:shd w:val="clear" w:color="auto" w:fill="auto"/>
          </w:tcPr>
          <w:p w14:paraId="3FE699D8" w14:textId="77777777" w:rsidR="005767BC" w:rsidRPr="00456361" w:rsidRDefault="005767BC" w:rsidP="00B539FA">
            <w:pPr>
              <w:rPr>
                <w:sz w:val="20"/>
                <w:szCs w:val="20"/>
              </w:rPr>
            </w:pPr>
            <w:r w:rsidRPr="00456361">
              <w:rPr>
                <w:sz w:val="20"/>
                <w:szCs w:val="20"/>
              </w:rPr>
              <w:t>Executive Officer 2</w:t>
            </w:r>
          </w:p>
        </w:tc>
        <w:tc>
          <w:tcPr>
            <w:tcW w:w="1289" w:type="dxa"/>
            <w:shd w:val="clear" w:color="auto" w:fill="auto"/>
          </w:tcPr>
          <w:p w14:paraId="0CA8D34E" w14:textId="77777777" w:rsidR="005767BC" w:rsidRPr="00456361" w:rsidRDefault="005767BC" w:rsidP="00B539FA">
            <w:pPr>
              <w:jc w:val="right"/>
              <w:rPr>
                <w:sz w:val="20"/>
                <w:szCs w:val="20"/>
              </w:rPr>
            </w:pPr>
            <w:r w:rsidRPr="00456361">
              <w:rPr>
                <w:sz w:val="20"/>
                <w:szCs w:val="20"/>
              </w:rPr>
              <w:t>3</w:t>
            </w:r>
          </w:p>
        </w:tc>
        <w:tc>
          <w:tcPr>
            <w:tcW w:w="1187" w:type="dxa"/>
            <w:shd w:val="clear" w:color="auto" w:fill="auto"/>
          </w:tcPr>
          <w:p w14:paraId="43BF1706" w14:textId="77777777" w:rsidR="005767BC" w:rsidRPr="00456361" w:rsidRDefault="005767BC" w:rsidP="00B539FA">
            <w:pPr>
              <w:jc w:val="right"/>
              <w:rPr>
                <w:sz w:val="20"/>
                <w:szCs w:val="20"/>
              </w:rPr>
            </w:pPr>
            <w:r w:rsidRPr="00456361">
              <w:rPr>
                <w:sz w:val="20"/>
                <w:szCs w:val="20"/>
              </w:rPr>
              <w:t>3</w:t>
            </w:r>
          </w:p>
        </w:tc>
        <w:tc>
          <w:tcPr>
            <w:tcW w:w="1351" w:type="dxa"/>
            <w:shd w:val="clear" w:color="auto" w:fill="auto"/>
          </w:tcPr>
          <w:p w14:paraId="14E32A28" w14:textId="77777777" w:rsidR="005767BC" w:rsidRPr="00456361" w:rsidRDefault="005767BC" w:rsidP="00B539FA">
            <w:pPr>
              <w:jc w:val="right"/>
              <w:rPr>
                <w:sz w:val="20"/>
                <w:szCs w:val="20"/>
              </w:rPr>
            </w:pPr>
            <w:r w:rsidRPr="00456361">
              <w:rPr>
                <w:sz w:val="20"/>
                <w:szCs w:val="20"/>
              </w:rPr>
              <w:t>0</w:t>
            </w:r>
          </w:p>
        </w:tc>
        <w:tc>
          <w:tcPr>
            <w:tcW w:w="1328" w:type="dxa"/>
          </w:tcPr>
          <w:p w14:paraId="69D5065D" w14:textId="77777777" w:rsidR="005767BC" w:rsidRPr="00456361" w:rsidRDefault="005767BC" w:rsidP="00B539FA">
            <w:pPr>
              <w:jc w:val="right"/>
              <w:rPr>
                <w:sz w:val="20"/>
                <w:szCs w:val="20"/>
              </w:rPr>
            </w:pPr>
            <w:r w:rsidRPr="00456361">
              <w:rPr>
                <w:sz w:val="20"/>
                <w:szCs w:val="20"/>
              </w:rPr>
              <w:t>6</w:t>
            </w:r>
          </w:p>
        </w:tc>
        <w:tc>
          <w:tcPr>
            <w:tcW w:w="1276" w:type="dxa"/>
          </w:tcPr>
          <w:p w14:paraId="2C6202B7" w14:textId="77777777" w:rsidR="005767BC" w:rsidRPr="00456361" w:rsidRDefault="005767BC" w:rsidP="00B539FA">
            <w:pPr>
              <w:jc w:val="right"/>
              <w:rPr>
                <w:sz w:val="20"/>
                <w:szCs w:val="20"/>
              </w:rPr>
            </w:pPr>
            <w:r w:rsidRPr="00456361">
              <w:rPr>
                <w:sz w:val="20"/>
                <w:szCs w:val="20"/>
              </w:rPr>
              <w:t>6</w:t>
            </w:r>
          </w:p>
        </w:tc>
        <w:tc>
          <w:tcPr>
            <w:tcW w:w="1252" w:type="dxa"/>
          </w:tcPr>
          <w:p w14:paraId="470EF3A8" w14:textId="77777777" w:rsidR="005767BC" w:rsidRPr="00456361" w:rsidRDefault="005767BC" w:rsidP="00B539FA">
            <w:pPr>
              <w:jc w:val="right"/>
              <w:rPr>
                <w:sz w:val="20"/>
                <w:szCs w:val="20"/>
              </w:rPr>
            </w:pPr>
            <w:r w:rsidRPr="00456361">
              <w:rPr>
                <w:sz w:val="20"/>
                <w:szCs w:val="20"/>
              </w:rPr>
              <w:t>0</w:t>
            </w:r>
          </w:p>
        </w:tc>
      </w:tr>
      <w:tr w:rsidR="005767BC" w:rsidRPr="00456361" w14:paraId="1F8E305F" w14:textId="77777777" w:rsidTr="00B539FA">
        <w:tc>
          <w:tcPr>
            <w:tcW w:w="2042" w:type="dxa"/>
            <w:shd w:val="clear" w:color="auto" w:fill="auto"/>
          </w:tcPr>
          <w:p w14:paraId="3E8A6FBC" w14:textId="77777777" w:rsidR="005767BC" w:rsidRPr="00456361" w:rsidRDefault="005767BC" w:rsidP="00B539FA">
            <w:pPr>
              <w:rPr>
                <w:sz w:val="20"/>
                <w:szCs w:val="20"/>
              </w:rPr>
            </w:pPr>
            <w:r w:rsidRPr="00456361">
              <w:rPr>
                <w:sz w:val="20"/>
                <w:szCs w:val="20"/>
              </w:rPr>
              <w:t>Executive Officer 3</w:t>
            </w:r>
          </w:p>
        </w:tc>
        <w:tc>
          <w:tcPr>
            <w:tcW w:w="1289" w:type="dxa"/>
            <w:shd w:val="clear" w:color="auto" w:fill="auto"/>
          </w:tcPr>
          <w:p w14:paraId="5FED5AEF" w14:textId="77777777" w:rsidR="005767BC" w:rsidRPr="00456361" w:rsidRDefault="005767BC" w:rsidP="00B539FA">
            <w:pPr>
              <w:jc w:val="right"/>
              <w:rPr>
                <w:sz w:val="20"/>
                <w:szCs w:val="20"/>
              </w:rPr>
            </w:pPr>
            <w:r w:rsidRPr="00456361">
              <w:rPr>
                <w:sz w:val="20"/>
                <w:szCs w:val="20"/>
              </w:rPr>
              <w:t>5</w:t>
            </w:r>
          </w:p>
        </w:tc>
        <w:tc>
          <w:tcPr>
            <w:tcW w:w="1187" w:type="dxa"/>
            <w:shd w:val="clear" w:color="auto" w:fill="auto"/>
          </w:tcPr>
          <w:p w14:paraId="2FC66249" w14:textId="77777777" w:rsidR="005767BC" w:rsidRPr="00456361" w:rsidRDefault="005767BC" w:rsidP="00B539FA">
            <w:pPr>
              <w:jc w:val="right"/>
              <w:rPr>
                <w:sz w:val="20"/>
                <w:szCs w:val="20"/>
              </w:rPr>
            </w:pPr>
            <w:r w:rsidRPr="00456361">
              <w:rPr>
                <w:sz w:val="20"/>
                <w:szCs w:val="20"/>
              </w:rPr>
              <w:t>5</w:t>
            </w:r>
          </w:p>
        </w:tc>
        <w:tc>
          <w:tcPr>
            <w:tcW w:w="1351" w:type="dxa"/>
            <w:shd w:val="clear" w:color="auto" w:fill="auto"/>
          </w:tcPr>
          <w:p w14:paraId="68B54DBA" w14:textId="77777777" w:rsidR="005767BC" w:rsidRPr="00456361" w:rsidRDefault="005767BC" w:rsidP="00B539FA">
            <w:pPr>
              <w:jc w:val="right"/>
              <w:rPr>
                <w:sz w:val="20"/>
                <w:szCs w:val="20"/>
              </w:rPr>
            </w:pPr>
            <w:r w:rsidRPr="00456361">
              <w:rPr>
                <w:sz w:val="20"/>
                <w:szCs w:val="20"/>
              </w:rPr>
              <w:t>0</w:t>
            </w:r>
          </w:p>
        </w:tc>
        <w:tc>
          <w:tcPr>
            <w:tcW w:w="1328" w:type="dxa"/>
          </w:tcPr>
          <w:p w14:paraId="0E73D627" w14:textId="77777777" w:rsidR="005767BC" w:rsidRPr="00456361" w:rsidRDefault="005767BC" w:rsidP="00B539FA">
            <w:pPr>
              <w:jc w:val="right"/>
              <w:rPr>
                <w:sz w:val="20"/>
                <w:szCs w:val="20"/>
              </w:rPr>
            </w:pPr>
            <w:r w:rsidRPr="00456361">
              <w:rPr>
                <w:sz w:val="20"/>
                <w:szCs w:val="20"/>
              </w:rPr>
              <w:t>5</w:t>
            </w:r>
          </w:p>
        </w:tc>
        <w:tc>
          <w:tcPr>
            <w:tcW w:w="1276" w:type="dxa"/>
          </w:tcPr>
          <w:p w14:paraId="0CEB5A22" w14:textId="77777777" w:rsidR="005767BC" w:rsidRPr="00456361" w:rsidRDefault="005767BC" w:rsidP="00B539FA">
            <w:pPr>
              <w:jc w:val="right"/>
              <w:rPr>
                <w:sz w:val="20"/>
                <w:szCs w:val="20"/>
              </w:rPr>
            </w:pPr>
            <w:r w:rsidRPr="00456361">
              <w:rPr>
                <w:sz w:val="20"/>
                <w:szCs w:val="20"/>
              </w:rPr>
              <w:t>5</w:t>
            </w:r>
          </w:p>
        </w:tc>
        <w:tc>
          <w:tcPr>
            <w:tcW w:w="1252" w:type="dxa"/>
          </w:tcPr>
          <w:p w14:paraId="3BED742A" w14:textId="77777777" w:rsidR="005767BC" w:rsidRPr="00456361" w:rsidRDefault="005767BC" w:rsidP="00B539FA">
            <w:pPr>
              <w:jc w:val="right"/>
              <w:rPr>
                <w:sz w:val="20"/>
                <w:szCs w:val="20"/>
              </w:rPr>
            </w:pPr>
            <w:r w:rsidRPr="00456361">
              <w:rPr>
                <w:sz w:val="20"/>
                <w:szCs w:val="20"/>
              </w:rPr>
              <w:t>0</w:t>
            </w:r>
          </w:p>
        </w:tc>
      </w:tr>
      <w:tr w:rsidR="005767BC" w:rsidRPr="00456361" w14:paraId="5D249BDD" w14:textId="77777777" w:rsidTr="00B539FA">
        <w:tc>
          <w:tcPr>
            <w:tcW w:w="2042" w:type="dxa"/>
            <w:shd w:val="clear" w:color="auto" w:fill="auto"/>
          </w:tcPr>
          <w:p w14:paraId="2CE2806F" w14:textId="77777777" w:rsidR="005767BC" w:rsidRPr="00456361" w:rsidRDefault="005767BC" w:rsidP="00B539FA">
            <w:pPr>
              <w:rPr>
                <w:sz w:val="20"/>
                <w:szCs w:val="20"/>
              </w:rPr>
            </w:pPr>
            <w:r w:rsidRPr="00456361">
              <w:rPr>
                <w:sz w:val="20"/>
                <w:szCs w:val="20"/>
              </w:rPr>
              <w:t>VPS 1</w:t>
            </w:r>
          </w:p>
        </w:tc>
        <w:tc>
          <w:tcPr>
            <w:tcW w:w="1289" w:type="dxa"/>
            <w:shd w:val="clear" w:color="auto" w:fill="auto"/>
          </w:tcPr>
          <w:p w14:paraId="0865E696" w14:textId="77777777" w:rsidR="005767BC" w:rsidRPr="00456361" w:rsidRDefault="005767BC" w:rsidP="00B539FA">
            <w:pPr>
              <w:jc w:val="right"/>
              <w:rPr>
                <w:sz w:val="20"/>
                <w:szCs w:val="20"/>
              </w:rPr>
            </w:pPr>
            <w:r w:rsidRPr="00456361">
              <w:rPr>
                <w:sz w:val="20"/>
                <w:szCs w:val="20"/>
              </w:rPr>
              <w:t>1</w:t>
            </w:r>
          </w:p>
        </w:tc>
        <w:tc>
          <w:tcPr>
            <w:tcW w:w="1187" w:type="dxa"/>
            <w:shd w:val="clear" w:color="auto" w:fill="auto"/>
          </w:tcPr>
          <w:p w14:paraId="484BCE2D" w14:textId="77777777" w:rsidR="005767BC" w:rsidRPr="00456361" w:rsidRDefault="005767BC" w:rsidP="00B539FA">
            <w:pPr>
              <w:jc w:val="right"/>
              <w:rPr>
                <w:sz w:val="20"/>
                <w:szCs w:val="20"/>
              </w:rPr>
            </w:pPr>
            <w:r w:rsidRPr="00456361">
              <w:rPr>
                <w:sz w:val="20"/>
                <w:szCs w:val="20"/>
              </w:rPr>
              <w:t>0.8</w:t>
            </w:r>
          </w:p>
        </w:tc>
        <w:tc>
          <w:tcPr>
            <w:tcW w:w="1351" w:type="dxa"/>
            <w:shd w:val="clear" w:color="auto" w:fill="auto"/>
          </w:tcPr>
          <w:p w14:paraId="1F316B57" w14:textId="77777777" w:rsidR="005767BC" w:rsidRPr="00456361" w:rsidRDefault="005767BC" w:rsidP="00B539FA">
            <w:pPr>
              <w:jc w:val="right"/>
              <w:rPr>
                <w:sz w:val="20"/>
                <w:szCs w:val="20"/>
              </w:rPr>
            </w:pPr>
            <w:r w:rsidRPr="00456361">
              <w:rPr>
                <w:sz w:val="20"/>
                <w:szCs w:val="20"/>
              </w:rPr>
              <w:t>0</w:t>
            </w:r>
          </w:p>
        </w:tc>
        <w:tc>
          <w:tcPr>
            <w:tcW w:w="1328" w:type="dxa"/>
          </w:tcPr>
          <w:p w14:paraId="45EFBE06" w14:textId="77777777" w:rsidR="005767BC" w:rsidRPr="00456361" w:rsidRDefault="005767BC" w:rsidP="00B539FA">
            <w:pPr>
              <w:jc w:val="right"/>
              <w:rPr>
                <w:sz w:val="20"/>
                <w:szCs w:val="20"/>
              </w:rPr>
            </w:pPr>
            <w:r w:rsidRPr="00456361">
              <w:rPr>
                <w:sz w:val="20"/>
                <w:szCs w:val="20"/>
              </w:rPr>
              <w:t>0</w:t>
            </w:r>
          </w:p>
        </w:tc>
        <w:tc>
          <w:tcPr>
            <w:tcW w:w="1276" w:type="dxa"/>
          </w:tcPr>
          <w:p w14:paraId="1959C8B8" w14:textId="77777777" w:rsidR="005767BC" w:rsidRPr="00456361" w:rsidRDefault="005767BC" w:rsidP="00B539FA">
            <w:pPr>
              <w:jc w:val="right"/>
              <w:rPr>
                <w:sz w:val="20"/>
                <w:szCs w:val="20"/>
              </w:rPr>
            </w:pPr>
            <w:r w:rsidRPr="00456361">
              <w:rPr>
                <w:sz w:val="20"/>
                <w:szCs w:val="20"/>
              </w:rPr>
              <w:t>0</w:t>
            </w:r>
          </w:p>
        </w:tc>
        <w:tc>
          <w:tcPr>
            <w:tcW w:w="1252" w:type="dxa"/>
          </w:tcPr>
          <w:p w14:paraId="2475FAD6" w14:textId="77777777" w:rsidR="005767BC" w:rsidRPr="00456361" w:rsidRDefault="005767BC" w:rsidP="00B539FA">
            <w:pPr>
              <w:jc w:val="right"/>
              <w:rPr>
                <w:sz w:val="20"/>
                <w:szCs w:val="20"/>
              </w:rPr>
            </w:pPr>
            <w:r w:rsidRPr="00456361">
              <w:rPr>
                <w:sz w:val="20"/>
                <w:szCs w:val="20"/>
              </w:rPr>
              <w:t>0</w:t>
            </w:r>
          </w:p>
        </w:tc>
      </w:tr>
      <w:tr w:rsidR="005767BC" w:rsidRPr="00456361" w14:paraId="229CD47F" w14:textId="77777777" w:rsidTr="00B539FA">
        <w:tc>
          <w:tcPr>
            <w:tcW w:w="2042" w:type="dxa"/>
            <w:shd w:val="clear" w:color="auto" w:fill="auto"/>
          </w:tcPr>
          <w:p w14:paraId="607C48FF" w14:textId="77777777" w:rsidR="005767BC" w:rsidRPr="00456361" w:rsidRDefault="005767BC" w:rsidP="00B539FA">
            <w:pPr>
              <w:rPr>
                <w:sz w:val="20"/>
                <w:szCs w:val="20"/>
              </w:rPr>
            </w:pPr>
            <w:r w:rsidRPr="00456361">
              <w:rPr>
                <w:sz w:val="20"/>
                <w:szCs w:val="20"/>
              </w:rPr>
              <w:t>VPS 2</w:t>
            </w:r>
          </w:p>
        </w:tc>
        <w:tc>
          <w:tcPr>
            <w:tcW w:w="1289" w:type="dxa"/>
            <w:shd w:val="clear" w:color="auto" w:fill="auto"/>
          </w:tcPr>
          <w:p w14:paraId="1B094511" w14:textId="77777777" w:rsidR="005767BC" w:rsidRPr="00456361" w:rsidRDefault="005767BC" w:rsidP="00B539FA">
            <w:pPr>
              <w:jc w:val="right"/>
              <w:rPr>
                <w:sz w:val="20"/>
                <w:szCs w:val="20"/>
              </w:rPr>
            </w:pPr>
            <w:r w:rsidRPr="00456361">
              <w:rPr>
                <w:sz w:val="20"/>
                <w:szCs w:val="20"/>
              </w:rPr>
              <w:t>373</w:t>
            </w:r>
          </w:p>
        </w:tc>
        <w:tc>
          <w:tcPr>
            <w:tcW w:w="1187" w:type="dxa"/>
            <w:shd w:val="clear" w:color="auto" w:fill="auto"/>
          </w:tcPr>
          <w:p w14:paraId="4DAB5C44" w14:textId="77777777" w:rsidR="005767BC" w:rsidRPr="00456361" w:rsidRDefault="005767BC" w:rsidP="00B539FA">
            <w:pPr>
              <w:jc w:val="right"/>
              <w:rPr>
                <w:sz w:val="20"/>
                <w:szCs w:val="20"/>
              </w:rPr>
            </w:pPr>
            <w:r w:rsidRPr="00456361">
              <w:rPr>
                <w:sz w:val="20"/>
                <w:szCs w:val="20"/>
              </w:rPr>
              <w:t>350.6</w:t>
            </w:r>
          </w:p>
        </w:tc>
        <w:tc>
          <w:tcPr>
            <w:tcW w:w="1351" w:type="dxa"/>
            <w:shd w:val="clear" w:color="auto" w:fill="auto"/>
          </w:tcPr>
          <w:p w14:paraId="41FF744B" w14:textId="77777777" w:rsidR="005767BC" w:rsidRPr="00456361" w:rsidRDefault="005767BC" w:rsidP="00B539FA">
            <w:pPr>
              <w:jc w:val="right"/>
              <w:rPr>
                <w:sz w:val="20"/>
                <w:szCs w:val="20"/>
              </w:rPr>
            </w:pPr>
            <w:r w:rsidRPr="00456361">
              <w:rPr>
                <w:sz w:val="20"/>
                <w:szCs w:val="20"/>
              </w:rPr>
              <w:t>89.9</w:t>
            </w:r>
          </w:p>
        </w:tc>
        <w:tc>
          <w:tcPr>
            <w:tcW w:w="1328" w:type="dxa"/>
          </w:tcPr>
          <w:p w14:paraId="001D480D" w14:textId="77777777" w:rsidR="005767BC" w:rsidRPr="00456361" w:rsidRDefault="005767BC" w:rsidP="00B539FA">
            <w:pPr>
              <w:jc w:val="right"/>
              <w:rPr>
                <w:sz w:val="20"/>
                <w:szCs w:val="20"/>
              </w:rPr>
            </w:pPr>
            <w:r w:rsidRPr="00456361">
              <w:rPr>
                <w:sz w:val="20"/>
                <w:szCs w:val="20"/>
              </w:rPr>
              <w:t>346</w:t>
            </w:r>
          </w:p>
        </w:tc>
        <w:tc>
          <w:tcPr>
            <w:tcW w:w="1276" w:type="dxa"/>
          </w:tcPr>
          <w:p w14:paraId="7E61D64A" w14:textId="77777777" w:rsidR="005767BC" w:rsidRPr="00456361" w:rsidRDefault="005767BC" w:rsidP="00B539FA">
            <w:pPr>
              <w:jc w:val="right"/>
              <w:rPr>
                <w:sz w:val="20"/>
                <w:szCs w:val="20"/>
              </w:rPr>
            </w:pPr>
            <w:r w:rsidRPr="00456361">
              <w:rPr>
                <w:sz w:val="20"/>
                <w:szCs w:val="20"/>
              </w:rPr>
              <w:t>326.3</w:t>
            </w:r>
          </w:p>
        </w:tc>
        <w:tc>
          <w:tcPr>
            <w:tcW w:w="1252" w:type="dxa"/>
          </w:tcPr>
          <w:p w14:paraId="0A66BE3D" w14:textId="77777777" w:rsidR="005767BC" w:rsidRPr="00456361" w:rsidRDefault="005767BC" w:rsidP="00B539FA">
            <w:pPr>
              <w:jc w:val="right"/>
              <w:rPr>
                <w:sz w:val="20"/>
                <w:szCs w:val="20"/>
              </w:rPr>
            </w:pPr>
            <w:r w:rsidRPr="00456361">
              <w:rPr>
                <w:sz w:val="20"/>
                <w:szCs w:val="20"/>
              </w:rPr>
              <w:t>98</w:t>
            </w:r>
          </w:p>
        </w:tc>
      </w:tr>
      <w:tr w:rsidR="005767BC" w:rsidRPr="00456361" w14:paraId="047F6F83" w14:textId="77777777" w:rsidTr="00B539FA">
        <w:tc>
          <w:tcPr>
            <w:tcW w:w="2042" w:type="dxa"/>
            <w:shd w:val="clear" w:color="auto" w:fill="auto"/>
          </w:tcPr>
          <w:p w14:paraId="7590D7A9" w14:textId="77777777" w:rsidR="005767BC" w:rsidRPr="00456361" w:rsidRDefault="005767BC" w:rsidP="00B539FA">
            <w:pPr>
              <w:rPr>
                <w:sz w:val="20"/>
                <w:szCs w:val="20"/>
              </w:rPr>
            </w:pPr>
            <w:r w:rsidRPr="00456361">
              <w:rPr>
                <w:sz w:val="20"/>
                <w:szCs w:val="20"/>
              </w:rPr>
              <w:t>VPS 3</w:t>
            </w:r>
          </w:p>
        </w:tc>
        <w:tc>
          <w:tcPr>
            <w:tcW w:w="1289" w:type="dxa"/>
            <w:shd w:val="clear" w:color="auto" w:fill="auto"/>
          </w:tcPr>
          <w:p w14:paraId="50AE7231" w14:textId="77777777" w:rsidR="005767BC" w:rsidRPr="00456361" w:rsidRDefault="005767BC" w:rsidP="00B539FA">
            <w:pPr>
              <w:jc w:val="right"/>
              <w:rPr>
                <w:sz w:val="20"/>
                <w:szCs w:val="20"/>
              </w:rPr>
            </w:pPr>
            <w:r w:rsidRPr="00456361">
              <w:rPr>
                <w:sz w:val="20"/>
                <w:szCs w:val="20"/>
              </w:rPr>
              <w:t>250</w:t>
            </w:r>
          </w:p>
        </w:tc>
        <w:tc>
          <w:tcPr>
            <w:tcW w:w="1187" w:type="dxa"/>
            <w:shd w:val="clear" w:color="auto" w:fill="auto"/>
          </w:tcPr>
          <w:p w14:paraId="4F5FAF1F" w14:textId="77777777" w:rsidR="005767BC" w:rsidRPr="00456361" w:rsidRDefault="005767BC" w:rsidP="00B539FA">
            <w:pPr>
              <w:jc w:val="right"/>
              <w:rPr>
                <w:sz w:val="20"/>
                <w:szCs w:val="20"/>
              </w:rPr>
            </w:pPr>
            <w:r w:rsidRPr="00456361">
              <w:rPr>
                <w:sz w:val="20"/>
                <w:szCs w:val="20"/>
              </w:rPr>
              <w:t>232.5</w:t>
            </w:r>
          </w:p>
        </w:tc>
        <w:tc>
          <w:tcPr>
            <w:tcW w:w="1351" w:type="dxa"/>
            <w:shd w:val="clear" w:color="auto" w:fill="auto"/>
          </w:tcPr>
          <w:p w14:paraId="24CE12A1" w14:textId="77777777" w:rsidR="005767BC" w:rsidRPr="00456361" w:rsidRDefault="005767BC" w:rsidP="00B539FA">
            <w:pPr>
              <w:jc w:val="right"/>
              <w:rPr>
                <w:sz w:val="20"/>
                <w:szCs w:val="20"/>
              </w:rPr>
            </w:pPr>
            <w:r w:rsidRPr="00456361">
              <w:rPr>
                <w:sz w:val="20"/>
                <w:szCs w:val="20"/>
              </w:rPr>
              <w:t>78.4</w:t>
            </w:r>
          </w:p>
        </w:tc>
        <w:tc>
          <w:tcPr>
            <w:tcW w:w="1328" w:type="dxa"/>
          </w:tcPr>
          <w:p w14:paraId="10AD6037" w14:textId="77777777" w:rsidR="005767BC" w:rsidRPr="00456361" w:rsidRDefault="005767BC" w:rsidP="00B539FA">
            <w:pPr>
              <w:jc w:val="right"/>
              <w:rPr>
                <w:sz w:val="20"/>
                <w:szCs w:val="20"/>
              </w:rPr>
            </w:pPr>
            <w:r w:rsidRPr="00456361">
              <w:rPr>
                <w:sz w:val="20"/>
                <w:szCs w:val="20"/>
              </w:rPr>
              <w:t>228</w:t>
            </w:r>
          </w:p>
        </w:tc>
        <w:tc>
          <w:tcPr>
            <w:tcW w:w="1276" w:type="dxa"/>
          </w:tcPr>
          <w:p w14:paraId="6650DA85" w14:textId="77777777" w:rsidR="005767BC" w:rsidRPr="00456361" w:rsidRDefault="005767BC" w:rsidP="00B539FA">
            <w:pPr>
              <w:jc w:val="right"/>
              <w:rPr>
                <w:sz w:val="20"/>
                <w:szCs w:val="20"/>
              </w:rPr>
            </w:pPr>
            <w:r w:rsidRPr="00456361">
              <w:rPr>
                <w:sz w:val="20"/>
                <w:szCs w:val="20"/>
              </w:rPr>
              <w:t>211.7</w:t>
            </w:r>
          </w:p>
        </w:tc>
        <w:tc>
          <w:tcPr>
            <w:tcW w:w="1252" w:type="dxa"/>
          </w:tcPr>
          <w:p w14:paraId="46DC1787" w14:textId="77777777" w:rsidR="005767BC" w:rsidRPr="00456361" w:rsidRDefault="005767BC" w:rsidP="00B539FA">
            <w:pPr>
              <w:jc w:val="right"/>
              <w:rPr>
                <w:sz w:val="20"/>
                <w:szCs w:val="20"/>
              </w:rPr>
            </w:pPr>
            <w:r w:rsidRPr="00456361">
              <w:rPr>
                <w:sz w:val="20"/>
                <w:szCs w:val="20"/>
              </w:rPr>
              <w:t>91.3</w:t>
            </w:r>
          </w:p>
        </w:tc>
      </w:tr>
      <w:tr w:rsidR="005767BC" w:rsidRPr="00456361" w14:paraId="125854A5" w14:textId="77777777" w:rsidTr="00B539FA">
        <w:tc>
          <w:tcPr>
            <w:tcW w:w="2042" w:type="dxa"/>
            <w:shd w:val="clear" w:color="auto" w:fill="auto"/>
          </w:tcPr>
          <w:p w14:paraId="27E5A36C" w14:textId="77777777" w:rsidR="005767BC" w:rsidRPr="00456361" w:rsidRDefault="005767BC" w:rsidP="00B539FA">
            <w:pPr>
              <w:rPr>
                <w:sz w:val="20"/>
                <w:szCs w:val="20"/>
              </w:rPr>
            </w:pPr>
            <w:r w:rsidRPr="00456361">
              <w:rPr>
                <w:sz w:val="20"/>
                <w:szCs w:val="20"/>
              </w:rPr>
              <w:t>VPS 4</w:t>
            </w:r>
          </w:p>
        </w:tc>
        <w:tc>
          <w:tcPr>
            <w:tcW w:w="1289" w:type="dxa"/>
            <w:shd w:val="clear" w:color="auto" w:fill="auto"/>
          </w:tcPr>
          <w:p w14:paraId="2FBB2DDE" w14:textId="77777777" w:rsidR="005767BC" w:rsidRPr="00456361" w:rsidRDefault="005767BC" w:rsidP="00B539FA">
            <w:pPr>
              <w:jc w:val="right"/>
              <w:rPr>
                <w:sz w:val="20"/>
                <w:szCs w:val="20"/>
              </w:rPr>
            </w:pPr>
            <w:r w:rsidRPr="00456361">
              <w:rPr>
                <w:sz w:val="20"/>
                <w:szCs w:val="20"/>
              </w:rPr>
              <w:t>168</w:t>
            </w:r>
          </w:p>
        </w:tc>
        <w:tc>
          <w:tcPr>
            <w:tcW w:w="1187" w:type="dxa"/>
            <w:shd w:val="clear" w:color="auto" w:fill="auto"/>
          </w:tcPr>
          <w:p w14:paraId="3ADB6A00" w14:textId="77777777" w:rsidR="005767BC" w:rsidRPr="00456361" w:rsidRDefault="005767BC" w:rsidP="00B539FA">
            <w:pPr>
              <w:jc w:val="right"/>
              <w:rPr>
                <w:sz w:val="20"/>
                <w:szCs w:val="20"/>
              </w:rPr>
            </w:pPr>
            <w:r w:rsidRPr="00456361">
              <w:rPr>
                <w:sz w:val="20"/>
                <w:szCs w:val="20"/>
              </w:rPr>
              <w:t>155.5</w:t>
            </w:r>
          </w:p>
        </w:tc>
        <w:tc>
          <w:tcPr>
            <w:tcW w:w="1351" w:type="dxa"/>
            <w:shd w:val="clear" w:color="auto" w:fill="auto"/>
          </w:tcPr>
          <w:p w14:paraId="0E7E5F5D" w14:textId="77777777" w:rsidR="005767BC" w:rsidRPr="00456361" w:rsidRDefault="005767BC" w:rsidP="00B539FA">
            <w:pPr>
              <w:jc w:val="right"/>
              <w:rPr>
                <w:sz w:val="20"/>
                <w:szCs w:val="20"/>
              </w:rPr>
            </w:pPr>
            <w:r w:rsidRPr="00456361">
              <w:rPr>
                <w:sz w:val="20"/>
                <w:szCs w:val="20"/>
              </w:rPr>
              <w:t>21.6</w:t>
            </w:r>
          </w:p>
        </w:tc>
        <w:tc>
          <w:tcPr>
            <w:tcW w:w="1328" w:type="dxa"/>
          </w:tcPr>
          <w:p w14:paraId="211D32B4" w14:textId="77777777" w:rsidR="005767BC" w:rsidRPr="00456361" w:rsidRDefault="005767BC" w:rsidP="00B539FA">
            <w:pPr>
              <w:jc w:val="right"/>
              <w:rPr>
                <w:sz w:val="20"/>
                <w:szCs w:val="20"/>
              </w:rPr>
            </w:pPr>
            <w:r w:rsidRPr="00456361">
              <w:rPr>
                <w:sz w:val="20"/>
                <w:szCs w:val="20"/>
              </w:rPr>
              <w:t>162</w:t>
            </w:r>
          </w:p>
        </w:tc>
        <w:tc>
          <w:tcPr>
            <w:tcW w:w="1276" w:type="dxa"/>
          </w:tcPr>
          <w:p w14:paraId="782ED48A" w14:textId="77777777" w:rsidR="005767BC" w:rsidRPr="00456361" w:rsidRDefault="005767BC" w:rsidP="00B539FA">
            <w:pPr>
              <w:jc w:val="right"/>
              <w:rPr>
                <w:sz w:val="20"/>
                <w:szCs w:val="20"/>
              </w:rPr>
            </w:pPr>
            <w:r w:rsidRPr="00456361">
              <w:rPr>
                <w:sz w:val="20"/>
                <w:szCs w:val="20"/>
              </w:rPr>
              <w:t>149.9</w:t>
            </w:r>
          </w:p>
        </w:tc>
        <w:tc>
          <w:tcPr>
            <w:tcW w:w="1252" w:type="dxa"/>
          </w:tcPr>
          <w:p w14:paraId="379CB855" w14:textId="77777777" w:rsidR="005767BC" w:rsidRPr="00456361" w:rsidRDefault="005767BC" w:rsidP="00B539FA">
            <w:pPr>
              <w:jc w:val="right"/>
              <w:rPr>
                <w:sz w:val="20"/>
                <w:szCs w:val="20"/>
              </w:rPr>
            </w:pPr>
            <w:r w:rsidRPr="00456361">
              <w:rPr>
                <w:sz w:val="20"/>
                <w:szCs w:val="20"/>
              </w:rPr>
              <w:t>19.9</w:t>
            </w:r>
          </w:p>
        </w:tc>
      </w:tr>
      <w:tr w:rsidR="005767BC" w:rsidRPr="00456361" w14:paraId="3CC34480" w14:textId="77777777" w:rsidTr="00B539FA">
        <w:tc>
          <w:tcPr>
            <w:tcW w:w="2042" w:type="dxa"/>
            <w:shd w:val="clear" w:color="auto" w:fill="auto"/>
          </w:tcPr>
          <w:p w14:paraId="61B40785" w14:textId="77777777" w:rsidR="005767BC" w:rsidRPr="00456361" w:rsidRDefault="005767BC" w:rsidP="00B539FA">
            <w:pPr>
              <w:rPr>
                <w:sz w:val="20"/>
                <w:szCs w:val="20"/>
              </w:rPr>
            </w:pPr>
            <w:r w:rsidRPr="00456361">
              <w:rPr>
                <w:sz w:val="20"/>
                <w:szCs w:val="20"/>
              </w:rPr>
              <w:t>VPS 5</w:t>
            </w:r>
          </w:p>
        </w:tc>
        <w:tc>
          <w:tcPr>
            <w:tcW w:w="1289" w:type="dxa"/>
            <w:shd w:val="clear" w:color="auto" w:fill="auto"/>
          </w:tcPr>
          <w:p w14:paraId="52916164" w14:textId="77777777" w:rsidR="005767BC" w:rsidRPr="00456361" w:rsidRDefault="005767BC" w:rsidP="00B539FA">
            <w:pPr>
              <w:jc w:val="right"/>
              <w:rPr>
                <w:sz w:val="20"/>
                <w:szCs w:val="20"/>
              </w:rPr>
            </w:pPr>
            <w:r w:rsidRPr="00456361">
              <w:rPr>
                <w:sz w:val="20"/>
                <w:szCs w:val="20"/>
              </w:rPr>
              <w:t>117</w:t>
            </w:r>
          </w:p>
        </w:tc>
        <w:tc>
          <w:tcPr>
            <w:tcW w:w="1187" w:type="dxa"/>
            <w:shd w:val="clear" w:color="auto" w:fill="auto"/>
          </w:tcPr>
          <w:p w14:paraId="2E521EA2" w14:textId="77777777" w:rsidR="005767BC" w:rsidRPr="00456361" w:rsidRDefault="005767BC" w:rsidP="00B539FA">
            <w:pPr>
              <w:jc w:val="right"/>
              <w:rPr>
                <w:sz w:val="20"/>
                <w:szCs w:val="20"/>
              </w:rPr>
            </w:pPr>
            <w:r w:rsidRPr="00456361">
              <w:rPr>
                <w:sz w:val="20"/>
                <w:szCs w:val="20"/>
              </w:rPr>
              <w:t>113</w:t>
            </w:r>
          </w:p>
        </w:tc>
        <w:tc>
          <w:tcPr>
            <w:tcW w:w="1351" w:type="dxa"/>
            <w:shd w:val="clear" w:color="auto" w:fill="auto"/>
          </w:tcPr>
          <w:p w14:paraId="1F6DF682" w14:textId="77777777" w:rsidR="005767BC" w:rsidRPr="00456361" w:rsidRDefault="005767BC" w:rsidP="00B539FA">
            <w:pPr>
              <w:jc w:val="right"/>
              <w:rPr>
                <w:sz w:val="20"/>
                <w:szCs w:val="20"/>
              </w:rPr>
            </w:pPr>
            <w:r w:rsidRPr="00456361">
              <w:rPr>
                <w:sz w:val="20"/>
                <w:szCs w:val="20"/>
              </w:rPr>
              <w:t>15</w:t>
            </w:r>
          </w:p>
        </w:tc>
        <w:tc>
          <w:tcPr>
            <w:tcW w:w="1328" w:type="dxa"/>
          </w:tcPr>
          <w:p w14:paraId="5896A1E8" w14:textId="77777777" w:rsidR="005767BC" w:rsidRPr="00456361" w:rsidRDefault="005767BC" w:rsidP="00B539FA">
            <w:pPr>
              <w:jc w:val="right"/>
              <w:rPr>
                <w:sz w:val="20"/>
                <w:szCs w:val="20"/>
              </w:rPr>
            </w:pPr>
            <w:r w:rsidRPr="00456361">
              <w:rPr>
                <w:sz w:val="20"/>
                <w:szCs w:val="20"/>
              </w:rPr>
              <w:t>116</w:t>
            </w:r>
          </w:p>
        </w:tc>
        <w:tc>
          <w:tcPr>
            <w:tcW w:w="1276" w:type="dxa"/>
          </w:tcPr>
          <w:p w14:paraId="25CE2277" w14:textId="77777777" w:rsidR="005767BC" w:rsidRPr="00456361" w:rsidRDefault="005767BC" w:rsidP="00B539FA">
            <w:pPr>
              <w:jc w:val="right"/>
              <w:rPr>
                <w:sz w:val="20"/>
                <w:szCs w:val="20"/>
              </w:rPr>
            </w:pPr>
            <w:r w:rsidRPr="00456361">
              <w:rPr>
                <w:sz w:val="20"/>
                <w:szCs w:val="20"/>
              </w:rPr>
              <w:t>110.8</w:t>
            </w:r>
          </w:p>
        </w:tc>
        <w:tc>
          <w:tcPr>
            <w:tcW w:w="1252" w:type="dxa"/>
          </w:tcPr>
          <w:p w14:paraId="700CF942" w14:textId="77777777" w:rsidR="005767BC" w:rsidRPr="00456361" w:rsidRDefault="005767BC" w:rsidP="00B539FA">
            <w:pPr>
              <w:jc w:val="right"/>
              <w:rPr>
                <w:sz w:val="20"/>
                <w:szCs w:val="20"/>
              </w:rPr>
            </w:pPr>
            <w:r w:rsidRPr="00456361">
              <w:rPr>
                <w:sz w:val="20"/>
                <w:szCs w:val="20"/>
              </w:rPr>
              <w:t>18.4</w:t>
            </w:r>
          </w:p>
        </w:tc>
      </w:tr>
      <w:tr w:rsidR="005767BC" w:rsidRPr="00456361" w14:paraId="120A9714" w14:textId="77777777" w:rsidTr="00B539FA">
        <w:tc>
          <w:tcPr>
            <w:tcW w:w="2042" w:type="dxa"/>
            <w:shd w:val="clear" w:color="auto" w:fill="auto"/>
          </w:tcPr>
          <w:p w14:paraId="2A27AF27" w14:textId="77777777" w:rsidR="005767BC" w:rsidRPr="00456361" w:rsidRDefault="005767BC" w:rsidP="00B539FA">
            <w:pPr>
              <w:rPr>
                <w:sz w:val="20"/>
                <w:szCs w:val="20"/>
              </w:rPr>
            </w:pPr>
            <w:r w:rsidRPr="00456361">
              <w:rPr>
                <w:sz w:val="20"/>
                <w:szCs w:val="20"/>
              </w:rPr>
              <w:t>VPS 6</w:t>
            </w:r>
          </w:p>
        </w:tc>
        <w:tc>
          <w:tcPr>
            <w:tcW w:w="1289" w:type="dxa"/>
            <w:shd w:val="clear" w:color="auto" w:fill="auto"/>
          </w:tcPr>
          <w:p w14:paraId="4F773E0A" w14:textId="77777777" w:rsidR="005767BC" w:rsidRPr="00456361" w:rsidRDefault="005767BC" w:rsidP="00B539FA">
            <w:pPr>
              <w:jc w:val="right"/>
              <w:rPr>
                <w:sz w:val="20"/>
                <w:szCs w:val="20"/>
              </w:rPr>
            </w:pPr>
            <w:r w:rsidRPr="00456361">
              <w:rPr>
                <w:sz w:val="20"/>
                <w:szCs w:val="20"/>
              </w:rPr>
              <w:t>108</w:t>
            </w:r>
          </w:p>
        </w:tc>
        <w:tc>
          <w:tcPr>
            <w:tcW w:w="1187" w:type="dxa"/>
            <w:shd w:val="clear" w:color="auto" w:fill="auto"/>
          </w:tcPr>
          <w:p w14:paraId="2C93DB6D" w14:textId="77777777" w:rsidR="005767BC" w:rsidRPr="00456361" w:rsidRDefault="005767BC" w:rsidP="00B539FA">
            <w:pPr>
              <w:jc w:val="right"/>
              <w:rPr>
                <w:sz w:val="20"/>
                <w:szCs w:val="20"/>
              </w:rPr>
            </w:pPr>
            <w:r w:rsidRPr="00456361">
              <w:rPr>
                <w:sz w:val="20"/>
                <w:szCs w:val="20"/>
              </w:rPr>
              <w:t>105.9</w:t>
            </w:r>
          </w:p>
        </w:tc>
        <w:tc>
          <w:tcPr>
            <w:tcW w:w="1351" w:type="dxa"/>
            <w:shd w:val="clear" w:color="auto" w:fill="auto"/>
          </w:tcPr>
          <w:p w14:paraId="3F55BD9D" w14:textId="77777777" w:rsidR="005767BC" w:rsidRPr="00456361" w:rsidRDefault="005767BC" w:rsidP="00B539FA">
            <w:pPr>
              <w:jc w:val="right"/>
              <w:rPr>
                <w:sz w:val="20"/>
                <w:szCs w:val="20"/>
              </w:rPr>
            </w:pPr>
            <w:r w:rsidRPr="00456361">
              <w:rPr>
                <w:sz w:val="20"/>
                <w:szCs w:val="20"/>
              </w:rPr>
              <w:t>4.1</w:t>
            </w:r>
          </w:p>
        </w:tc>
        <w:tc>
          <w:tcPr>
            <w:tcW w:w="1328" w:type="dxa"/>
          </w:tcPr>
          <w:p w14:paraId="575801C8" w14:textId="77777777" w:rsidR="005767BC" w:rsidRPr="00456361" w:rsidRDefault="005767BC" w:rsidP="00B539FA">
            <w:pPr>
              <w:jc w:val="right"/>
              <w:rPr>
                <w:sz w:val="20"/>
                <w:szCs w:val="20"/>
              </w:rPr>
            </w:pPr>
            <w:r w:rsidRPr="00456361">
              <w:rPr>
                <w:sz w:val="20"/>
                <w:szCs w:val="20"/>
              </w:rPr>
              <w:t>102</w:t>
            </w:r>
          </w:p>
        </w:tc>
        <w:tc>
          <w:tcPr>
            <w:tcW w:w="1276" w:type="dxa"/>
          </w:tcPr>
          <w:p w14:paraId="66493603" w14:textId="77777777" w:rsidR="005767BC" w:rsidRPr="00456361" w:rsidRDefault="005767BC" w:rsidP="00B539FA">
            <w:pPr>
              <w:jc w:val="right"/>
              <w:rPr>
                <w:sz w:val="20"/>
                <w:szCs w:val="20"/>
              </w:rPr>
            </w:pPr>
            <w:r w:rsidRPr="00456361">
              <w:rPr>
                <w:sz w:val="20"/>
                <w:szCs w:val="20"/>
              </w:rPr>
              <w:t>99.8</w:t>
            </w:r>
          </w:p>
        </w:tc>
        <w:tc>
          <w:tcPr>
            <w:tcW w:w="1252" w:type="dxa"/>
          </w:tcPr>
          <w:p w14:paraId="21AA018F" w14:textId="77777777" w:rsidR="005767BC" w:rsidRPr="00456361" w:rsidRDefault="005767BC" w:rsidP="00B539FA">
            <w:pPr>
              <w:jc w:val="right"/>
              <w:rPr>
                <w:sz w:val="20"/>
                <w:szCs w:val="20"/>
              </w:rPr>
            </w:pPr>
            <w:r w:rsidRPr="00456361">
              <w:rPr>
                <w:sz w:val="20"/>
                <w:szCs w:val="20"/>
              </w:rPr>
              <w:t>7.8</w:t>
            </w:r>
          </w:p>
        </w:tc>
      </w:tr>
      <w:tr w:rsidR="005767BC" w:rsidRPr="00456361" w14:paraId="2185BA09" w14:textId="77777777" w:rsidTr="00B539FA">
        <w:tc>
          <w:tcPr>
            <w:tcW w:w="2042" w:type="dxa"/>
            <w:shd w:val="clear" w:color="auto" w:fill="auto"/>
          </w:tcPr>
          <w:p w14:paraId="3B52A2B9" w14:textId="77777777" w:rsidR="005767BC" w:rsidRPr="00456361" w:rsidRDefault="005767BC" w:rsidP="00B539FA">
            <w:pPr>
              <w:rPr>
                <w:sz w:val="20"/>
                <w:szCs w:val="20"/>
              </w:rPr>
            </w:pPr>
            <w:r w:rsidRPr="00456361">
              <w:rPr>
                <w:sz w:val="20"/>
                <w:szCs w:val="20"/>
              </w:rPr>
              <w:t>STS</w:t>
            </w:r>
          </w:p>
        </w:tc>
        <w:tc>
          <w:tcPr>
            <w:tcW w:w="1289" w:type="dxa"/>
            <w:shd w:val="clear" w:color="auto" w:fill="auto"/>
          </w:tcPr>
          <w:p w14:paraId="6C395F7B" w14:textId="77777777" w:rsidR="005767BC" w:rsidRPr="00456361" w:rsidRDefault="005767BC" w:rsidP="00B539FA">
            <w:pPr>
              <w:jc w:val="right"/>
              <w:rPr>
                <w:sz w:val="20"/>
                <w:szCs w:val="20"/>
              </w:rPr>
            </w:pPr>
            <w:r w:rsidRPr="00456361">
              <w:rPr>
                <w:sz w:val="20"/>
                <w:szCs w:val="20"/>
              </w:rPr>
              <w:t>3</w:t>
            </w:r>
          </w:p>
        </w:tc>
        <w:tc>
          <w:tcPr>
            <w:tcW w:w="1187" w:type="dxa"/>
            <w:shd w:val="clear" w:color="auto" w:fill="auto"/>
          </w:tcPr>
          <w:p w14:paraId="7010EE70" w14:textId="77777777" w:rsidR="005767BC" w:rsidRPr="00456361" w:rsidRDefault="005767BC" w:rsidP="00B539FA">
            <w:pPr>
              <w:jc w:val="right"/>
              <w:rPr>
                <w:sz w:val="20"/>
                <w:szCs w:val="20"/>
              </w:rPr>
            </w:pPr>
            <w:r w:rsidRPr="00456361">
              <w:rPr>
                <w:sz w:val="20"/>
                <w:szCs w:val="20"/>
              </w:rPr>
              <w:t>3</w:t>
            </w:r>
          </w:p>
        </w:tc>
        <w:tc>
          <w:tcPr>
            <w:tcW w:w="1351" w:type="dxa"/>
            <w:shd w:val="clear" w:color="auto" w:fill="auto"/>
          </w:tcPr>
          <w:p w14:paraId="54982929" w14:textId="77777777" w:rsidR="005767BC" w:rsidRPr="00456361" w:rsidRDefault="005767BC" w:rsidP="00B539FA">
            <w:pPr>
              <w:jc w:val="right"/>
              <w:rPr>
                <w:sz w:val="20"/>
                <w:szCs w:val="20"/>
              </w:rPr>
            </w:pPr>
            <w:r w:rsidRPr="00456361">
              <w:rPr>
                <w:sz w:val="20"/>
                <w:szCs w:val="20"/>
              </w:rPr>
              <w:t>0</w:t>
            </w:r>
          </w:p>
        </w:tc>
        <w:tc>
          <w:tcPr>
            <w:tcW w:w="1328" w:type="dxa"/>
          </w:tcPr>
          <w:p w14:paraId="6C6FE814" w14:textId="77777777" w:rsidR="005767BC" w:rsidRPr="00456361" w:rsidRDefault="005767BC" w:rsidP="00B539FA">
            <w:pPr>
              <w:jc w:val="right"/>
              <w:rPr>
                <w:sz w:val="20"/>
                <w:szCs w:val="20"/>
              </w:rPr>
            </w:pPr>
            <w:r w:rsidRPr="00456361">
              <w:rPr>
                <w:sz w:val="20"/>
                <w:szCs w:val="20"/>
              </w:rPr>
              <w:t>6</w:t>
            </w:r>
          </w:p>
        </w:tc>
        <w:tc>
          <w:tcPr>
            <w:tcW w:w="1276" w:type="dxa"/>
          </w:tcPr>
          <w:p w14:paraId="1C272D78" w14:textId="77777777" w:rsidR="005767BC" w:rsidRPr="00456361" w:rsidRDefault="005767BC" w:rsidP="00B539FA">
            <w:pPr>
              <w:jc w:val="right"/>
              <w:rPr>
                <w:sz w:val="20"/>
                <w:szCs w:val="20"/>
              </w:rPr>
            </w:pPr>
            <w:r w:rsidRPr="00456361">
              <w:rPr>
                <w:sz w:val="20"/>
                <w:szCs w:val="20"/>
              </w:rPr>
              <w:t>6</w:t>
            </w:r>
          </w:p>
        </w:tc>
        <w:tc>
          <w:tcPr>
            <w:tcW w:w="1252" w:type="dxa"/>
          </w:tcPr>
          <w:p w14:paraId="26082525" w14:textId="77777777" w:rsidR="005767BC" w:rsidRPr="00456361" w:rsidRDefault="005767BC" w:rsidP="00B539FA">
            <w:pPr>
              <w:jc w:val="right"/>
              <w:rPr>
                <w:sz w:val="20"/>
                <w:szCs w:val="20"/>
              </w:rPr>
            </w:pPr>
            <w:r w:rsidRPr="00456361">
              <w:rPr>
                <w:sz w:val="20"/>
                <w:szCs w:val="20"/>
              </w:rPr>
              <w:t>0</w:t>
            </w:r>
          </w:p>
        </w:tc>
      </w:tr>
      <w:tr w:rsidR="005767BC" w:rsidRPr="00456361" w14:paraId="463CDDED" w14:textId="77777777" w:rsidTr="00B539FA">
        <w:tc>
          <w:tcPr>
            <w:tcW w:w="2042" w:type="dxa"/>
            <w:shd w:val="clear" w:color="auto" w:fill="auto"/>
          </w:tcPr>
          <w:p w14:paraId="223EAA96" w14:textId="77777777" w:rsidR="005767BC" w:rsidRPr="00456361" w:rsidRDefault="005767BC" w:rsidP="00B539FA">
            <w:pPr>
              <w:rPr>
                <w:sz w:val="20"/>
                <w:szCs w:val="20"/>
              </w:rPr>
            </w:pPr>
            <w:r w:rsidRPr="00456361">
              <w:rPr>
                <w:sz w:val="20"/>
                <w:szCs w:val="20"/>
              </w:rPr>
              <w:t>Allied Health 3</w:t>
            </w:r>
          </w:p>
        </w:tc>
        <w:tc>
          <w:tcPr>
            <w:tcW w:w="1289" w:type="dxa"/>
            <w:shd w:val="clear" w:color="auto" w:fill="auto"/>
          </w:tcPr>
          <w:p w14:paraId="592302A0" w14:textId="77777777" w:rsidR="005767BC" w:rsidRPr="00456361" w:rsidRDefault="005767BC" w:rsidP="00B539FA">
            <w:pPr>
              <w:jc w:val="right"/>
              <w:rPr>
                <w:sz w:val="20"/>
                <w:szCs w:val="20"/>
              </w:rPr>
            </w:pPr>
            <w:r w:rsidRPr="00456361">
              <w:rPr>
                <w:sz w:val="20"/>
                <w:szCs w:val="20"/>
              </w:rPr>
              <w:t>3</w:t>
            </w:r>
          </w:p>
        </w:tc>
        <w:tc>
          <w:tcPr>
            <w:tcW w:w="1187" w:type="dxa"/>
            <w:shd w:val="clear" w:color="auto" w:fill="auto"/>
          </w:tcPr>
          <w:p w14:paraId="2F288E91" w14:textId="77777777" w:rsidR="005767BC" w:rsidRPr="00456361" w:rsidRDefault="005767BC" w:rsidP="00B539FA">
            <w:pPr>
              <w:jc w:val="right"/>
              <w:rPr>
                <w:sz w:val="20"/>
                <w:szCs w:val="20"/>
              </w:rPr>
            </w:pPr>
            <w:r w:rsidRPr="00456361">
              <w:rPr>
                <w:sz w:val="20"/>
                <w:szCs w:val="20"/>
              </w:rPr>
              <w:t>1.7</w:t>
            </w:r>
          </w:p>
        </w:tc>
        <w:tc>
          <w:tcPr>
            <w:tcW w:w="1351" w:type="dxa"/>
            <w:shd w:val="clear" w:color="auto" w:fill="auto"/>
          </w:tcPr>
          <w:p w14:paraId="41F20D5E" w14:textId="77777777" w:rsidR="005767BC" w:rsidRPr="00456361" w:rsidRDefault="005767BC" w:rsidP="00B539FA">
            <w:pPr>
              <w:jc w:val="right"/>
              <w:rPr>
                <w:sz w:val="20"/>
                <w:szCs w:val="20"/>
              </w:rPr>
            </w:pPr>
            <w:r w:rsidRPr="00456361">
              <w:rPr>
                <w:sz w:val="20"/>
                <w:szCs w:val="20"/>
              </w:rPr>
              <w:t>0</w:t>
            </w:r>
          </w:p>
        </w:tc>
        <w:tc>
          <w:tcPr>
            <w:tcW w:w="1328" w:type="dxa"/>
          </w:tcPr>
          <w:p w14:paraId="7DF7ADEE" w14:textId="77777777" w:rsidR="005767BC" w:rsidRPr="00456361" w:rsidRDefault="005767BC" w:rsidP="00B539FA">
            <w:pPr>
              <w:jc w:val="right"/>
              <w:rPr>
                <w:sz w:val="20"/>
                <w:szCs w:val="20"/>
              </w:rPr>
            </w:pPr>
            <w:r w:rsidRPr="00456361">
              <w:rPr>
                <w:sz w:val="20"/>
                <w:szCs w:val="20"/>
              </w:rPr>
              <w:t>2</w:t>
            </w:r>
          </w:p>
        </w:tc>
        <w:tc>
          <w:tcPr>
            <w:tcW w:w="1276" w:type="dxa"/>
          </w:tcPr>
          <w:p w14:paraId="21D87B0C" w14:textId="77777777" w:rsidR="005767BC" w:rsidRPr="00456361" w:rsidRDefault="005767BC" w:rsidP="00B539FA">
            <w:pPr>
              <w:jc w:val="right"/>
              <w:rPr>
                <w:sz w:val="20"/>
                <w:szCs w:val="20"/>
              </w:rPr>
            </w:pPr>
            <w:r w:rsidRPr="00456361">
              <w:rPr>
                <w:sz w:val="20"/>
                <w:szCs w:val="20"/>
              </w:rPr>
              <w:t>1.3</w:t>
            </w:r>
          </w:p>
        </w:tc>
        <w:tc>
          <w:tcPr>
            <w:tcW w:w="1252" w:type="dxa"/>
          </w:tcPr>
          <w:p w14:paraId="08F5514E" w14:textId="77777777" w:rsidR="005767BC" w:rsidRPr="00456361" w:rsidRDefault="005767BC" w:rsidP="00B539FA">
            <w:pPr>
              <w:jc w:val="right"/>
              <w:rPr>
                <w:sz w:val="20"/>
                <w:szCs w:val="20"/>
              </w:rPr>
            </w:pPr>
            <w:r w:rsidRPr="00456361">
              <w:rPr>
                <w:sz w:val="20"/>
                <w:szCs w:val="20"/>
              </w:rPr>
              <w:t>0</w:t>
            </w:r>
          </w:p>
        </w:tc>
      </w:tr>
      <w:tr w:rsidR="005767BC" w:rsidRPr="00456361" w14:paraId="489117BF" w14:textId="77777777" w:rsidTr="00B539FA">
        <w:tc>
          <w:tcPr>
            <w:tcW w:w="2042" w:type="dxa"/>
            <w:shd w:val="clear" w:color="auto" w:fill="auto"/>
          </w:tcPr>
          <w:p w14:paraId="281A969B" w14:textId="77777777" w:rsidR="005767BC" w:rsidRPr="00456361" w:rsidRDefault="005767BC" w:rsidP="00B539FA">
            <w:pPr>
              <w:rPr>
                <w:sz w:val="20"/>
                <w:szCs w:val="20"/>
              </w:rPr>
            </w:pPr>
            <w:r w:rsidRPr="00456361">
              <w:rPr>
                <w:sz w:val="20"/>
                <w:szCs w:val="20"/>
              </w:rPr>
              <w:t>Trainee Registrar</w:t>
            </w:r>
          </w:p>
        </w:tc>
        <w:tc>
          <w:tcPr>
            <w:tcW w:w="1289" w:type="dxa"/>
            <w:shd w:val="clear" w:color="auto" w:fill="auto"/>
          </w:tcPr>
          <w:p w14:paraId="1F10730E" w14:textId="77777777" w:rsidR="005767BC" w:rsidRPr="00456361" w:rsidRDefault="005767BC" w:rsidP="00B539FA">
            <w:pPr>
              <w:jc w:val="right"/>
              <w:rPr>
                <w:sz w:val="20"/>
                <w:szCs w:val="20"/>
              </w:rPr>
            </w:pPr>
            <w:r w:rsidRPr="00456361">
              <w:rPr>
                <w:sz w:val="20"/>
                <w:szCs w:val="20"/>
              </w:rPr>
              <w:t>147</w:t>
            </w:r>
          </w:p>
        </w:tc>
        <w:tc>
          <w:tcPr>
            <w:tcW w:w="1187" w:type="dxa"/>
            <w:shd w:val="clear" w:color="auto" w:fill="auto"/>
          </w:tcPr>
          <w:p w14:paraId="551AA325" w14:textId="77777777" w:rsidR="005767BC" w:rsidRPr="00456361" w:rsidRDefault="005767BC" w:rsidP="00B539FA">
            <w:pPr>
              <w:jc w:val="right"/>
              <w:rPr>
                <w:sz w:val="20"/>
                <w:szCs w:val="20"/>
              </w:rPr>
            </w:pPr>
            <w:r w:rsidRPr="00456361">
              <w:rPr>
                <w:sz w:val="20"/>
                <w:szCs w:val="20"/>
              </w:rPr>
              <w:t>146.6</w:t>
            </w:r>
          </w:p>
        </w:tc>
        <w:tc>
          <w:tcPr>
            <w:tcW w:w="1351" w:type="dxa"/>
            <w:shd w:val="clear" w:color="auto" w:fill="auto"/>
          </w:tcPr>
          <w:p w14:paraId="79F1B215" w14:textId="77777777" w:rsidR="005767BC" w:rsidRPr="00456361" w:rsidRDefault="005767BC" w:rsidP="00B539FA">
            <w:pPr>
              <w:jc w:val="right"/>
              <w:rPr>
                <w:sz w:val="20"/>
                <w:szCs w:val="20"/>
              </w:rPr>
            </w:pPr>
            <w:r w:rsidRPr="00456361">
              <w:rPr>
                <w:sz w:val="20"/>
                <w:szCs w:val="20"/>
              </w:rPr>
              <w:t>1</w:t>
            </w:r>
          </w:p>
        </w:tc>
        <w:tc>
          <w:tcPr>
            <w:tcW w:w="1328" w:type="dxa"/>
          </w:tcPr>
          <w:p w14:paraId="4849C232" w14:textId="77777777" w:rsidR="005767BC" w:rsidRPr="00456361" w:rsidRDefault="005767BC" w:rsidP="00B539FA">
            <w:pPr>
              <w:jc w:val="right"/>
              <w:rPr>
                <w:sz w:val="20"/>
                <w:szCs w:val="20"/>
              </w:rPr>
            </w:pPr>
            <w:r w:rsidRPr="00456361">
              <w:rPr>
                <w:sz w:val="20"/>
                <w:szCs w:val="20"/>
              </w:rPr>
              <w:t>147</w:t>
            </w:r>
          </w:p>
        </w:tc>
        <w:tc>
          <w:tcPr>
            <w:tcW w:w="1276" w:type="dxa"/>
          </w:tcPr>
          <w:p w14:paraId="50ABC7AA" w14:textId="77777777" w:rsidR="005767BC" w:rsidRPr="00456361" w:rsidRDefault="005767BC" w:rsidP="00B539FA">
            <w:pPr>
              <w:jc w:val="right"/>
              <w:rPr>
                <w:sz w:val="20"/>
                <w:szCs w:val="20"/>
              </w:rPr>
            </w:pPr>
            <w:r w:rsidRPr="00456361">
              <w:rPr>
                <w:sz w:val="20"/>
                <w:szCs w:val="20"/>
              </w:rPr>
              <w:t>143.7</w:t>
            </w:r>
          </w:p>
        </w:tc>
        <w:tc>
          <w:tcPr>
            <w:tcW w:w="1252" w:type="dxa"/>
          </w:tcPr>
          <w:p w14:paraId="691793E1" w14:textId="77777777" w:rsidR="005767BC" w:rsidRPr="00456361" w:rsidRDefault="005767BC" w:rsidP="00B539FA">
            <w:pPr>
              <w:jc w:val="right"/>
              <w:rPr>
                <w:sz w:val="20"/>
                <w:szCs w:val="20"/>
              </w:rPr>
            </w:pPr>
            <w:r w:rsidRPr="00456361">
              <w:rPr>
                <w:sz w:val="20"/>
                <w:szCs w:val="20"/>
              </w:rPr>
              <w:t>1</w:t>
            </w:r>
          </w:p>
        </w:tc>
      </w:tr>
      <w:tr w:rsidR="005767BC" w:rsidRPr="00456361" w14:paraId="477E1CDB" w14:textId="77777777" w:rsidTr="00B539FA">
        <w:tc>
          <w:tcPr>
            <w:tcW w:w="2042" w:type="dxa"/>
            <w:shd w:val="clear" w:color="auto" w:fill="auto"/>
          </w:tcPr>
          <w:p w14:paraId="0148E1A4" w14:textId="77777777" w:rsidR="005767BC" w:rsidRPr="00456361" w:rsidRDefault="005767BC" w:rsidP="00B539FA">
            <w:pPr>
              <w:rPr>
                <w:sz w:val="20"/>
                <w:szCs w:val="20"/>
              </w:rPr>
            </w:pPr>
            <w:r w:rsidRPr="00456361">
              <w:rPr>
                <w:sz w:val="20"/>
                <w:szCs w:val="20"/>
              </w:rPr>
              <w:t>Deputy Registrar</w:t>
            </w:r>
          </w:p>
        </w:tc>
        <w:tc>
          <w:tcPr>
            <w:tcW w:w="1289" w:type="dxa"/>
            <w:shd w:val="clear" w:color="auto" w:fill="auto"/>
          </w:tcPr>
          <w:p w14:paraId="64050F97" w14:textId="77777777" w:rsidR="005767BC" w:rsidRPr="00456361" w:rsidRDefault="005767BC" w:rsidP="00B539FA">
            <w:pPr>
              <w:jc w:val="right"/>
              <w:rPr>
                <w:sz w:val="20"/>
                <w:szCs w:val="20"/>
              </w:rPr>
            </w:pPr>
            <w:r w:rsidRPr="00456361">
              <w:rPr>
                <w:sz w:val="20"/>
                <w:szCs w:val="20"/>
              </w:rPr>
              <w:t>65</w:t>
            </w:r>
          </w:p>
        </w:tc>
        <w:tc>
          <w:tcPr>
            <w:tcW w:w="1187" w:type="dxa"/>
            <w:shd w:val="clear" w:color="auto" w:fill="auto"/>
          </w:tcPr>
          <w:p w14:paraId="31340AD8" w14:textId="77777777" w:rsidR="005767BC" w:rsidRPr="00456361" w:rsidRDefault="005767BC" w:rsidP="00B539FA">
            <w:pPr>
              <w:jc w:val="right"/>
              <w:rPr>
                <w:sz w:val="20"/>
                <w:szCs w:val="20"/>
              </w:rPr>
            </w:pPr>
            <w:r w:rsidRPr="00456361">
              <w:rPr>
                <w:sz w:val="20"/>
                <w:szCs w:val="20"/>
              </w:rPr>
              <w:t>61</w:t>
            </w:r>
          </w:p>
        </w:tc>
        <w:tc>
          <w:tcPr>
            <w:tcW w:w="1351" w:type="dxa"/>
            <w:shd w:val="clear" w:color="auto" w:fill="auto"/>
          </w:tcPr>
          <w:p w14:paraId="3490D07E" w14:textId="77777777" w:rsidR="005767BC" w:rsidRPr="00456361" w:rsidRDefault="005767BC" w:rsidP="00B539FA">
            <w:pPr>
              <w:jc w:val="right"/>
              <w:rPr>
                <w:sz w:val="20"/>
                <w:szCs w:val="20"/>
              </w:rPr>
            </w:pPr>
            <w:r w:rsidRPr="00456361">
              <w:rPr>
                <w:sz w:val="20"/>
                <w:szCs w:val="20"/>
              </w:rPr>
              <w:t>0</w:t>
            </w:r>
          </w:p>
        </w:tc>
        <w:tc>
          <w:tcPr>
            <w:tcW w:w="1328" w:type="dxa"/>
          </w:tcPr>
          <w:p w14:paraId="329B4B50" w14:textId="77777777" w:rsidR="005767BC" w:rsidRPr="00456361" w:rsidRDefault="005767BC" w:rsidP="00B539FA">
            <w:pPr>
              <w:jc w:val="right"/>
              <w:rPr>
                <w:sz w:val="20"/>
                <w:szCs w:val="20"/>
              </w:rPr>
            </w:pPr>
            <w:r w:rsidRPr="00456361">
              <w:rPr>
                <w:sz w:val="20"/>
                <w:szCs w:val="20"/>
              </w:rPr>
              <w:t>76</w:t>
            </w:r>
          </w:p>
        </w:tc>
        <w:tc>
          <w:tcPr>
            <w:tcW w:w="1276" w:type="dxa"/>
          </w:tcPr>
          <w:p w14:paraId="0AA5183A" w14:textId="77777777" w:rsidR="005767BC" w:rsidRPr="00456361" w:rsidRDefault="005767BC" w:rsidP="00B539FA">
            <w:pPr>
              <w:jc w:val="right"/>
              <w:rPr>
                <w:sz w:val="20"/>
                <w:szCs w:val="20"/>
              </w:rPr>
            </w:pPr>
            <w:r w:rsidRPr="00456361">
              <w:rPr>
                <w:sz w:val="20"/>
                <w:szCs w:val="20"/>
              </w:rPr>
              <w:t>71.8</w:t>
            </w:r>
          </w:p>
        </w:tc>
        <w:tc>
          <w:tcPr>
            <w:tcW w:w="1252" w:type="dxa"/>
          </w:tcPr>
          <w:p w14:paraId="7A9F2C94" w14:textId="77777777" w:rsidR="005767BC" w:rsidRPr="00456361" w:rsidRDefault="005767BC" w:rsidP="00B539FA">
            <w:pPr>
              <w:jc w:val="right"/>
              <w:rPr>
                <w:sz w:val="20"/>
                <w:szCs w:val="20"/>
              </w:rPr>
            </w:pPr>
            <w:r w:rsidRPr="00456361">
              <w:rPr>
                <w:sz w:val="20"/>
                <w:szCs w:val="20"/>
              </w:rPr>
              <w:t>0</w:t>
            </w:r>
          </w:p>
        </w:tc>
      </w:tr>
      <w:tr w:rsidR="005767BC" w:rsidRPr="00456361" w14:paraId="4F8352D9" w14:textId="77777777" w:rsidTr="00B539FA">
        <w:tc>
          <w:tcPr>
            <w:tcW w:w="2042" w:type="dxa"/>
            <w:shd w:val="clear" w:color="auto" w:fill="auto"/>
          </w:tcPr>
          <w:p w14:paraId="4C25D766" w14:textId="77777777" w:rsidR="005767BC" w:rsidRPr="00456361" w:rsidRDefault="005767BC" w:rsidP="00B539FA">
            <w:pPr>
              <w:rPr>
                <w:sz w:val="20"/>
                <w:szCs w:val="20"/>
              </w:rPr>
            </w:pPr>
            <w:r w:rsidRPr="00456361">
              <w:rPr>
                <w:sz w:val="20"/>
                <w:szCs w:val="20"/>
              </w:rPr>
              <w:t>Registrar Grade 3</w:t>
            </w:r>
          </w:p>
        </w:tc>
        <w:tc>
          <w:tcPr>
            <w:tcW w:w="1289" w:type="dxa"/>
            <w:shd w:val="clear" w:color="auto" w:fill="auto"/>
          </w:tcPr>
          <w:p w14:paraId="62C535BA" w14:textId="77777777" w:rsidR="005767BC" w:rsidRPr="00456361" w:rsidRDefault="005767BC" w:rsidP="00B539FA">
            <w:pPr>
              <w:jc w:val="right"/>
              <w:rPr>
                <w:sz w:val="20"/>
                <w:szCs w:val="20"/>
              </w:rPr>
            </w:pPr>
            <w:r w:rsidRPr="00456361">
              <w:rPr>
                <w:sz w:val="20"/>
                <w:szCs w:val="20"/>
              </w:rPr>
              <w:t>186</w:t>
            </w:r>
          </w:p>
        </w:tc>
        <w:tc>
          <w:tcPr>
            <w:tcW w:w="1187" w:type="dxa"/>
            <w:shd w:val="clear" w:color="auto" w:fill="auto"/>
          </w:tcPr>
          <w:p w14:paraId="42AAF9F6" w14:textId="77777777" w:rsidR="005767BC" w:rsidRPr="00456361" w:rsidRDefault="005767BC" w:rsidP="00B539FA">
            <w:pPr>
              <w:jc w:val="right"/>
              <w:rPr>
                <w:sz w:val="20"/>
                <w:szCs w:val="20"/>
              </w:rPr>
            </w:pPr>
            <w:r w:rsidRPr="00456361">
              <w:rPr>
                <w:sz w:val="20"/>
                <w:szCs w:val="20"/>
              </w:rPr>
              <w:t>161.3</w:t>
            </w:r>
          </w:p>
        </w:tc>
        <w:tc>
          <w:tcPr>
            <w:tcW w:w="1351" w:type="dxa"/>
            <w:shd w:val="clear" w:color="auto" w:fill="auto"/>
          </w:tcPr>
          <w:p w14:paraId="34442098" w14:textId="77777777" w:rsidR="005767BC" w:rsidRPr="00456361" w:rsidRDefault="005767BC" w:rsidP="00B539FA">
            <w:pPr>
              <w:jc w:val="right"/>
              <w:rPr>
                <w:sz w:val="20"/>
                <w:szCs w:val="20"/>
              </w:rPr>
            </w:pPr>
            <w:r w:rsidRPr="00456361">
              <w:rPr>
                <w:sz w:val="20"/>
                <w:szCs w:val="20"/>
              </w:rPr>
              <w:t>6.2</w:t>
            </w:r>
          </w:p>
        </w:tc>
        <w:tc>
          <w:tcPr>
            <w:tcW w:w="1328" w:type="dxa"/>
          </w:tcPr>
          <w:p w14:paraId="34A332F9" w14:textId="77777777" w:rsidR="005767BC" w:rsidRPr="00456361" w:rsidRDefault="005767BC" w:rsidP="00B539FA">
            <w:pPr>
              <w:jc w:val="right"/>
              <w:rPr>
                <w:sz w:val="20"/>
                <w:szCs w:val="20"/>
              </w:rPr>
            </w:pPr>
            <w:r w:rsidRPr="00456361">
              <w:rPr>
                <w:sz w:val="20"/>
                <w:szCs w:val="20"/>
              </w:rPr>
              <w:t>186</w:t>
            </w:r>
          </w:p>
        </w:tc>
        <w:tc>
          <w:tcPr>
            <w:tcW w:w="1276" w:type="dxa"/>
          </w:tcPr>
          <w:p w14:paraId="73E7466E" w14:textId="77777777" w:rsidR="005767BC" w:rsidRPr="00456361" w:rsidRDefault="005767BC" w:rsidP="00B539FA">
            <w:pPr>
              <w:jc w:val="right"/>
              <w:rPr>
                <w:sz w:val="20"/>
                <w:szCs w:val="20"/>
              </w:rPr>
            </w:pPr>
            <w:r w:rsidRPr="00456361">
              <w:rPr>
                <w:sz w:val="20"/>
                <w:szCs w:val="20"/>
              </w:rPr>
              <w:t>159.9</w:t>
            </w:r>
          </w:p>
        </w:tc>
        <w:tc>
          <w:tcPr>
            <w:tcW w:w="1252" w:type="dxa"/>
          </w:tcPr>
          <w:p w14:paraId="0A85F136" w14:textId="77777777" w:rsidR="005767BC" w:rsidRPr="00456361" w:rsidRDefault="005767BC" w:rsidP="00B539FA">
            <w:pPr>
              <w:jc w:val="right"/>
              <w:rPr>
                <w:sz w:val="20"/>
                <w:szCs w:val="20"/>
              </w:rPr>
            </w:pPr>
            <w:r w:rsidRPr="00456361">
              <w:rPr>
                <w:sz w:val="20"/>
                <w:szCs w:val="20"/>
              </w:rPr>
              <w:t>2.4</w:t>
            </w:r>
          </w:p>
        </w:tc>
      </w:tr>
      <w:tr w:rsidR="005767BC" w:rsidRPr="00456361" w14:paraId="6950D893" w14:textId="77777777" w:rsidTr="00B539FA">
        <w:tc>
          <w:tcPr>
            <w:tcW w:w="2042" w:type="dxa"/>
            <w:shd w:val="clear" w:color="auto" w:fill="auto"/>
          </w:tcPr>
          <w:p w14:paraId="7C0E2B71" w14:textId="77777777" w:rsidR="005767BC" w:rsidRPr="00456361" w:rsidRDefault="005767BC" w:rsidP="00B539FA">
            <w:pPr>
              <w:rPr>
                <w:sz w:val="20"/>
                <w:szCs w:val="20"/>
              </w:rPr>
            </w:pPr>
            <w:r w:rsidRPr="00456361">
              <w:rPr>
                <w:sz w:val="20"/>
                <w:szCs w:val="20"/>
              </w:rPr>
              <w:t>Registrar Grade 4</w:t>
            </w:r>
          </w:p>
        </w:tc>
        <w:tc>
          <w:tcPr>
            <w:tcW w:w="1289" w:type="dxa"/>
            <w:shd w:val="clear" w:color="auto" w:fill="auto"/>
          </w:tcPr>
          <w:p w14:paraId="46A57B5F" w14:textId="77777777" w:rsidR="005767BC" w:rsidRPr="00456361" w:rsidRDefault="005767BC" w:rsidP="00B539FA">
            <w:pPr>
              <w:jc w:val="right"/>
              <w:rPr>
                <w:sz w:val="20"/>
                <w:szCs w:val="20"/>
              </w:rPr>
            </w:pPr>
            <w:r w:rsidRPr="00456361">
              <w:rPr>
                <w:sz w:val="20"/>
                <w:szCs w:val="20"/>
              </w:rPr>
              <w:t>40</w:t>
            </w:r>
          </w:p>
        </w:tc>
        <w:tc>
          <w:tcPr>
            <w:tcW w:w="1187" w:type="dxa"/>
            <w:shd w:val="clear" w:color="auto" w:fill="auto"/>
          </w:tcPr>
          <w:p w14:paraId="557AC5F3" w14:textId="77777777" w:rsidR="005767BC" w:rsidRPr="00456361" w:rsidRDefault="005767BC" w:rsidP="00B539FA">
            <w:pPr>
              <w:jc w:val="right"/>
              <w:rPr>
                <w:sz w:val="20"/>
                <w:szCs w:val="20"/>
              </w:rPr>
            </w:pPr>
            <w:r w:rsidRPr="00456361">
              <w:rPr>
                <w:sz w:val="20"/>
                <w:szCs w:val="20"/>
              </w:rPr>
              <w:t>37.7</w:t>
            </w:r>
          </w:p>
        </w:tc>
        <w:tc>
          <w:tcPr>
            <w:tcW w:w="1351" w:type="dxa"/>
            <w:shd w:val="clear" w:color="auto" w:fill="auto"/>
          </w:tcPr>
          <w:p w14:paraId="6208DE55" w14:textId="77777777" w:rsidR="005767BC" w:rsidRPr="00456361" w:rsidRDefault="005767BC" w:rsidP="00B539FA">
            <w:pPr>
              <w:jc w:val="right"/>
              <w:rPr>
                <w:sz w:val="20"/>
                <w:szCs w:val="20"/>
              </w:rPr>
            </w:pPr>
            <w:r w:rsidRPr="00456361">
              <w:rPr>
                <w:sz w:val="20"/>
                <w:szCs w:val="20"/>
              </w:rPr>
              <w:t>1</w:t>
            </w:r>
          </w:p>
        </w:tc>
        <w:tc>
          <w:tcPr>
            <w:tcW w:w="1328" w:type="dxa"/>
          </w:tcPr>
          <w:p w14:paraId="094641AB" w14:textId="77777777" w:rsidR="005767BC" w:rsidRPr="00456361" w:rsidRDefault="005767BC" w:rsidP="00B539FA">
            <w:pPr>
              <w:jc w:val="right"/>
              <w:rPr>
                <w:sz w:val="20"/>
                <w:szCs w:val="20"/>
              </w:rPr>
            </w:pPr>
            <w:r w:rsidRPr="00456361">
              <w:rPr>
                <w:sz w:val="20"/>
                <w:szCs w:val="20"/>
              </w:rPr>
              <w:t>46</w:t>
            </w:r>
          </w:p>
        </w:tc>
        <w:tc>
          <w:tcPr>
            <w:tcW w:w="1276" w:type="dxa"/>
          </w:tcPr>
          <w:p w14:paraId="6751E7FA" w14:textId="77777777" w:rsidR="005767BC" w:rsidRPr="00456361" w:rsidRDefault="005767BC" w:rsidP="00B539FA">
            <w:pPr>
              <w:jc w:val="right"/>
              <w:rPr>
                <w:sz w:val="20"/>
                <w:szCs w:val="20"/>
              </w:rPr>
            </w:pPr>
            <w:r w:rsidRPr="00456361">
              <w:rPr>
                <w:sz w:val="20"/>
                <w:szCs w:val="20"/>
              </w:rPr>
              <w:t>43.2</w:t>
            </w:r>
          </w:p>
        </w:tc>
        <w:tc>
          <w:tcPr>
            <w:tcW w:w="1252" w:type="dxa"/>
          </w:tcPr>
          <w:p w14:paraId="4C3D5E20" w14:textId="77777777" w:rsidR="005767BC" w:rsidRPr="00456361" w:rsidRDefault="005767BC" w:rsidP="00B539FA">
            <w:pPr>
              <w:jc w:val="right"/>
              <w:rPr>
                <w:sz w:val="20"/>
                <w:szCs w:val="20"/>
              </w:rPr>
            </w:pPr>
            <w:r w:rsidRPr="00456361">
              <w:rPr>
                <w:sz w:val="20"/>
                <w:szCs w:val="20"/>
              </w:rPr>
              <w:t>0</w:t>
            </w:r>
          </w:p>
        </w:tc>
      </w:tr>
      <w:tr w:rsidR="005767BC" w:rsidRPr="00456361" w14:paraId="10ADA2C7" w14:textId="77777777" w:rsidTr="00B539FA">
        <w:tc>
          <w:tcPr>
            <w:tcW w:w="2042" w:type="dxa"/>
            <w:shd w:val="clear" w:color="auto" w:fill="auto"/>
          </w:tcPr>
          <w:p w14:paraId="5D916F45" w14:textId="77777777" w:rsidR="005767BC" w:rsidRPr="00456361" w:rsidRDefault="005767BC" w:rsidP="00B539FA">
            <w:pPr>
              <w:rPr>
                <w:sz w:val="20"/>
                <w:szCs w:val="20"/>
              </w:rPr>
            </w:pPr>
            <w:r w:rsidRPr="00456361">
              <w:rPr>
                <w:sz w:val="20"/>
                <w:szCs w:val="20"/>
              </w:rPr>
              <w:t>Registrar Grade 5</w:t>
            </w:r>
          </w:p>
        </w:tc>
        <w:tc>
          <w:tcPr>
            <w:tcW w:w="1289" w:type="dxa"/>
            <w:shd w:val="clear" w:color="auto" w:fill="auto"/>
          </w:tcPr>
          <w:p w14:paraId="2F668B2D" w14:textId="77777777" w:rsidR="005767BC" w:rsidRPr="00456361" w:rsidRDefault="005767BC" w:rsidP="00B539FA">
            <w:pPr>
              <w:jc w:val="right"/>
              <w:rPr>
                <w:sz w:val="20"/>
                <w:szCs w:val="20"/>
              </w:rPr>
            </w:pPr>
            <w:r w:rsidRPr="00456361">
              <w:rPr>
                <w:sz w:val="20"/>
                <w:szCs w:val="20"/>
              </w:rPr>
              <w:t>45</w:t>
            </w:r>
          </w:p>
        </w:tc>
        <w:tc>
          <w:tcPr>
            <w:tcW w:w="1187" w:type="dxa"/>
            <w:shd w:val="clear" w:color="auto" w:fill="auto"/>
          </w:tcPr>
          <w:p w14:paraId="0BF60069" w14:textId="77777777" w:rsidR="005767BC" w:rsidRPr="00456361" w:rsidRDefault="005767BC" w:rsidP="00B539FA">
            <w:pPr>
              <w:jc w:val="right"/>
              <w:rPr>
                <w:sz w:val="20"/>
                <w:szCs w:val="20"/>
              </w:rPr>
            </w:pPr>
            <w:r w:rsidRPr="00456361">
              <w:rPr>
                <w:sz w:val="20"/>
                <w:szCs w:val="20"/>
              </w:rPr>
              <w:t>41.3</w:t>
            </w:r>
          </w:p>
        </w:tc>
        <w:tc>
          <w:tcPr>
            <w:tcW w:w="1351" w:type="dxa"/>
            <w:shd w:val="clear" w:color="auto" w:fill="auto"/>
          </w:tcPr>
          <w:p w14:paraId="777A856C" w14:textId="77777777" w:rsidR="005767BC" w:rsidRPr="00456361" w:rsidRDefault="005767BC" w:rsidP="00B539FA">
            <w:pPr>
              <w:jc w:val="right"/>
              <w:rPr>
                <w:sz w:val="20"/>
                <w:szCs w:val="20"/>
              </w:rPr>
            </w:pPr>
            <w:r w:rsidRPr="00456361">
              <w:rPr>
                <w:sz w:val="20"/>
                <w:szCs w:val="20"/>
              </w:rPr>
              <w:t>2</w:t>
            </w:r>
          </w:p>
        </w:tc>
        <w:tc>
          <w:tcPr>
            <w:tcW w:w="1328" w:type="dxa"/>
          </w:tcPr>
          <w:p w14:paraId="325D72CD" w14:textId="77777777" w:rsidR="005767BC" w:rsidRPr="00456361" w:rsidRDefault="005767BC" w:rsidP="00B539FA">
            <w:pPr>
              <w:jc w:val="right"/>
              <w:rPr>
                <w:sz w:val="20"/>
                <w:szCs w:val="20"/>
              </w:rPr>
            </w:pPr>
            <w:r w:rsidRPr="00456361">
              <w:rPr>
                <w:sz w:val="20"/>
                <w:szCs w:val="20"/>
              </w:rPr>
              <w:t>48</w:t>
            </w:r>
          </w:p>
        </w:tc>
        <w:tc>
          <w:tcPr>
            <w:tcW w:w="1276" w:type="dxa"/>
          </w:tcPr>
          <w:p w14:paraId="4609F1F9" w14:textId="77777777" w:rsidR="005767BC" w:rsidRPr="00456361" w:rsidRDefault="005767BC" w:rsidP="00B539FA">
            <w:pPr>
              <w:jc w:val="right"/>
              <w:rPr>
                <w:sz w:val="20"/>
                <w:szCs w:val="20"/>
              </w:rPr>
            </w:pPr>
            <w:r w:rsidRPr="00456361">
              <w:rPr>
                <w:sz w:val="20"/>
                <w:szCs w:val="20"/>
              </w:rPr>
              <w:t>44.1</w:t>
            </w:r>
          </w:p>
        </w:tc>
        <w:tc>
          <w:tcPr>
            <w:tcW w:w="1252" w:type="dxa"/>
          </w:tcPr>
          <w:p w14:paraId="0694AC96" w14:textId="77777777" w:rsidR="005767BC" w:rsidRPr="00456361" w:rsidRDefault="005767BC" w:rsidP="00B539FA">
            <w:pPr>
              <w:jc w:val="right"/>
              <w:rPr>
                <w:sz w:val="20"/>
                <w:szCs w:val="20"/>
              </w:rPr>
            </w:pPr>
            <w:r w:rsidRPr="00456361">
              <w:rPr>
                <w:sz w:val="20"/>
                <w:szCs w:val="20"/>
              </w:rPr>
              <w:t>0</w:t>
            </w:r>
          </w:p>
        </w:tc>
      </w:tr>
      <w:tr w:rsidR="005767BC" w:rsidRPr="00456361" w14:paraId="3E14D714" w14:textId="77777777" w:rsidTr="00B539FA">
        <w:tc>
          <w:tcPr>
            <w:tcW w:w="2042" w:type="dxa"/>
            <w:shd w:val="clear" w:color="auto" w:fill="auto"/>
          </w:tcPr>
          <w:p w14:paraId="704A6D2E" w14:textId="77777777" w:rsidR="005767BC" w:rsidRPr="00456361" w:rsidRDefault="005767BC" w:rsidP="00B539FA">
            <w:pPr>
              <w:rPr>
                <w:sz w:val="20"/>
                <w:szCs w:val="20"/>
              </w:rPr>
            </w:pPr>
            <w:r w:rsidRPr="00456361">
              <w:rPr>
                <w:sz w:val="20"/>
                <w:szCs w:val="20"/>
              </w:rPr>
              <w:t>Registrar Grade 6</w:t>
            </w:r>
          </w:p>
        </w:tc>
        <w:tc>
          <w:tcPr>
            <w:tcW w:w="1289" w:type="dxa"/>
            <w:shd w:val="clear" w:color="auto" w:fill="auto"/>
          </w:tcPr>
          <w:p w14:paraId="724B6316" w14:textId="77777777" w:rsidR="005767BC" w:rsidRPr="00456361" w:rsidRDefault="005767BC" w:rsidP="00B539FA">
            <w:pPr>
              <w:jc w:val="right"/>
              <w:rPr>
                <w:sz w:val="20"/>
                <w:szCs w:val="20"/>
              </w:rPr>
            </w:pPr>
            <w:r w:rsidRPr="00456361">
              <w:rPr>
                <w:sz w:val="20"/>
                <w:szCs w:val="20"/>
              </w:rPr>
              <w:t>19</w:t>
            </w:r>
          </w:p>
        </w:tc>
        <w:tc>
          <w:tcPr>
            <w:tcW w:w="1187" w:type="dxa"/>
            <w:shd w:val="clear" w:color="auto" w:fill="auto"/>
          </w:tcPr>
          <w:p w14:paraId="51253A0D" w14:textId="77777777" w:rsidR="005767BC" w:rsidRPr="00456361" w:rsidRDefault="005767BC" w:rsidP="00B539FA">
            <w:pPr>
              <w:jc w:val="right"/>
              <w:rPr>
                <w:sz w:val="20"/>
                <w:szCs w:val="20"/>
              </w:rPr>
            </w:pPr>
            <w:r w:rsidRPr="00456361">
              <w:rPr>
                <w:sz w:val="20"/>
                <w:szCs w:val="20"/>
              </w:rPr>
              <w:t>19</w:t>
            </w:r>
          </w:p>
        </w:tc>
        <w:tc>
          <w:tcPr>
            <w:tcW w:w="1351" w:type="dxa"/>
            <w:shd w:val="clear" w:color="auto" w:fill="auto"/>
          </w:tcPr>
          <w:p w14:paraId="1C30F6B1" w14:textId="77777777" w:rsidR="005767BC" w:rsidRPr="00456361" w:rsidRDefault="005767BC" w:rsidP="00B539FA">
            <w:pPr>
              <w:jc w:val="right"/>
              <w:rPr>
                <w:sz w:val="20"/>
                <w:szCs w:val="20"/>
              </w:rPr>
            </w:pPr>
            <w:r w:rsidRPr="00456361">
              <w:rPr>
                <w:sz w:val="20"/>
                <w:szCs w:val="20"/>
              </w:rPr>
              <w:t>0</w:t>
            </w:r>
          </w:p>
        </w:tc>
        <w:tc>
          <w:tcPr>
            <w:tcW w:w="1328" w:type="dxa"/>
          </w:tcPr>
          <w:p w14:paraId="1D74A258" w14:textId="77777777" w:rsidR="005767BC" w:rsidRPr="00456361" w:rsidRDefault="005767BC" w:rsidP="00B539FA">
            <w:pPr>
              <w:jc w:val="right"/>
              <w:rPr>
                <w:sz w:val="20"/>
                <w:szCs w:val="20"/>
              </w:rPr>
            </w:pPr>
            <w:r w:rsidRPr="00456361">
              <w:rPr>
                <w:sz w:val="20"/>
                <w:szCs w:val="20"/>
              </w:rPr>
              <w:t>18</w:t>
            </w:r>
          </w:p>
        </w:tc>
        <w:tc>
          <w:tcPr>
            <w:tcW w:w="1276" w:type="dxa"/>
          </w:tcPr>
          <w:p w14:paraId="1E84CCBB" w14:textId="77777777" w:rsidR="005767BC" w:rsidRPr="00456361" w:rsidRDefault="005767BC" w:rsidP="00B539FA">
            <w:pPr>
              <w:jc w:val="right"/>
              <w:rPr>
                <w:sz w:val="20"/>
                <w:szCs w:val="20"/>
              </w:rPr>
            </w:pPr>
            <w:r w:rsidRPr="00456361">
              <w:rPr>
                <w:sz w:val="20"/>
                <w:szCs w:val="20"/>
              </w:rPr>
              <w:t>18</w:t>
            </w:r>
          </w:p>
        </w:tc>
        <w:tc>
          <w:tcPr>
            <w:tcW w:w="1252" w:type="dxa"/>
          </w:tcPr>
          <w:p w14:paraId="67AEF5B4" w14:textId="77777777" w:rsidR="005767BC" w:rsidRPr="00456361" w:rsidRDefault="005767BC" w:rsidP="00B539FA">
            <w:pPr>
              <w:jc w:val="right"/>
              <w:rPr>
                <w:sz w:val="20"/>
                <w:szCs w:val="20"/>
              </w:rPr>
            </w:pPr>
            <w:r w:rsidRPr="00456361">
              <w:rPr>
                <w:sz w:val="20"/>
                <w:szCs w:val="20"/>
              </w:rPr>
              <w:t>0</w:t>
            </w:r>
          </w:p>
        </w:tc>
      </w:tr>
      <w:tr w:rsidR="005767BC" w:rsidRPr="00456361" w14:paraId="4C528CDB" w14:textId="77777777" w:rsidTr="00B539FA">
        <w:tc>
          <w:tcPr>
            <w:tcW w:w="2042" w:type="dxa"/>
            <w:shd w:val="clear" w:color="auto" w:fill="auto"/>
          </w:tcPr>
          <w:p w14:paraId="408BE831" w14:textId="77777777" w:rsidR="005767BC" w:rsidRPr="00456361" w:rsidRDefault="005767BC" w:rsidP="00B539FA">
            <w:pPr>
              <w:rPr>
                <w:sz w:val="20"/>
                <w:szCs w:val="20"/>
              </w:rPr>
            </w:pPr>
            <w:r w:rsidRPr="00456361">
              <w:rPr>
                <w:sz w:val="20"/>
                <w:szCs w:val="20"/>
              </w:rPr>
              <w:t>Solicitor Grade 3</w:t>
            </w:r>
          </w:p>
        </w:tc>
        <w:tc>
          <w:tcPr>
            <w:tcW w:w="1289" w:type="dxa"/>
            <w:shd w:val="clear" w:color="auto" w:fill="auto"/>
          </w:tcPr>
          <w:p w14:paraId="5257760B" w14:textId="77777777" w:rsidR="005767BC" w:rsidRPr="00456361" w:rsidRDefault="005767BC" w:rsidP="00B539FA">
            <w:pPr>
              <w:jc w:val="right"/>
              <w:rPr>
                <w:sz w:val="20"/>
                <w:szCs w:val="20"/>
              </w:rPr>
            </w:pPr>
            <w:r w:rsidRPr="00456361">
              <w:rPr>
                <w:sz w:val="20"/>
                <w:szCs w:val="20"/>
              </w:rPr>
              <w:t>8</w:t>
            </w:r>
          </w:p>
        </w:tc>
        <w:tc>
          <w:tcPr>
            <w:tcW w:w="1187" w:type="dxa"/>
            <w:shd w:val="clear" w:color="auto" w:fill="auto"/>
          </w:tcPr>
          <w:p w14:paraId="00586076" w14:textId="77777777" w:rsidR="005767BC" w:rsidRPr="00456361" w:rsidRDefault="005767BC" w:rsidP="00B539FA">
            <w:pPr>
              <w:jc w:val="right"/>
              <w:rPr>
                <w:sz w:val="20"/>
                <w:szCs w:val="20"/>
              </w:rPr>
            </w:pPr>
            <w:r w:rsidRPr="00456361">
              <w:rPr>
                <w:sz w:val="20"/>
                <w:szCs w:val="20"/>
              </w:rPr>
              <w:t>7.6</w:t>
            </w:r>
          </w:p>
        </w:tc>
        <w:tc>
          <w:tcPr>
            <w:tcW w:w="1351" w:type="dxa"/>
            <w:shd w:val="clear" w:color="auto" w:fill="auto"/>
          </w:tcPr>
          <w:p w14:paraId="597947E3" w14:textId="77777777" w:rsidR="005767BC" w:rsidRPr="00456361" w:rsidRDefault="005767BC" w:rsidP="00B539FA">
            <w:pPr>
              <w:jc w:val="right"/>
              <w:rPr>
                <w:sz w:val="20"/>
                <w:szCs w:val="20"/>
              </w:rPr>
            </w:pPr>
            <w:r w:rsidRPr="00456361">
              <w:rPr>
                <w:sz w:val="20"/>
                <w:szCs w:val="20"/>
              </w:rPr>
              <w:t>0</w:t>
            </w:r>
          </w:p>
        </w:tc>
        <w:tc>
          <w:tcPr>
            <w:tcW w:w="1328" w:type="dxa"/>
          </w:tcPr>
          <w:p w14:paraId="1CC7B213" w14:textId="77777777" w:rsidR="005767BC" w:rsidRPr="00456361" w:rsidRDefault="005767BC" w:rsidP="00B539FA">
            <w:pPr>
              <w:jc w:val="right"/>
              <w:rPr>
                <w:sz w:val="20"/>
                <w:szCs w:val="20"/>
              </w:rPr>
            </w:pPr>
            <w:r w:rsidRPr="00456361">
              <w:rPr>
                <w:sz w:val="20"/>
                <w:szCs w:val="20"/>
              </w:rPr>
              <w:t>2</w:t>
            </w:r>
          </w:p>
        </w:tc>
        <w:tc>
          <w:tcPr>
            <w:tcW w:w="1276" w:type="dxa"/>
          </w:tcPr>
          <w:p w14:paraId="34074644" w14:textId="77777777" w:rsidR="005767BC" w:rsidRPr="00456361" w:rsidRDefault="005767BC" w:rsidP="00B539FA">
            <w:pPr>
              <w:jc w:val="right"/>
              <w:rPr>
                <w:sz w:val="20"/>
                <w:szCs w:val="20"/>
              </w:rPr>
            </w:pPr>
            <w:r w:rsidRPr="00456361">
              <w:rPr>
                <w:sz w:val="20"/>
                <w:szCs w:val="20"/>
              </w:rPr>
              <w:t>2</w:t>
            </w:r>
          </w:p>
        </w:tc>
        <w:tc>
          <w:tcPr>
            <w:tcW w:w="1252" w:type="dxa"/>
          </w:tcPr>
          <w:p w14:paraId="161F5D7F" w14:textId="77777777" w:rsidR="005767BC" w:rsidRPr="00456361" w:rsidRDefault="005767BC" w:rsidP="00B539FA">
            <w:pPr>
              <w:jc w:val="right"/>
              <w:rPr>
                <w:sz w:val="20"/>
                <w:szCs w:val="20"/>
              </w:rPr>
            </w:pPr>
            <w:r w:rsidRPr="00456361">
              <w:rPr>
                <w:sz w:val="20"/>
                <w:szCs w:val="20"/>
              </w:rPr>
              <w:t>0</w:t>
            </w:r>
          </w:p>
        </w:tc>
      </w:tr>
      <w:tr w:rsidR="005767BC" w:rsidRPr="00456361" w14:paraId="235460ED" w14:textId="77777777" w:rsidTr="00B539FA">
        <w:tc>
          <w:tcPr>
            <w:tcW w:w="2042" w:type="dxa"/>
            <w:shd w:val="clear" w:color="auto" w:fill="auto"/>
          </w:tcPr>
          <w:p w14:paraId="15F27E7C" w14:textId="77777777" w:rsidR="005767BC" w:rsidRPr="00456361" w:rsidRDefault="005767BC" w:rsidP="00B539FA">
            <w:pPr>
              <w:rPr>
                <w:sz w:val="20"/>
                <w:szCs w:val="20"/>
              </w:rPr>
            </w:pPr>
            <w:r w:rsidRPr="00456361">
              <w:rPr>
                <w:b/>
                <w:sz w:val="20"/>
                <w:szCs w:val="20"/>
              </w:rPr>
              <w:t>Total</w:t>
            </w:r>
          </w:p>
        </w:tc>
        <w:tc>
          <w:tcPr>
            <w:tcW w:w="1289" w:type="dxa"/>
            <w:shd w:val="clear" w:color="auto" w:fill="auto"/>
          </w:tcPr>
          <w:p w14:paraId="12EB151F" w14:textId="77777777" w:rsidR="005767BC" w:rsidRPr="00456361" w:rsidRDefault="005767BC" w:rsidP="00B539FA">
            <w:pPr>
              <w:jc w:val="right"/>
              <w:rPr>
                <w:sz w:val="20"/>
                <w:szCs w:val="20"/>
              </w:rPr>
            </w:pPr>
            <w:r w:rsidRPr="00456361">
              <w:rPr>
                <w:b/>
                <w:sz w:val="20"/>
                <w:szCs w:val="20"/>
              </w:rPr>
              <w:t>1,542</w:t>
            </w:r>
          </w:p>
        </w:tc>
        <w:tc>
          <w:tcPr>
            <w:tcW w:w="1187" w:type="dxa"/>
            <w:shd w:val="clear" w:color="auto" w:fill="auto"/>
          </w:tcPr>
          <w:p w14:paraId="5F95F0F8" w14:textId="77777777" w:rsidR="005767BC" w:rsidRPr="00456361" w:rsidRDefault="005767BC" w:rsidP="00B539FA">
            <w:pPr>
              <w:jc w:val="right"/>
              <w:rPr>
                <w:sz w:val="20"/>
                <w:szCs w:val="20"/>
              </w:rPr>
            </w:pPr>
            <w:r w:rsidRPr="00456361">
              <w:rPr>
                <w:b/>
                <w:sz w:val="20"/>
                <w:szCs w:val="20"/>
              </w:rPr>
              <w:t>1,446.5</w:t>
            </w:r>
          </w:p>
        </w:tc>
        <w:tc>
          <w:tcPr>
            <w:tcW w:w="1351" w:type="dxa"/>
            <w:shd w:val="clear" w:color="auto" w:fill="auto"/>
          </w:tcPr>
          <w:p w14:paraId="164A4877" w14:textId="77777777" w:rsidR="005767BC" w:rsidRPr="00456361" w:rsidRDefault="005767BC" w:rsidP="00B539FA">
            <w:pPr>
              <w:jc w:val="right"/>
              <w:rPr>
                <w:sz w:val="20"/>
                <w:szCs w:val="20"/>
              </w:rPr>
            </w:pPr>
            <w:r w:rsidRPr="00456361">
              <w:rPr>
                <w:b/>
                <w:sz w:val="20"/>
                <w:szCs w:val="20"/>
              </w:rPr>
              <w:t>219.2</w:t>
            </w:r>
          </w:p>
        </w:tc>
        <w:tc>
          <w:tcPr>
            <w:tcW w:w="1328" w:type="dxa"/>
          </w:tcPr>
          <w:p w14:paraId="3ACAC610" w14:textId="77777777" w:rsidR="005767BC" w:rsidRPr="00456361" w:rsidRDefault="005767BC" w:rsidP="00B539FA">
            <w:pPr>
              <w:jc w:val="right"/>
              <w:rPr>
                <w:b/>
                <w:sz w:val="20"/>
                <w:szCs w:val="20"/>
              </w:rPr>
            </w:pPr>
            <w:r w:rsidRPr="00456361">
              <w:rPr>
                <w:b/>
                <w:sz w:val="20"/>
                <w:szCs w:val="20"/>
              </w:rPr>
              <w:t>1,497</w:t>
            </w:r>
          </w:p>
        </w:tc>
        <w:tc>
          <w:tcPr>
            <w:tcW w:w="1276" w:type="dxa"/>
          </w:tcPr>
          <w:p w14:paraId="101D1C92" w14:textId="77777777" w:rsidR="005767BC" w:rsidRPr="00456361" w:rsidRDefault="005767BC" w:rsidP="00B539FA">
            <w:pPr>
              <w:jc w:val="right"/>
              <w:rPr>
                <w:b/>
                <w:sz w:val="20"/>
                <w:szCs w:val="20"/>
              </w:rPr>
            </w:pPr>
            <w:r w:rsidRPr="00456361">
              <w:rPr>
                <w:b/>
                <w:sz w:val="20"/>
                <w:szCs w:val="20"/>
              </w:rPr>
              <w:t>1,400.5</w:t>
            </w:r>
          </w:p>
        </w:tc>
        <w:tc>
          <w:tcPr>
            <w:tcW w:w="1252" w:type="dxa"/>
          </w:tcPr>
          <w:p w14:paraId="47DDCED3" w14:textId="77777777" w:rsidR="005767BC" w:rsidRPr="00456361" w:rsidRDefault="005767BC" w:rsidP="00B539FA">
            <w:pPr>
              <w:jc w:val="right"/>
              <w:rPr>
                <w:b/>
                <w:sz w:val="20"/>
                <w:szCs w:val="20"/>
              </w:rPr>
            </w:pPr>
            <w:r w:rsidRPr="00456361">
              <w:rPr>
                <w:b/>
                <w:sz w:val="20"/>
                <w:szCs w:val="20"/>
              </w:rPr>
              <w:t>238.8</w:t>
            </w:r>
          </w:p>
        </w:tc>
      </w:tr>
    </w:tbl>
    <w:p w14:paraId="771729A1" w14:textId="77777777" w:rsidR="005767BC" w:rsidRPr="00456361" w:rsidRDefault="005767BC" w:rsidP="005767BC">
      <w:pPr>
        <w:pStyle w:val="Notesheading"/>
      </w:pPr>
      <w:r w:rsidRPr="00456361">
        <w:t>Notes</w:t>
      </w:r>
    </w:p>
    <w:p w14:paraId="4EA4F4E8" w14:textId="77777777" w:rsidR="005767BC" w:rsidRPr="00643BCF" w:rsidRDefault="005767BC" w:rsidP="00643BCF">
      <w:pPr>
        <w:pStyle w:val="Notes"/>
      </w:pPr>
      <w:r w:rsidRPr="00643BCF">
        <w:t xml:space="preserve">1. </w:t>
      </w:r>
      <w:r w:rsidRPr="00643BCF">
        <w:tab/>
        <w:t>All figures reflect active employees in the last pay period of June each year. The figures exclude those persons on leave without pay or absent on secondment, external contractors/consultants and temporary staff employed by employment agencies. ‘Ongoing employee’ means people engaged on open-ended contracts of employment and executive officers on a standard executive contract who were active in the last pay period of June. Judicial officers are not included.</w:t>
      </w:r>
    </w:p>
    <w:p w14:paraId="29544605" w14:textId="77777777" w:rsidR="005767BC" w:rsidRPr="00643BCF" w:rsidRDefault="005767BC" w:rsidP="00643BCF">
      <w:pPr>
        <w:pStyle w:val="Notes"/>
      </w:pPr>
    </w:p>
    <w:p w14:paraId="210EEA36" w14:textId="77777777" w:rsidR="005767BC" w:rsidRPr="00643BCF" w:rsidRDefault="005767BC" w:rsidP="00643BCF">
      <w:pPr>
        <w:pStyle w:val="Notes"/>
      </w:pPr>
      <w:r w:rsidRPr="00643BCF">
        <w:t xml:space="preserve">2. </w:t>
      </w:r>
      <w:r w:rsidRPr="00643BCF">
        <w:tab/>
        <w:t>The above figures include all members of the staff of CSV, as defined in section 3 of the CSV Act: the Chief Executive Officer, a Court Chief Executive Officer (classified as executive and VPS officers), a person employed under section 36, a judicial employee, the Chief Executive Officer of the Judicial College of Victoria, or a person employed under section 16(2) of the Judicial College of Victoria Act 2001 (Vic).</w:t>
      </w:r>
    </w:p>
    <w:p w14:paraId="543BDC87" w14:textId="77777777" w:rsidR="005767BC" w:rsidRPr="00456361" w:rsidRDefault="005767BC" w:rsidP="005767BC"/>
    <w:p w14:paraId="3BCC220D" w14:textId="21431BC6" w:rsidR="009A41BE" w:rsidRDefault="009A41BE" w:rsidP="002D3822">
      <w:pPr>
        <w:pStyle w:val="Heading3"/>
      </w:pPr>
      <w:r>
        <w:t>Executive Officer Data</w:t>
      </w:r>
    </w:p>
    <w:p w14:paraId="58C48231" w14:textId="77777777" w:rsidR="005767BC" w:rsidRPr="00456361" w:rsidRDefault="005767BC" w:rsidP="00643BCF">
      <w:r w:rsidRPr="00456361">
        <w:t xml:space="preserve">An executive officer is defined as a person employed as a public service body head or other executive under Part 3, Division 5 of the </w:t>
      </w:r>
      <w:r w:rsidRPr="00456361">
        <w:rPr>
          <w:i/>
        </w:rPr>
        <w:t>Public Administration Act 2004</w:t>
      </w:r>
      <w:r w:rsidRPr="00456361">
        <w:t>. All figures reflect employment levels at the last full pay period in June of the current and corresponding previous reporting year.</w:t>
      </w:r>
    </w:p>
    <w:p w14:paraId="05C386D8" w14:textId="77777777" w:rsidR="005767BC" w:rsidRPr="00456361" w:rsidRDefault="005767BC" w:rsidP="00643BCF"/>
    <w:p w14:paraId="3918B54E" w14:textId="77777777" w:rsidR="005767BC" w:rsidRPr="00456361" w:rsidRDefault="005767BC" w:rsidP="00643BCF">
      <w:r w:rsidRPr="00456361">
        <w:t>The definition of executive officer does not include Governor in Council appointments as statutory office holders.</w:t>
      </w:r>
    </w:p>
    <w:p w14:paraId="03F04AF4" w14:textId="77777777" w:rsidR="005767BC" w:rsidRPr="00456361" w:rsidRDefault="005767BC" w:rsidP="00643BCF"/>
    <w:p w14:paraId="34782F69" w14:textId="77777777" w:rsidR="005767BC" w:rsidRPr="00456361" w:rsidRDefault="005767BC" w:rsidP="00643BCF">
      <w:r w:rsidRPr="00456361">
        <w:t>Executives are classified into two distinct categories based on the following definitions:</w:t>
      </w:r>
    </w:p>
    <w:p w14:paraId="01BF8E8A" w14:textId="77777777" w:rsidR="005767BC" w:rsidRPr="00456361" w:rsidRDefault="005767BC" w:rsidP="00643BCF">
      <w:pPr>
        <w:pStyle w:val="ListBullet"/>
      </w:pPr>
      <w:r w:rsidRPr="00456361">
        <w:t>Ongoing executives are responsible for functions or outputs that are expected to be ongoing at the end of the reporting period</w:t>
      </w:r>
    </w:p>
    <w:p w14:paraId="2CCBEADF" w14:textId="77777777" w:rsidR="005767BC" w:rsidRDefault="005767BC" w:rsidP="00643BCF">
      <w:pPr>
        <w:pStyle w:val="ListBullet"/>
      </w:pPr>
      <w:r w:rsidRPr="00456361">
        <w:t>Special projects executives are employed for a specific project. These projects are generally for a fixed period of time and relate to a specific court priority.</w:t>
      </w:r>
    </w:p>
    <w:p w14:paraId="04CF3D01" w14:textId="77777777" w:rsidR="009A41BE" w:rsidRPr="00456361" w:rsidRDefault="009A41BE" w:rsidP="002D3822">
      <w:pPr>
        <w:pStyle w:val="Caption"/>
      </w:pPr>
    </w:p>
    <w:p w14:paraId="6071B23A" w14:textId="77777777" w:rsidR="009A41BE" w:rsidRPr="00156A58" w:rsidRDefault="009A41BE" w:rsidP="002D3822">
      <w:pPr>
        <w:pStyle w:val="Caption"/>
      </w:pPr>
      <w:r w:rsidRPr="003278E8">
        <w:t>Table 8</w:t>
      </w:r>
      <w:r w:rsidRPr="00156A58">
        <w:t xml:space="preserve">: </w:t>
      </w:r>
      <w:r w:rsidRPr="00156A58">
        <w:tab/>
        <w:t>Number of executive officers classified into ‘ongoing’ and ‘special projects’</w:t>
      </w:r>
    </w:p>
    <w:tbl>
      <w:tblPr>
        <w:tblW w:w="0" w:type="auto"/>
        <w:tblBorders>
          <w:top w:val="single" w:sz="4" w:space="0" w:color="auto"/>
          <w:bottom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1395"/>
        <w:gridCol w:w="603"/>
        <w:gridCol w:w="604"/>
        <w:gridCol w:w="603"/>
        <w:gridCol w:w="604"/>
        <w:gridCol w:w="838"/>
        <w:gridCol w:w="838"/>
      </w:tblGrid>
      <w:tr w:rsidR="005767BC" w:rsidRPr="00456361" w14:paraId="7013A294" w14:textId="77777777" w:rsidTr="00B539FA">
        <w:tc>
          <w:tcPr>
            <w:tcW w:w="1395" w:type="dxa"/>
            <w:shd w:val="clear" w:color="auto" w:fill="auto"/>
          </w:tcPr>
          <w:p w14:paraId="2669E7F3" w14:textId="2320C902" w:rsidR="005767BC" w:rsidRPr="00456361" w:rsidRDefault="009A41BE" w:rsidP="00B539FA">
            <w:pPr>
              <w:pStyle w:val="Tabletext"/>
              <w:jc w:val="center"/>
            </w:pPr>
            <w:r>
              <w:t xml:space="preserve"> </w:t>
            </w:r>
          </w:p>
        </w:tc>
        <w:tc>
          <w:tcPr>
            <w:tcW w:w="1207" w:type="dxa"/>
            <w:gridSpan w:val="2"/>
            <w:shd w:val="clear" w:color="auto" w:fill="auto"/>
          </w:tcPr>
          <w:p w14:paraId="47F42779" w14:textId="77777777" w:rsidR="005767BC" w:rsidRPr="00456361" w:rsidRDefault="005767BC" w:rsidP="00B539FA">
            <w:pPr>
              <w:pStyle w:val="Tabletext"/>
              <w:jc w:val="center"/>
            </w:pPr>
            <w:r w:rsidRPr="00456361">
              <w:rPr>
                <w:rFonts w:cs="Arial"/>
              </w:rPr>
              <w:t>All</w:t>
            </w:r>
          </w:p>
        </w:tc>
        <w:tc>
          <w:tcPr>
            <w:tcW w:w="1207" w:type="dxa"/>
            <w:gridSpan w:val="2"/>
            <w:shd w:val="clear" w:color="auto" w:fill="auto"/>
          </w:tcPr>
          <w:p w14:paraId="7C9B30C2" w14:textId="77777777" w:rsidR="005767BC" w:rsidRPr="00456361" w:rsidRDefault="005767BC" w:rsidP="00B539FA">
            <w:pPr>
              <w:pStyle w:val="Tabletext"/>
              <w:jc w:val="center"/>
            </w:pPr>
            <w:r w:rsidRPr="00456361">
              <w:rPr>
                <w:rFonts w:cs="Arial"/>
              </w:rPr>
              <w:t>Ongoing</w:t>
            </w:r>
          </w:p>
        </w:tc>
        <w:tc>
          <w:tcPr>
            <w:tcW w:w="1676" w:type="dxa"/>
            <w:gridSpan w:val="2"/>
            <w:shd w:val="clear" w:color="auto" w:fill="auto"/>
          </w:tcPr>
          <w:p w14:paraId="68AA8094" w14:textId="77777777" w:rsidR="005767BC" w:rsidRPr="00456361" w:rsidRDefault="005767BC" w:rsidP="00B539FA">
            <w:pPr>
              <w:pStyle w:val="Tabletext"/>
              <w:jc w:val="center"/>
            </w:pPr>
            <w:r w:rsidRPr="00456361">
              <w:rPr>
                <w:rFonts w:cs="Arial"/>
              </w:rPr>
              <w:t>Special projects</w:t>
            </w:r>
          </w:p>
        </w:tc>
      </w:tr>
      <w:tr w:rsidR="005767BC" w:rsidRPr="00456361" w14:paraId="79003686" w14:textId="77777777" w:rsidTr="00B539FA">
        <w:tc>
          <w:tcPr>
            <w:tcW w:w="1395" w:type="dxa"/>
            <w:shd w:val="clear" w:color="auto" w:fill="auto"/>
          </w:tcPr>
          <w:p w14:paraId="3C50E86C" w14:textId="77777777" w:rsidR="005767BC" w:rsidRPr="00456361" w:rsidRDefault="005767BC" w:rsidP="00B539FA">
            <w:pPr>
              <w:pStyle w:val="Tabletext"/>
            </w:pPr>
            <w:r w:rsidRPr="00456361">
              <w:rPr>
                <w:rFonts w:cs="Arial"/>
              </w:rPr>
              <w:t>Class</w:t>
            </w:r>
          </w:p>
        </w:tc>
        <w:tc>
          <w:tcPr>
            <w:tcW w:w="603" w:type="dxa"/>
            <w:shd w:val="clear" w:color="auto" w:fill="auto"/>
          </w:tcPr>
          <w:p w14:paraId="06F15D5E" w14:textId="77777777" w:rsidR="005767BC" w:rsidRPr="00456361" w:rsidRDefault="005767BC" w:rsidP="00B539FA">
            <w:pPr>
              <w:pStyle w:val="Tabletext"/>
              <w:jc w:val="center"/>
            </w:pPr>
            <w:r w:rsidRPr="00456361">
              <w:t>No.</w:t>
            </w:r>
          </w:p>
        </w:tc>
        <w:tc>
          <w:tcPr>
            <w:tcW w:w="604" w:type="dxa"/>
            <w:shd w:val="clear" w:color="auto" w:fill="auto"/>
          </w:tcPr>
          <w:p w14:paraId="7497825D" w14:textId="77777777" w:rsidR="005767BC" w:rsidRPr="00456361" w:rsidRDefault="005767BC" w:rsidP="00B539FA">
            <w:pPr>
              <w:pStyle w:val="Tabletext"/>
              <w:jc w:val="center"/>
            </w:pPr>
            <w:r w:rsidRPr="00456361">
              <w:t>Var.</w:t>
            </w:r>
          </w:p>
        </w:tc>
        <w:tc>
          <w:tcPr>
            <w:tcW w:w="603" w:type="dxa"/>
            <w:shd w:val="clear" w:color="auto" w:fill="auto"/>
          </w:tcPr>
          <w:p w14:paraId="737111DC" w14:textId="77777777" w:rsidR="005767BC" w:rsidRPr="00456361" w:rsidRDefault="005767BC" w:rsidP="00B539FA">
            <w:pPr>
              <w:pStyle w:val="Tabletext"/>
              <w:jc w:val="center"/>
            </w:pPr>
            <w:r w:rsidRPr="00456361">
              <w:t>No.</w:t>
            </w:r>
          </w:p>
        </w:tc>
        <w:tc>
          <w:tcPr>
            <w:tcW w:w="604" w:type="dxa"/>
            <w:shd w:val="clear" w:color="auto" w:fill="auto"/>
          </w:tcPr>
          <w:p w14:paraId="53C70A4D" w14:textId="77777777" w:rsidR="005767BC" w:rsidRPr="00456361" w:rsidRDefault="005767BC" w:rsidP="00B539FA">
            <w:pPr>
              <w:pStyle w:val="Tabletext"/>
              <w:jc w:val="center"/>
            </w:pPr>
            <w:r w:rsidRPr="00456361">
              <w:t>Var.</w:t>
            </w:r>
          </w:p>
        </w:tc>
        <w:tc>
          <w:tcPr>
            <w:tcW w:w="838" w:type="dxa"/>
            <w:shd w:val="clear" w:color="auto" w:fill="auto"/>
          </w:tcPr>
          <w:p w14:paraId="15E2FCAC" w14:textId="77777777" w:rsidR="005767BC" w:rsidRPr="00456361" w:rsidRDefault="005767BC" w:rsidP="00B539FA">
            <w:pPr>
              <w:pStyle w:val="Tabletext"/>
              <w:jc w:val="center"/>
            </w:pPr>
            <w:r w:rsidRPr="00456361">
              <w:t>No.</w:t>
            </w:r>
          </w:p>
        </w:tc>
        <w:tc>
          <w:tcPr>
            <w:tcW w:w="838" w:type="dxa"/>
            <w:shd w:val="clear" w:color="auto" w:fill="auto"/>
          </w:tcPr>
          <w:p w14:paraId="40041E03" w14:textId="77777777" w:rsidR="005767BC" w:rsidRPr="00456361" w:rsidRDefault="005767BC" w:rsidP="00B539FA">
            <w:pPr>
              <w:pStyle w:val="Tabletext"/>
              <w:jc w:val="center"/>
            </w:pPr>
            <w:r w:rsidRPr="00456361">
              <w:t>Var.</w:t>
            </w:r>
          </w:p>
        </w:tc>
      </w:tr>
      <w:tr w:rsidR="005767BC" w:rsidRPr="00456361" w14:paraId="407632B5" w14:textId="77777777" w:rsidTr="00B539FA">
        <w:tc>
          <w:tcPr>
            <w:tcW w:w="1395" w:type="dxa"/>
            <w:shd w:val="clear" w:color="auto" w:fill="auto"/>
          </w:tcPr>
          <w:p w14:paraId="18389FEE" w14:textId="77777777" w:rsidR="005767BC" w:rsidRPr="00456361" w:rsidRDefault="005767BC" w:rsidP="00B539FA">
            <w:pPr>
              <w:pStyle w:val="Tabletext"/>
            </w:pPr>
            <w:r w:rsidRPr="00456361">
              <w:rPr>
                <w:rFonts w:cs="Arial"/>
              </w:rPr>
              <w:t>EO-1</w:t>
            </w:r>
          </w:p>
        </w:tc>
        <w:tc>
          <w:tcPr>
            <w:tcW w:w="603" w:type="dxa"/>
            <w:shd w:val="clear" w:color="auto" w:fill="auto"/>
          </w:tcPr>
          <w:p w14:paraId="4F5C1AA4" w14:textId="77777777" w:rsidR="005767BC" w:rsidRPr="00456361" w:rsidRDefault="005767BC" w:rsidP="00B539FA">
            <w:pPr>
              <w:pStyle w:val="Tabletext"/>
              <w:jc w:val="center"/>
            </w:pPr>
            <w:r w:rsidRPr="00456361">
              <w:t>1</w:t>
            </w:r>
          </w:p>
        </w:tc>
        <w:tc>
          <w:tcPr>
            <w:tcW w:w="604" w:type="dxa"/>
            <w:shd w:val="clear" w:color="auto" w:fill="auto"/>
          </w:tcPr>
          <w:p w14:paraId="1B76F3BA" w14:textId="77777777" w:rsidR="005767BC" w:rsidRPr="00456361" w:rsidRDefault="005767BC" w:rsidP="00B539FA">
            <w:pPr>
              <w:pStyle w:val="Tabletext"/>
              <w:jc w:val="center"/>
            </w:pPr>
            <w:r w:rsidRPr="00456361">
              <w:t>+1</w:t>
            </w:r>
          </w:p>
        </w:tc>
        <w:tc>
          <w:tcPr>
            <w:tcW w:w="603" w:type="dxa"/>
            <w:shd w:val="clear" w:color="auto" w:fill="auto"/>
          </w:tcPr>
          <w:p w14:paraId="3D70DA7F" w14:textId="77777777" w:rsidR="005767BC" w:rsidRPr="00456361" w:rsidRDefault="005767BC" w:rsidP="00B539FA">
            <w:pPr>
              <w:pStyle w:val="Tabletext"/>
              <w:jc w:val="center"/>
            </w:pPr>
            <w:r w:rsidRPr="00456361">
              <w:t>1</w:t>
            </w:r>
          </w:p>
        </w:tc>
        <w:tc>
          <w:tcPr>
            <w:tcW w:w="604" w:type="dxa"/>
            <w:shd w:val="clear" w:color="auto" w:fill="auto"/>
          </w:tcPr>
          <w:p w14:paraId="2D7B0F42" w14:textId="77777777" w:rsidR="005767BC" w:rsidRPr="00456361" w:rsidRDefault="005767BC" w:rsidP="00B539FA">
            <w:pPr>
              <w:pStyle w:val="Tabletext"/>
              <w:jc w:val="center"/>
            </w:pPr>
            <w:r w:rsidRPr="00456361">
              <w:t>+1</w:t>
            </w:r>
          </w:p>
        </w:tc>
        <w:tc>
          <w:tcPr>
            <w:tcW w:w="838" w:type="dxa"/>
            <w:shd w:val="clear" w:color="auto" w:fill="auto"/>
          </w:tcPr>
          <w:p w14:paraId="650517A3" w14:textId="77777777" w:rsidR="005767BC" w:rsidRPr="00456361" w:rsidRDefault="005767BC" w:rsidP="00B539FA">
            <w:pPr>
              <w:pStyle w:val="Tabletext"/>
              <w:jc w:val="center"/>
            </w:pPr>
            <w:r w:rsidRPr="00456361">
              <w:t>0</w:t>
            </w:r>
          </w:p>
        </w:tc>
        <w:tc>
          <w:tcPr>
            <w:tcW w:w="838" w:type="dxa"/>
            <w:shd w:val="clear" w:color="auto" w:fill="auto"/>
          </w:tcPr>
          <w:p w14:paraId="0F68BF0E" w14:textId="77777777" w:rsidR="005767BC" w:rsidRPr="00456361" w:rsidRDefault="005767BC" w:rsidP="00B539FA">
            <w:pPr>
              <w:pStyle w:val="Tabletext"/>
              <w:jc w:val="center"/>
            </w:pPr>
            <w:r w:rsidRPr="00456361">
              <w:t>0</w:t>
            </w:r>
          </w:p>
        </w:tc>
      </w:tr>
      <w:tr w:rsidR="005767BC" w:rsidRPr="00456361" w14:paraId="2C1A31B3" w14:textId="77777777" w:rsidTr="00B539FA">
        <w:tc>
          <w:tcPr>
            <w:tcW w:w="1395" w:type="dxa"/>
            <w:shd w:val="clear" w:color="auto" w:fill="auto"/>
          </w:tcPr>
          <w:p w14:paraId="1184338E" w14:textId="77777777" w:rsidR="005767BC" w:rsidRPr="00456361" w:rsidRDefault="005767BC" w:rsidP="00B539FA">
            <w:pPr>
              <w:pStyle w:val="Tabletext"/>
            </w:pPr>
            <w:r w:rsidRPr="00456361">
              <w:rPr>
                <w:rFonts w:cs="Arial"/>
              </w:rPr>
              <w:t>EO-2</w:t>
            </w:r>
          </w:p>
        </w:tc>
        <w:tc>
          <w:tcPr>
            <w:tcW w:w="603" w:type="dxa"/>
            <w:shd w:val="clear" w:color="auto" w:fill="auto"/>
          </w:tcPr>
          <w:p w14:paraId="17BA9459" w14:textId="77777777" w:rsidR="005767BC" w:rsidRPr="00456361" w:rsidRDefault="005767BC" w:rsidP="00B539FA">
            <w:pPr>
              <w:pStyle w:val="Tabletext"/>
              <w:jc w:val="center"/>
            </w:pPr>
            <w:r w:rsidRPr="00456361">
              <w:t>6</w:t>
            </w:r>
          </w:p>
        </w:tc>
        <w:tc>
          <w:tcPr>
            <w:tcW w:w="604" w:type="dxa"/>
            <w:shd w:val="clear" w:color="auto" w:fill="auto"/>
          </w:tcPr>
          <w:p w14:paraId="6BD9D1ED" w14:textId="77777777" w:rsidR="005767BC" w:rsidRPr="00456361" w:rsidRDefault="005767BC" w:rsidP="00B539FA">
            <w:pPr>
              <w:pStyle w:val="Tabletext"/>
              <w:jc w:val="center"/>
            </w:pPr>
            <w:r w:rsidRPr="00456361">
              <w:t>+3</w:t>
            </w:r>
          </w:p>
        </w:tc>
        <w:tc>
          <w:tcPr>
            <w:tcW w:w="603" w:type="dxa"/>
            <w:shd w:val="clear" w:color="auto" w:fill="auto"/>
          </w:tcPr>
          <w:p w14:paraId="1E5768C3" w14:textId="77777777" w:rsidR="005767BC" w:rsidRPr="00456361" w:rsidRDefault="005767BC" w:rsidP="00B539FA">
            <w:pPr>
              <w:pStyle w:val="Tabletext"/>
              <w:jc w:val="center"/>
            </w:pPr>
            <w:r w:rsidRPr="00456361">
              <w:t>6</w:t>
            </w:r>
          </w:p>
        </w:tc>
        <w:tc>
          <w:tcPr>
            <w:tcW w:w="604" w:type="dxa"/>
            <w:shd w:val="clear" w:color="auto" w:fill="auto"/>
          </w:tcPr>
          <w:p w14:paraId="1A5AB777" w14:textId="77777777" w:rsidR="005767BC" w:rsidRPr="00456361" w:rsidRDefault="005767BC" w:rsidP="00B539FA">
            <w:pPr>
              <w:pStyle w:val="Tabletext"/>
              <w:jc w:val="center"/>
            </w:pPr>
            <w:r w:rsidRPr="00456361">
              <w:t>+3</w:t>
            </w:r>
          </w:p>
        </w:tc>
        <w:tc>
          <w:tcPr>
            <w:tcW w:w="838" w:type="dxa"/>
            <w:shd w:val="clear" w:color="auto" w:fill="auto"/>
          </w:tcPr>
          <w:p w14:paraId="253D13AB" w14:textId="77777777" w:rsidR="005767BC" w:rsidRPr="00456361" w:rsidRDefault="005767BC" w:rsidP="00B539FA">
            <w:pPr>
              <w:pStyle w:val="Tabletext"/>
              <w:jc w:val="center"/>
            </w:pPr>
            <w:r w:rsidRPr="00456361">
              <w:t>0</w:t>
            </w:r>
          </w:p>
        </w:tc>
        <w:tc>
          <w:tcPr>
            <w:tcW w:w="838" w:type="dxa"/>
            <w:shd w:val="clear" w:color="auto" w:fill="auto"/>
          </w:tcPr>
          <w:p w14:paraId="33284CE1" w14:textId="77777777" w:rsidR="005767BC" w:rsidRPr="00456361" w:rsidRDefault="005767BC" w:rsidP="00B539FA">
            <w:pPr>
              <w:pStyle w:val="Tabletext"/>
              <w:jc w:val="center"/>
            </w:pPr>
            <w:r w:rsidRPr="00456361">
              <w:t>0</w:t>
            </w:r>
          </w:p>
        </w:tc>
      </w:tr>
      <w:tr w:rsidR="005767BC" w:rsidRPr="00456361" w14:paraId="2FA61746" w14:textId="77777777" w:rsidTr="00B539FA">
        <w:tc>
          <w:tcPr>
            <w:tcW w:w="1395" w:type="dxa"/>
            <w:shd w:val="clear" w:color="auto" w:fill="auto"/>
          </w:tcPr>
          <w:p w14:paraId="03F17154" w14:textId="77777777" w:rsidR="005767BC" w:rsidRPr="00456361" w:rsidRDefault="005767BC" w:rsidP="00B539FA">
            <w:pPr>
              <w:pStyle w:val="Tabletext"/>
            </w:pPr>
            <w:r w:rsidRPr="00456361">
              <w:rPr>
                <w:rFonts w:cs="Arial"/>
              </w:rPr>
              <w:t>EO-3</w:t>
            </w:r>
          </w:p>
        </w:tc>
        <w:tc>
          <w:tcPr>
            <w:tcW w:w="603" w:type="dxa"/>
            <w:shd w:val="clear" w:color="auto" w:fill="auto"/>
          </w:tcPr>
          <w:p w14:paraId="60955A10" w14:textId="77777777" w:rsidR="005767BC" w:rsidRPr="00456361" w:rsidRDefault="005767BC" w:rsidP="00B539FA">
            <w:pPr>
              <w:pStyle w:val="Tabletext"/>
              <w:jc w:val="center"/>
            </w:pPr>
            <w:r w:rsidRPr="00456361">
              <w:t>5</w:t>
            </w:r>
          </w:p>
        </w:tc>
        <w:tc>
          <w:tcPr>
            <w:tcW w:w="604" w:type="dxa"/>
            <w:shd w:val="clear" w:color="auto" w:fill="auto"/>
          </w:tcPr>
          <w:p w14:paraId="5CACFAA4" w14:textId="77777777" w:rsidR="005767BC" w:rsidRPr="00456361" w:rsidRDefault="005767BC" w:rsidP="00B539FA">
            <w:pPr>
              <w:pStyle w:val="Tabletext"/>
              <w:jc w:val="center"/>
            </w:pPr>
            <w:r w:rsidRPr="00456361">
              <w:t>0</w:t>
            </w:r>
          </w:p>
        </w:tc>
        <w:tc>
          <w:tcPr>
            <w:tcW w:w="603" w:type="dxa"/>
            <w:shd w:val="clear" w:color="auto" w:fill="auto"/>
          </w:tcPr>
          <w:p w14:paraId="731855D1" w14:textId="77777777" w:rsidR="005767BC" w:rsidRPr="00456361" w:rsidRDefault="005767BC" w:rsidP="00B539FA">
            <w:pPr>
              <w:pStyle w:val="Tabletext"/>
              <w:jc w:val="center"/>
            </w:pPr>
            <w:r w:rsidRPr="00456361">
              <w:t>5</w:t>
            </w:r>
          </w:p>
        </w:tc>
        <w:tc>
          <w:tcPr>
            <w:tcW w:w="604" w:type="dxa"/>
            <w:shd w:val="clear" w:color="auto" w:fill="auto"/>
          </w:tcPr>
          <w:p w14:paraId="07A136E1" w14:textId="77777777" w:rsidR="005767BC" w:rsidRPr="00456361" w:rsidRDefault="005767BC" w:rsidP="00B539FA">
            <w:pPr>
              <w:pStyle w:val="Tabletext"/>
              <w:jc w:val="center"/>
            </w:pPr>
            <w:r w:rsidRPr="00456361">
              <w:t>0</w:t>
            </w:r>
          </w:p>
        </w:tc>
        <w:tc>
          <w:tcPr>
            <w:tcW w:w="838" w:type="dxa"/>
            <w:shd w:val="clear" w:color="auto" w:fill="auto"/>
          </w:tcPr>
          <w:p w14:paraId="4EC30445" w14:textId="77777777" w:rsidR="005767BC" w:rsidRPr="00456361" w:rsidRDefault="005767BC" w:rsidP="00B539FA">
            <w:pPr>
              <w:pStyle w:val="Tabletext"/>
              <w:jc w:val="center"/>
            </w:pPr>
            <w:r w:rsidRPr="00456361">
              <w:t>0</w:t>
            </w:r>
          </w:p>
        </w:tc>
        <w:tc>
          <w:tcPr>
            <w:tcW w:w="838" w:type="dxa"/>
            <w:shd w:val="clear" w:color="auto" w:fill="auto"/>
          </w:tcPr>
          <w:p w14:paraId="2A879D30" w14:textId="77777777" w:rsidR="005767BC" w:rsidRPr="00456361" w:rsidRDefault="005767BC" w:rsidP="00B539FA">
            <w:pPr>
              <w:pStyle w:val="Tabletext"/>
              <w:jc w:val="center"/>
            </w:pPr>
            <w:r w:rsidRPr="00456361">
              <w:t>0</w:t>
            </w:r>
          </w:p>
        </w:tc>
      </w:tr>
      <w:tr w:rsidR="005767BC" w:rsidRPr="00456361" w14:paraId="7ACC54FD" w14:textId="77777777" w:rsidTr="00B539FA">
        <w:tc>
          <w:tcPr>
            <w:tcW w:w="1395" w:type="dxa"/>
            <w:shd w:val="clear" w:color="auto" w:fill="auto"/>
          </w:tcPr>
          <w:p w14:paraId="11D7B44B" w14:textId="77777777" w:rsidR="005767BC" w:rsidRPr="00456361" w:rsidRDefault="005767BC" w:rsidP="00B539FA">
            <w:pPr>
              <w:pStyle w:val="Tabletext"/>
              <w:rPr>
                <w:b/>
              </w:rPr>
            </w:pPr>
            <w:r w:rsidRPr="00456361">
              <w:rPr>
                <w:rFonts w:cs="Arial"/>
                <w:b/>
              </w:rPr>
              <w:t>Total</w:t>
            </w:r>
          </w:p>
        </w:tc>
        <w:tc>
          <w:tcPr>
            <w:tcW w:w="603" w:type="dxa"/>
            <w:shd w:val="clear" w:color="auto" w:fill="auto"/>
          </w:tcPr>
          <w:p w14:paraId="1B2C6F40" w14:textId="77777777" w:rsidR="005767BC" w:rsidRPr="00456361" w:rsidRDefault="005767BC" w:rsidP="00B539FA">
            <w:pPr>
              <w:pStyle w:val="Tabletext"/>
              <w:jc w:val="center"/>
              <w:rPr>
                <w:b/>
              </w:rPr>
            </w:pPr>
            <w:r w:rsidRPr="00456361">
              <w:rPr>
                <w:b/>
              </w:rPr>
              <w:t>12</w:t>
            </w:r>
          </w:p>
        </w:tc>
        <w:tc>
          <w:tcPr>
            <w:tcW w:w="604" w:type="dxa"/>
            <w:shd w:val="clear" w:color="auto" w:fill="auto"/>
          </w:tcPr>
          <w:p w14:paraId="12B4A11A" w14:textId="77777777" w:rsidR="005767BC" w:rsidRPr="00456361" w:rsidRDefault="005767BC" w:rsidP="00B539FA">
            <w:pPr>
              <w:pStyle w:val="Tabletext"/>
              <w:jc w:val="center"/>
              <w:rPr>
                <w:b/>
              </w:rPr>
            </w:pPr>
            <w:r w:rsidRPr="00456361">
              <w:rPr>
                <w:b/>
              </w:rPr>
              <w:t>+4</w:t>
            </w:r>
          </w:p>
        </w:tc>
        <w:tc>
          <w:tcPr>
            <w:tcW w:w="603" w:type="dxa"/>
            <w:shd w:val="clear" w:color="auto" w:fill="auto"/>
          </w:tcPr>
          <w:p w14:paraId="3695146C" w14:textId="77777777" w:rsidR="005767BC" w:rsidRPr="00456361" w:rsidRDefault="005767BC" w:rsidP="00B539FA">
            <w:pPr>
              <w:pStyle w:val="Tabletext"/>
              <w:jc w:val="center"/>
              <w:rPr>
                <w:b/>
              </w:rPr>
            </w:pPr>
            <w:r w:rsidRPr="00456361">
              <w:rPr>
                <w:b/>
              </w:rPr>
              <w:t>12</w:t>
            </w:r>
          </w:p>
        </w:tc>
        <w:tc>
          <w:tcPr>
            <w:tcW w:w="604" w:type="dxa"/>
            <w:shd w:val="clear" w:color="auto" w:fill="auto"/>
          </w:tcPr>
          <w:p w14:paraId="103D52FF" w14:textId="77777777" w:rsidR="005767BC" w:rsidRPr="00456361" w:rsidRDefault="005767BC" w:rsidP="00B539FA">
            <w:pPr>
              <w:pStyle w:val="Tabletext"/>
              <w:jc w:val="center"/>
              <w:rPr>
                <w:b/>
              </w:rPr>
            </w:pPr>
            <w:r w:rsidRPr="00456361">
              <w:rPr>
                <w:b/>
              </w:rPr>
              <w:t>+4</w:t>
            </w:r>
          </w:p>
        </w:tc>
        <w:tc>
          <w:tcPr>
            <w:tcW w:w="838" w:type="dxa"/>
            <w:shd w:val="clear" w:color="auto" w:fill="auto"/>
          </w:tcPr>
          <w:p w14:paraId="1BA5B95C" w14:textId="77777777" w:rsidR="005767BC" w:rsidRPr="00456361" w:rsidRDefault="005767BC" w:rsidP="00B539FA">
            <w:pPr>
              <w:pStyle w:val="Tabletext"/>
              <w:jc w:val="center"/>
              <w:rPr>
                <w:b/>
              </w:rPr>
            </w:pPr>
            <w:r w:rsidRPr="00456361">
              <w:rPr>
                <w:b/>
              </w:rPr>
              <w:t>0</w:t>
            </w:r>
          </w:p>
        </w:tc>
        <w:tc>
          <w:tcPr>
            <w:tcW w:w="838" w:type="dxa"/>
            <w:shd w:val="clear" w:color="auto" w:fill="auto"/>
          </w:tcPr>
          <w:p w14:paraId="3FC4C528" w14:textId="77777777" w:rsidR="005767BC" w:rsidRPr="00456361" w:rsidRDefault="005767BC" w:rsidP="00B539FA">
            <w:pPr>
              <w:pStyle w:val="Tabletext"/>
              <w:jc w:val="center"/>
              <w:rPr>
                <w:b/>
              </w:rPr>
            </w:pPr>
            <w:r w:rsidRPr="00456361">
              <w:rPr>
                <w:b/>
              </w:rPr>
              <w:t>0</w:t>
            </w:r>
          </w:p>
        </w:tc>
      </w:tr>
    </w:tbl>
    <w:p w14:paraId="0BE5565D" w14:textId="77777777" w:rsidR="005767BC" w:rsidRPr="00456361" w:rsidRDefault="005767BC" w:rsidP="005767BC">
      <w:pPr>
        <w:pStyle w:val="Notesheading"/>
      </w:pPr>
      <w:r w:rsidRPr="00456361">
        <w:t>Note</w:t>
      </w:r>
    </w:p>
    <w:p w14:paraId="782EE95A" w14:textId="77777777" w:rsidR="005767BC" w:rsidRPr="00456361" w:rsidRDefault="005767BC" w:rsidP="005767BC">
      <w:pPr>
        <w:ind w:left="426" w:hanging="426"/>
        <w:rPr>
          <w:sz w:val="20"/>
          <w:szCs w:val="20"/>
        </w:rPr>
      </w:pPr>
      <w:r w:rsidRPr="00456361">
        <w:t xml:space="preserve">1. </w:t>
      </w:r>
      <w:r w:rsidRPr="00456361">
        <w:tab/>
      </w:r>
      <w:r w:rsidRPr="00456361">
        <w:rPr>
          <w:sz w:val="20"/>
          <w:szCs w:val="20"/>
        </w:rPr>
        <w:t>Includes CEO CSV (not previously reported in 2014-15), one vacancy filled and two roles converted to EO during the year.</w:t>
      </w:r>
    </w:p>
    <w:p w14:paraId="3ABB0B0C" w14:textId="77777777" w:rsidR="005767BC" w:rsidRPr="00456361" w:rsidRDefault="005767BC" w:rsidP="005767BC">
      <w:pPr>
        <w:rPr>
          <w:b/>
          <w:szCs w:val="20"/>
        </w:rPr>
      </w:pPr>
    </w:p>
    <w:p w14:paraId="34A38DD2" w14:textId="1D5CE41D" w:rsidR="005767BC" w:rsidRPr="00456361" w:rsidRDefault="005767BC" w:rsidP="005767BC">
      <w:pPr>
        <w:pStyle w:val="Caption"/>
      </w:pPr>
      <w:r w:rsidRPr="00456361">
        <w:t xml:space="preserve">Table </w:t>
      </w:r>
      <w:r w:rsidR="009A41BE">
        <w:t>9</w:t>
      </w:r>
      <w:r w:rsidRPr="00456361">
        <w:t xml:space="preserve">: </w:t>
      </w:r>
      <w:r w:rsidRPr="00456361">
        <w:tab/>
        <w:t>Breakdown of executive officers into gender for ‘ongoing’ and ‘special projects’</w:t>
      </w:r>
    </w:p>
    <w:tbl>
      <w:tblPr>
        <w:tblW w:w="0" w:type="auto"/>
        <w:tblBorders>
          <w:top w:val="single" w:sz="4" w:space="0" w:color="auto"/>
          <w:bottom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1395"/>
        <w:gridCol w:w="580"/>
        <w:gridCol w:w="580"/>
        <w:gridCol w:w="580"/>
        <w:gridCol w:w="581"/>
        <w:gridCol w:w="1161"/>
        <w:gridCol w:w="637"/>
        <w:gridCol w:w="638"/>
        <w:gridCol w:w="638"/>
        <w:gridCol w:w="638"/>
        <w:gridCol w:w="1276"/>
      </w:tblGrid>
      <w:tr w:rsidR="005767BC" w:rsidRPr="00456361" w14:paraId="653F42AC" w14:textId="77777777" w:rsidTr="00B539FA">
        <w:tc>
          <w:tcPr>
            <w:tcW w:w="1395" w:type="dxa"/>
            <w:shd w:val="clear" w:color="auto" w:fill="auto"/>
          </w:tcPr>
          <w:p w14:paraId="01848F8E" w14:textId="77777777" w:rsidR="005767BC" w:rsidRPr="00456361" w:rsidRDefault="005767BC" w:rsidP="00B539FA">
            <w:pPr>
              <w:pStyle w:val="Tabletext"/>
              <w:jc w:val="center"/>
            </w:pPr>
          </w:p>
        </w:tc>
        <w:tc>
          <w:tcPr>
            <w:tcW w:w="3482" w:type="dxa"/>
            <w:gridSpan w:val="5"/>
            <w:shd w:val="clear" w:color="auto" w:fill="auto"/>
          </w:tcPr>
          <w:p w14:paraId="5583DB07" w14:textId="77777777" w:rsidR="005767BC" w:rsidRPr="00456361" w:rsidRDefault="005767BC" w:rsidP="00B539FA">
            <w:pPr>
              <w:pStyle w:val="Tabletext"/>
              <w:jc w:val="center"/>
            </w:pPr>
            <w:r w:rsidRPr="00456361">
              <w:rPr>
                <w:rFonts w:cs="Arial"/>
              </w:rPr>
              <w:t>Ongoing</w:t>
            </w:r>
          </w:p>
        </w:tc>
        <w:tc>
          <w:tcPr>
            <w:tcW w:w="3827" w:type="dxa"/>
            <w:gridSpan w:val="5"/>
            <w:shd w:val="clear" w:color="auto" w:fill="auto"/>
          </w:tcPr>
          <w:p w14:paraId="3E768E56" w14:textId="77777777" w:rsidR="005767BC" w:rsidRPr="00456361" w:rsidRDefault="005767BC" w:rsidP="00B539FA">
            <w:pPr>
              <w:pStyle w:val="Tabletext"/>
              <w:jc w:val="center"/>
            </w:pPr>
            <w:r w:rsidRPr="00456361">
              <w:rPr>
                <w:rFonts w:cs="Arial"/>
              </w:rPr>
              <w:t>Special projects</w:t>
            </w:r>
          </w:p>
        </w:tc>
      </w:tr>
      <w:tr w:rsidR="005767BC" w:rsidRPr="00456361" w14:paraId="0D1570AC" w14:textId="77777777" w:rsidTr="00B539FA">
        <w:tc>
          <w:tcPr>
            <w:tcW w:w="1395" w:type="dxa"/>
            <w:shd w:val="clear" w:color="auto" w:fill="auto"/>
          </w:tcPr>
          <w:p w14:paraId="46ED9A9F" w14:textId="77777777" w:rsidR="005767BC" w:rsidRPr="00456361" w:rsidRDefault="005767BC" w:rsidP="00B539FA">
            <w:pPr>
              <w:pStyle w:val="Tabletext"/>
            </w:pPr>
          </w:p>
        </w:tc>
        <w:tc>
          <w:tcPr>
            <w:tcW w:w="1160" w:type="dxa"/>
            <w:gridSpan w:val="2"/>
            <w:shd w:val="clear" w:color="auto" w:fill="auto"/>
          </w:tcPr>
          <w:p w14:paraId="2451B34F" w14:textId="77777777" w:rsidR="005767BC" w:rsidRPr="00456361" w:rsidRDefault="005767BC" w:rsidP="00B539FA">
            <w:pPr>
              <w:pStyle w:val="Tabletext"/>
              <w:jc w:val="center"/>
            </w:pPr>
            <w:r w:rsidRPr="00456361">
              <w:t>Male</w:t>
            </w:r>
          </w:p>
        </w:tc>
        <w:tc>
          <w:tcPr>
            <w:tcW w:w="1161" w:type="dxa"/>
            <w:gridSpan w:val="2"/>
            <w:shd w:val="clear" w:color="auto" w:fill="auto"/>
          </w:tcPr>
          <w:p w14:paraId="6D58A69A" w14:textId="77777777" w:rsidR="005767BC" w:rsidRPr="00456361" w:rsidRDefault="005767BC" w:rsidP="00B539FA">
            <w:pPr>
              <w:pStyle w:val="Tabletext"/>
              <w:jc w:val="center"/>
            </w:pPr>
            <w:r w:rsidRPr="00456361">
              <w:t>Female</w:t>
            </w:r>
          </w:p>
        </w:tc>
        <w:tc>
          <w:tcPr>
            <w:tcW w:w="1161" w:type="dxa"/>
            <w:shd w:val="clear" w:color="auto" w:fill="auto"/>
          </w:tcPr>
          <w:p w14:paraId="7CFC5807" w14:textId="77777777" w:rsidR="005767BC" w:rsidRPr="00456361" w:rsidRDefault="005767BC" w:rsidP="00B539FA">
            <w:pPr>
              <w:pStyle w:val="Tabletext"/>
              <w:jc w:val="center"/>
            </w:pPr>
            <w:r w:rsidRPr="00456361">
              <w:t>Vacancies</w:t>
            </w:r>
          </w:p>
        </w:tc>
        <w:tc>
          <w:tcPr>
            <w:tcW w:w="1275" w:type="dxa"/>
            <w:gridSpan w:val="2"/>
            <w:shd w:val="clear" w:color="auto" w:fill="auto"/>
          </w:tcPr>
          <w:p w14:paraId="77CA0EEF" w14:textId="77777777" w:rsidR="005767BC" w:rsidRPr="00456361" w:rsidRDefault="005767BC" w:rsidP="00B539FA">
            <w:pPr>
              <w:pStyle w:val="Tabletext"/>
              <w:jc w:val="center"/>
            </w:pPr>
            <w:r w:rsidRPr="00456361">
              <w:t>Male</w:t>
            </w:r>
          </w:p>
        </w:tc>
        <w:tc>
          <w:tcPr>
            <w:tcW w:w="1276" w:type="dxa"/>
            <w:gridSpan w:val="2"/>
            <w:shd w:val="clear" w:color="auto" w:fill="auto"/>
          </w:tcPr>
          <w:p w14:paraId="1DABD38C" w14:textId="77777777" w:rsidR="005767BC" w:rsidRPr="00456361" w:rsidRDefault="005767BC" w:rsidP="00B539FA">
            <w:pPr>
              <w:pStyle w:val="Tabletext"/>
              <w:jc w:val="center"/>
            </w:pPr>
            <w:r w:rsidRPr="00456361">
              <w:t>Female</w:t>
            </w:r>
          </w:p>
        </w:tc>
        <w:tc>
          <w:tcPr>
            <w:tcW w:w="1276" w:type="dxa"/>
            <w:shd w:val="clear" w:color="auto" w:fill="auto"/>
          </w:tcPr>
          <w:p w14:paraId="63DF6AEA" w14:textId="77777777" w:rsidR="005767BC" w:rsidRPr="00456361" w:rsidRDefault="005767BC" w:rsidP="00B539FA">
            <w:pPr>
              <w:pStyle w:val="Tabletext"/>
              <w:jc w:val="center"/>
            </w:pPr>
            <w:r w:rsidRPr="00456361">
              <w:t>Vacancies</w:t>
            </w:r>
          </w:p>
        </w:tc>
      </w:tr>
      <w:tr w:rsidR="005767BC" w:rsidRPr="00456361" w14:paraId="565B8827" w14:textId="77777777" w:rsidTr="00B539FA">
        <w:tc>
          <w:tcPr>
            <w:tcW w:w="1395" w:type="dxa"/>
            <w:shd w:val="clear" w:color="auto" w:fill="auto"/>
          </w:tcPr>
          <w:p w14:paraId="0A902BE9" w14:textId="77777777" w:rsidR="005767BC" w:rsidRPr="00456361" w:rsidRDefault="005767BC" w:rsidP="00B539FA">
            <w:pPr>
              <w:pStyle w:val="Tabletext"/>
              <w:rPr>
                <w:rFonts w:cs="Arial"/>
              </w:rPr>
            </w:pPr>
            <w:r w:rsidRPr="00456361">
              <w:rPr>
                <w:rFonts w:cs="Arial"/>
              </w:rPr>
              <w:t>Class</w:t>
            </w:r>
          </w:p>
        </w:tc>
        <w:tc>
          <w:tcPr>
            <w:tcW w:w="580" w:type="dxa"/>
            <w:shd w:val="clear" w:color="auto" w:fill="auto"/>
          </w:tcPr>
          <w:p w14:paraId="57F150AD" w14:textId="77777777" w:rsidR="005767BC" w:rsidRPr="00456361" w:rsidRDefault="005767BC" w:rsidP="00B539FA">
            <w:pPr>
              <w:pStyle w:val="Tabletext"/>
              <w:jc w:val="center"/>
            </w:pPr>
            <w:r w:rsidRPr="00456361">
              <w:t>No.</w:t>
            </w:r>
          </w:p>
        </w:tc>
        <w:tc>
          <w:tcPr>
            <w:tcW w:w="580" w:type="dxa"/>
            <w:shd w:val="clear" w:color="auto" w:fill="auto"/>
          </w:tcPr>
          <w:p w14:paraId="5FB0DE2E" w14:textId="77777777" w:rsidR="005767BC" w:rsidRPr="00456361" w:rsidRDefault="005767BC" w:rsidP="00B539FA">
            <w:pPr>
              <w:pStyle w:val="Tabletext"/>
              <w:jc w:val="center"/>
            </w:pPr>
            <w:r w:rsidRPr="00456361">
              <w:t>Var.</w:t>
            </w:r>
          </w:p>
        </w:tc>
        <w:tc>
          <w:tcPr>
            <w:tcW w:w="580" w:type="dxa"/>
            <w:shd w:val="clear" w:color="auto" w:fill="auto"/>
          </w:tcPr>
          <w:p w14:paraId="1F4862AE" w14:textId="77777777" w:rsidR="005767BC" w:rsidRPr="00456361" w:rsidRDefault="005767BC" w:rsidP="00B539FA">
            <w:pPr>
              <w:pStyle w:val="Tabletext"/>
              <w:jc w:val="center"/>
            </w:pPr>
            <w:r w:rsidRPr="00456361">
              <w:t>No.</w:t>
            </w:r>
          </w:p>
        </w:tc>
        <w:tc>
          <w:tcPr>
            <w:tcW w:w="581" w:type="dxa"/>
            <w:shd w:val="clear" w:color="auto" w:fill="auto"/>
          </w:tcPr>
          <w:p w14:paraId="36FE6A21" w14:textId="77777777" w:rsidR="005767BC" w:rsidRPr="00456361" w:rsidRDefault="005767BC" w:rsidP="00B539FA">
            <w:pPr>
              <w:pStyle w:val="Tabletext"/>
              <w:jc w:val="center"/>
            </w:pPr>
            <w:r w:rsidRPr="00456361">
              <w:t>Var.</w:t>
            </w:r>
          </w:p>
        </w:tc>
        <w:tc>
          <w:tcPr>
            <w:tcW w:w="1161" w:type="dxa"/>
            <w:shd w:val="clear" w:color="auto" w:fill="auto"/>
          </w:tcPr>
          <w:p w14:paraId="593A4150" w14:textId="77777777" w:rsidR="005767BC" w:rsidRPr="00456361" w:rsidRDefault="005767BC" w:rsidP="00B539FA">
            <w:pPr>
              <w:pStyle w:val="Tabletext"/>
              <w:jc w:val="center"/>
            </w:pPr>
            <w:r w:rsidRPr="00456361">
              <w:t>No.</w:t>
            </w:r>
          </w:p>
        </w:tc>
        <w:tc>
          <w:tcPr>
            <w:tcW w:w="637" w:type="dxa"/>
            <w:shd w:val="clear" w:color="auto" w:fill="auto"/>
          </w:tcPr>
          <w:p w14:paraId="2AE88549" w14:textId="77777777" w:rsidR="005767BC" w:rsidRPr="00456361" w:rsidRDefault="005767BC" w:rsidP="00B539FA">
            <w:pPr>
              <w:pStyle w:val="Tabletext"/>
              <w:jc w:val="center"/>
            </w:pPr>
            <w:r w:rsidRPr="00456361">
              <w:t>No.</w:t>
            </w:r>
          </w:p>
        </w:tc>
        <w:tc>
          <w:tcPr>
            <w:tcW w:w="638" w:type="dxa"/>
            <w:shd w:val="clear" w:color="auto" w:fill="auto"/>
          </w:tcPr>
          <w:p w14:paraId="354E1896" w14:textId="77777777" w:rsidR="005767BC" w:rsidRPr="00456361" w:rsidRDefault="005767BC" w:rsidP="00B539FA">
            <w:pPr>
              <w:pStyle w:val="Tabletext"/>
              <w:jc w:val="center"/>
            </w:pPr>
            <w:r w:rsidRPr="00456361">
              <w:t>Var.</w:t>
            </w:r>
          </w:p>
        </w:tc>
        <w:tc>
          <w:tcPr>
            <w:tcW w:w="638" w:type="dxa"/>
            <w:shd w:val="clear" w:color="auto" w:fill="auto"/>
          </w:tcPr>
          <w:p w14:paraId="10120EE2" w14:textId="77777777" w:rsidR="005767BC" w:rsidRPr="00456361" w:rsidRDefault="005767BC" w:rsidP="00B539FA">
            <w:pPr>
              <w:pStyle w:val="Tabletext"/>
              <w:jc w:val="center"/>
            </w:pPr>
            <w:r w:rsidRPr="00456361">
              <w:t>No.</w:t>
            </w:r>
          </w:p>
        </w:tc>
        <w:tc>
          <w:tcPr>
            <w:tcW w:w="638" w:type="dxa"/>
            <w:shd w:val="clear" w:color="auto" w:fill="auto"/>
          </w:tcPr>
          <w:p w14:paraId="1FD1A628" w14:textId="77777777" w:rsidR="005767BC" w:rsidRPr="00456361" w:rsidRDefault="005767BC" w:rsidP="00B539FA">
            <w:pPr>
              <w:pStyle w:val="Tabletext"/>
              <w:jc w:val="center"/>
            </w:pPr>
            <w:r w:rsidRPr="00456361">
              <w:t>Var.</w:t>
            </w:r>
          </w:p>
        </w:tc>
        <w:tc>
          <w:tcPr>
            <w:tcW w:w="1276" w:type="dxa"/>
            <w:shd w:val="clear" w:color="auto" w:fill="auto"/>
          </w:tcPr>
          <w:p w14:paraId="48E00CE5" w14:textId="77777777" w:rsidR="005767BC" w:rsidRPr="00456361" w:rsidRDefault="005767BC" w:rsidP="00B539FA">
            <w:pPr>
              <w:pStyle w:val="Tabletext"/>
              <w:jc w:val="center"/>
            </w:pPr>
            <w:r w:rsidRPr="00456361">
              <w:t>No.</w:t>
            </w:r>
          </w:p>
        </w:tc>
      </w:tr>
      <w:tr w:rsidR="005767BC" w:rsidRPr="00456361" w14:paraId="52F714EB" w14:textId="77777777" w:rsidTr="00B539FA">
        <w:tc>
          <w:tcPr>
            <w:tcW w:w="1395" w:type="dxa"/>
            <w:shd w:val="clear" w:color="auto" w:fill="auto"/>
          </w:tcPr>
          <w:p w14:paraId="10832DA4" w14:textId="77777777" w:rsidR="005767BC" w:rsidRPr="00456361" w:rsidRDefault="005767BC" w:rsidP="00B539FA">
            <w:pPr>
              <w:pStyle w:val="Tabletext"/>
            </w:pPr>
            <w:r w:rsidRPr="00456361">
              <w:rPr>
                <w:rFonts w:cs="Arial"/>
              </w:rPr>
              <w:t>EO-1</w:t>
            </w:r>
          </w:p>
        </w:tc>
        <w:tc>
          <w:tcPr>
            <w:tcW w:w="580" w:type="dxa"/>
            <w:shd w:val="clear" w:color="auto" w:fill="auto"/>
          </w:tcPr>
          <w:p w14:paraId="137AAE85" w14:textId="77777777" w:rsidR="005767BC" w:rsidRPr="00456361" w:rsidRDefault="005767BC" w:rsidP="00B539FA">
            <w:pPr>
              <w:pStyle w:val="Tabletext"/>
              <w:jc w:val="center"/>
            </w:pPr>
            <w:r w:rsidRPr="00456361">
              <w:t>1</w:t>
            </w:r>
          </w:p>
        </w:tc>
        <w:tc>
          <w:tcPr>
            <w:tcW w:w="580" w:type="dxa"/>
            <w:shd w:val="clear" w:color="auto" w:fill="auto"/>
          </w:tcPr>
          <w:p w14:paraId="6485D1CC" w14:textId="77777777" w:rsidR="005767BC" w:rsidRPr="00456361" w:rsidRDefault="005767BC" w:rsidP="00B539FA">
            <w:pPr>
              <w:pStyle w:val="Tabletext"/>
              <w:jc w:val="center"/>
            </w:pPr>
            <w:r w:rsidRPr="00456361">
              <w:t>+1</w:t>
            </w:r>
          </w:p>
        </w:tc>
        <w:tc>
          <w:tcPr>
            <w:tcW w:w="580" w:type="dxa"/>
            <w:shd w:val="clear" w:color="auto" w:fill="auto"/>
          </w:tcPr>
          <w:p w14:paraId="7CCE62C3" w14:textId="77777777" w:rsidR="005767BC" w:rsidRPr="00456361" w:rsidRDefault="005767BC" w:rsidP="00B539FA">
            <w:pPr>
              <w:pStyle w:val="Tabletext"/>
              <w:jc w:val="center"/>
            </w:pPr>
            <w:r w:rsidRPr="00456361">
              <w:t>0</w:t>
            </w:r>
          </w:p>
        </w:tc>
        <w:tc>
          <w:tcPr>
            <w:tcW w:w="581" w:type="dxa"/>
            <w:shd w:val="clear" w:color="auto" w:fill="auto"/>
          </w:tcPr>
          <w:p w14:paraId="14AFC303" w14:textId="77777777" w:rsidR="005767BC" w:rsidRPr="00456361" w:rsidRDefault="005767BC" w:rsidP="00B539FA">
            <w:pPr>
              <w:pStyle w:val="Tabletext"/>
              <w:jc w:val="center"/>
            </w:pPr>
            <w:r w:rsidRPr="00456361">
              <w:t>0</w:t>
            </w:r>
          </w:p>
        </w:tc>
        <w:tc>
          <w:tcPr>
            <w:tcW w:w="1161" w:type="dxa"/>
            <w:shd w:val="clear" w:color="auto" w:fill="auto"/>
          </w:tcPr>
          <w:p w14:paraId="35D8FA6B" w14:textId="77777777" w:rsidR="005767BC" w:rsidRPr="00456361" w:rsidRDefault="005767BC" w:rsidP="00B539FA">
            <w:pPr>
              <w:pStyle w:val="Tabletext"/>
              <w:jc w:val="center"/>
            </w:pPr>
            <w:r w:rsidRPr="00456361">
              <w:t>0</w:t>
            </w:r>
          </w:p>
        </w:tc>
        <w:tc>
          <w:tcPr>
            <w:tcW w:w="637" w:type="dxa"/>
            <w:shd w:val="clear" w:color="auto" w:fill="auto"/>
          </w:tcPr>
          <w:p w14:paraId="600BBAC7" w14:textId="77777777" w:rsidR="005767BC" w:rsidRPr="00456361" w:rsidRDefault="005767BC" w:rsidP="00B539FA">
            <w:pPr>
              <w:pStyle w:val="Tabletext"/>
              <w:jc w:val="center"/>
            </w:pPr>
            <w:r w:rsidRPr="00456361">
              <w:t>0</w:t>
            </w:r>
          </w:p>
        </w:tc>
        <w:tc>
          <w:tcPr>
            <w:tcW w:w="638" w:type="dxa"/>
            <w:shd w:val="clear" w:color="auto" w:fill="auto"/>
          </w:tcPr>
          <w:p w14:paraId="3D095150" w14:textId="77777777" w:rsidR="005767BC" w:rsidRPr="00456361" w:rsidRDefault="005767BC" w:rsidP="00B539FA">
            <w:pPr>
              <w:pStyle w:val="Tabletext"/>
              <w:jc w:val="center"/>
            </w:pPr>
            <w:r w:rsidRPr="00456361">
              <w:t>0</w:t>
            </w:r>
          </w:p>
        </w:tc>
        <w:tc>
          <w:tcPr>
            <w:tcW w:w="638" w:type="dxa"/>
            <w:shd w:val="clear" w:color="auto" w:fill="auto"/>
          </w:tcPr>
          <w:p w14:paraId="29814EEB" w14:textId="77777777" w:rsidR="005767BC" w:rsidRPr="00456361" w:rsidRDefault="005767BC" w:rsidP="00B539FA">
            <w:pPr>
              <w:pStyle w:val="Tabletext"/>
              <w:jc w:val="center"/>
            </w:pPr>
            <w:r w:rsidRPr="00456361">
              <w:t>0</w:t>
            </w:r>
          </w:p>
        </w:tc>
        <w:tc>
          <w:tcPr>
            <w:tcW w:w="638" w:type="dxa"/>
            <w:shd w:val="clear" w:color="auto" w:fill="auto"/>
          </w:tcPr>
          <w:p w14:paraId="60BD5394" w14:textId="77777777" w:rsidR="005767BC" w:rsidRPr="00456361" w:rsidRDefault="005767BC" w:rsidP="00B539FA">
            <w:pPr>
              <w:pStyle w:val="Tabletext"/>
              <w:jc w:val="center"/>
            </w:pPr>
            <w:r w:rsidRPr="00456361">
              <w:t>0</w:t>
            </w:r>
          </w:p>
        </w:tc>
        <w:tc>
          <w:tcPr>
            <w:tcW w:w="1276" w:type="dxa"/>
            <w:shd w:val="clear" w:color="auto" w:fill="auto"/>
          </w:tcPr>
          <w:p w14:paraId="5A3C362C" w14:textId="77777777" w:rsidR="005767BC" w:rsidRPr="00456361" w:rsidRDefault="005767BC" w:rsidP="00B539FA">
            <w:pPr>
              <w:pStyle w:val="Tabletext"/>
              <w:jc w:val="center"/>
            </w:pPr>
            <w:r w:rsidRPr="00456361">
              <w:t>0</w:t>
            </w:r>
          </w:p>
        </w:tc>
      </w:tr>
      <w:tr w:rsidR="005767BC" w:rsidRPr="00456361" w14:paraId="00399FE7" w14:textId="77777777" w:rsidTr="00B539FA">
        <w:tc>
          <w:tcPr>
            <w:tcW w:w="1395" w:type="dxa"/>
            <w:shd w:val="clear" w:color="auto" w:fill="auto"/>
          </w:tcPr>
          <w:p w14:paraId="6BEA5A87" w14:textId="77777777" w:rsidR="005767BC" w:rsidRPr="00456361" w:rsidRDefault="005767BC" w:rsidP="00B539FA">
            <w:pPr>
              <w:pStyle w:val="Tabletext"/>
            </w:pPr>
            <w:r w:rsidRPr="00456361">
              <w:rPr>
                <w:rFonts w:cs="Arial"/>
              </w:rPr>
              <w:t>EO-2</w:t>
            </w:r>
          </w:p>
        </w:tc>
        <w:tc>
          <w:tcPr>
            <w:tcW w:w="580" w:type="dxa"/>
            <w:shd w:val="clear" w:color="auto" w:fill="auto"/>
          </w:tcPr>
          <w:p w14:paraId="189FE11C" w14:textId="77777777" w:rsidR="005767BC" w:rsidRPr="00456361" w:rsidRDefault="005767BC" w:rsidP="00B539FA">
            <w:pPr>
              <w:pStyle w:val="Tabletext"/>
              <w:jc w:val="center"/>
            </w:pPr>
            <w:r w:rsidRPr="00456361">
              <w:t>4</w:t>
            </w:r>
          </w:p>
        </w:tc>
        <w:tc>
          <w:tcPr>
            <w:tcW w:w="580" w:type="dxa"/>
            <w:shd w:val="clear" w:color="auto" w:fill="auto"/>
          </w:tcPr>
          <w:p w14:paraId="488BB096" w14:textId="77777777" w:rsidR="005767BC" w:rsidRPr="00456361" w:rsidRDefault="005767BC" w:rsidP="00B539FA">
            <w:pPr>
              <w:pStyle w:val="Tabletext"/>
              <w:jc w:val="center"/>
            </w:pPr>
            <w:r w:rsidRPr="00456361">
              <w:t>+1</w:t>
            </w:r>
          </w:p>
        </w:tc>
        <w:tc>
          <w:tcPr>
            <w:tcW w:w="580" w:type="dxa"/>
            <w:shd w:val="clear" w:color="auto" w:fill="auto"/>
          </w:tcPr>
          <w:p w14:paraId="320233EC" w14:textId="77777777" w:rsidR="005767BC" w:rsidRPr="00456361" w:rsidRDefault="005767BC" w:rsidP="00B539FA">
            <w:pPr>
              <w:pStyle w:val="Tabletext"/>
              <w:jc w:val="center"/>
            </w:pPr>
            <w:r w:rsidRPr="00456361">
              <w:t>2</w:t>
            </w:r>
          </w:p>
        </w:tc>
        <w:tc>
          <w:tcPr>
            <w:tcW w:w="581" w:type="dxa"/>
            <w:shd w:val="clear" w:color="auto" w:fill="auto"/>
          </w:tcPr>
          <w:p w14:paraId="198EBEE0" w14:textId="77777777" w:rsidR="005767BC" w:rsidRPr="00456361" w:rsidRDefault="005767BC" w:rsidP="00B539FA">
            <w:pPr>
              <w:pStyle w:val="Tabletext"/>
              <w:jc w:val="center"/>
            </w:pPr>
            <w:r w:rsidRPr="00456361">
              <w:t>+2</w:t>
            </w:r>
          </w:p>
        </w:tc>
        <w:tc>
          <w:tcPr>
            <w:tcW w:w="1161" w:type="dxa"/>
            <w:shd w:val="clear" w:color="auto" w:fill="auto"/>
          </w:tcPr>
          <w:p w14:paraId="143D5E8F" w14:textId="77777777" w:rsidR="005767BC" w:rsidRPr="00456361" w:rsidRDefault="005767BC" w:rsidP="00B539FA">
            <w:pPr>
              <w:pStyle w:val="Tabletext"/>
              <w:jc w:val="center"/>
            </w:pPr>
            <w:r w:rsidRPr="00456361">
              <w:t>0</w:t>
            </w:r>
          </w:p>
        </w:tc>
        <w:tc>
          <w:tcPr>
            <w:tcW w:w="637" w:type="dxa"/>
            <w:shd w:val="clear" w:color="auto" w:fill="auto"/>
          </w:tcPr>
          <w:p w14:paraId="11615CDC" w14:textId="77777777" w:rsidR="005767BC" w:rsidRPr="00456361" w:rsidRDefault="005767BC" w:rsidP="00B539FA">
            <w:pPr>
              <w:pStyle w:val="Tabletext"/>
              <w:jc w:val="center"/>
            </w:pPr>
            <w:r w:rsidRPr="00456361">
              <w:t>0</w:t>
            </w:r>
          </w:p>
        </w:tc>
        <w:tc>
          <w:tcPr>
            <w:tcW w:w="638" w:type="dxa"/>
            <w:shd w:val="clear" w:color="auto" w:fill="auto"/>
          </w:tcPr>
          <w:p w14:paraId="5F340D48" w14:textId="77777777" w:rsidR="005767BC" w:rsidRPr="00456361" w:rsidRDefault="005767BC" w:rsidP="00B539FA">
            <w:pPr>
              <w:pStyle w:val="Tabletext"/>
              <w:jc w:val="center"/>
            </w:pPr>
            <w:r w:rsidRPr="00456361">
              <w:t>0</w:t>
            </w:r>
          </w:p>
        </w:tc>
        <w:tc>
          <w:tcPr>
            <w:tcW w:w="638" w:type="dxa"/>
            <w:shd w:val="clear" w:color="auto" w:fill="auto"/>
          </w:tcPr>
          <w:p w14:paraId="6AEE672F" w14:textId="77777777" w:rsidR="005767BC" w:rsidRPr="00456361" w:rsidRDefault="005767BC" w:rsidP="00B539FA">
            <w:pPr>
              <w:pStyle w:val="Tabletext"/>
              <w:jc w:val="center"/>
            </w:pPr>
            <w:r w:rsidRPr="00456361">
              <w:t>0</w:t>
            </w:r>
          </w:p>
        </w:tc>
        <w:tc>
          <w:tcPr>
            <w:tcW w:w="638" w:type="dxa"/>
            <w:shd w:val="clear" w:color="auto" w:fill="auto"/>
          </w:tcPr>
          <w:p w14:paraId="56F962B8" w14:textId="77777777" w:rsidR="005767BC" w:rsidRPr="00456361" w:rsidRDefault="005767BC" w:rsidP="00B539FA">
            <w:pPr>
              <w:pStyle w:val="Tabletext"/>
              <w:jc w:val="center"/>
            </w:pPr>
            <w:r w:rsidRPr="00456361">
              <w:t>0</w:t>
            </w:r>
          </w:p>
        </w:tc>
        <w:tc>
          <w:tcPr>
            <w:tcW w:w="1276" w:type="dxa"/>
            <w:shd w:val="clear" w:color="auto" w:fill="auto"/>
          </w:tcPr>
          <w:p w14:paraId="384D155F" w14:textId="77777777" w:rsidR="005767BC" w:rsidRPr="00456361" w:rsidRDefault="005767BC" w:rsidP="00B539FA">
            <w:pPr>
              <w:pStyle w:val="Tabletext"/>
              <w:jc w:val="center"/>
            </w:pPr>
            <w:r w:rsidRPr="00456361">
              <w:t>0</w:t>
            </w:r>
          </w:p>
        </w:tc>
      </w:tr>
      <w:tr w:rsidR="005767BC" w:rsidRPr="00456361" w14:paraId="0D5FD38B" w14:textId="77777777" w:rsidTr="00B539FA">
        <w:tc>
          <w:tcPr>
            <w:tcW w:w="1395" w:type="dxa"/>
            <w:shd w:val="clear" w:color="auto" w:fill="auto"/>
          </w:tcPr>
          <w:p w14:paraId="3DB811D9" w14:textId="77777777" w:rsidR="005767BC" w:rsidRPr="00456361" w:rsidRDefault="005767BC" w:rsidP="00B539FA">
            <w:pPr>
              <w:pStyle w:val="Tabletext"/>
            </w:pPr>
            <w:r w:rsidRPr="00456361">
              <w:rPr>
                <w:rFonts w:cs="Arial"/>
              </w:rPr>
              <w:t>EO-3</w:t>
            </w:r>
          </w:p>
        </w:tc>
        <w:tc>
          <w:tcPr>
            <w:tcW w:w="580" w:type="dxa"/>
            <w:shd w:val="clear" w:color="auto" w:fill="auto"/>
          </w:tcPr>
          <w:p w14:paraId="59917CC3" w14:textId="77777777" w:rsidR="005767BC" w:rsidRPr="00456361" w:rsidRDefault="005767BC" w:rsidP="00B539FA">
            <w:pPr>
              <w:pStyle w:val="Tabletext"/>
              <w:jc w:val="center"/>
            </w:pPr>
            <w:r w:rsidRPr="00456361">
              <w:t>1</w:t>
            </w:r>
          </w:p>
        </w:tc>
        <w:tc>
          <w:tcPr>
            <w:tcW w:w="580" w:type="dxa"/>
            <w:shd w:val="clear" w:color="auto" w:fill="auto"/>
          </w:tcPr>
          <w:p w14:paraId="3D6C1F47" w14:textId="77777777" w:rsidR="005767BC" w:rsidRPr="00456361" w:rsidRDefault="005767BC" w:rsidP="00B539FA">
            <w:pPr>
              <w:pStyle w:val="Tabletext"/>
              <w:jc w:val="center"/>
            </w:pPr>
            <w:r w:rsidRPr="00456361">
              <w:t>0</w:t>
            </w:r>
          </w:p>
        </w:tc>
        <w:tc>
          <w:tcPr>
            <w:tcW w:w="580" w:type="dxa"/>
            <w:shd w:val="clear" w:color="auto" w:fill="auto"/>
          </w:tcPr>
          <w:p w14:paraId="77F8C9D8" w14:textId="77777777" w:rsidR="005767BC" w:rsidRPr="00456361" w:rsidRDefault="005767BC" w:rsidP="00B539FA">
            <w:pPr>
              <w:pStyle w:val="Tabletext"/>
              <w:jc w:val="center"/>
            </w:pPr>
            <w:r w:rsidRPr="00456361">
              <w:t>4</w:t>
            </w:r>
          </w:p>
        </w:tc>
        <w:tc>
          <w:tcPr>
            <w:tcW w:w="581" w:type="dxa"/>
            <w:shd w:val="clear" w:color="auto" w:fill="auto"/>
          </w:tcPr>
          <w:p w14:paraId="1E64689E" w14:textId="77777777" w:rsidR="005767BC" w:rsidRPr="00456361" w:rsidRDefault="005767BC" w:rsidP="00B539FA">
            <w:pPr>
              <w:pStyle w:val="Tabletext"/>
              <w:jc w:val="center"/>
            </w:pPr>
            <w:r w:rsidRPr="00456361">
              <w:t>0</w:t>
            </w:r>
          </w:p>
        </w:tc>
        <w:tc>
          <w:tcPr>
            <w:tcW w:w="1161" w:type="dxa"/>
            <w:shd w:val="clear" w:color="auto" w:fill="auto"/>
          </w:tcPr>
          <w:p w14:paraId="0D0E46B3" w14:textId="77777777" w:rsidR="005767BC" w:rsidRPr="00456361" w:rsidRDefault="005767BC" w:rsidP="00B539FA">
            <w:pPr>
              <w:pStyle w:val="Tabletext"/>
              <w:jc w:val="center"/>
            </w:pPr>
            <w:r w:rsidRPr="00456361">
              <w:t>0</w:t>
            </w:r>
          </w:p>
        </w:tc>
        <w:tc>
          <w:tcPr>
            <w:tcW w:w="637" w:type="dxa"/>
            <w:shd w:val="clear" w:color="auto" w:fill="auto"/>
          </w:tcPr>
          <w:p w14:paraId="77BAF792" w14:textId="77777777" w:rsidR="005767BC" w:rsidRPr="00456361" w:rsidRDefault="005767BC" w:rsidP="00B539FA">
            <w:pPr>
              <w:pStyle w:val="Tabletext"/>
              <w:jc w:val="center"/>
            </w:pPr>
            <w:r w:rsidRPr="00456361">
              <w:t>0</w:t>
            </w:r>
          </w:p>
        </w:tc>
        <w:tc>
          <w:tcPr>
            <w:tcW w:w="638" w:type="dxa"/>
            <w:shd w:val="clear" w:color="auto" w:fill="auto"/>
          </w:tcPr>
          <w:p w14:paraId="5AB8A53B" w14:textId="77777777" w:rsidR="005767BC" w:rsidRPr="00456361" w:rsidRDefault="005767BC" w:rsidP="00B539FA">
            <w:pPr>
              <w:pStyle w:val="Tabletext"/>
              <w:jc w:val="center"/>
            </w:pPr>
            <w:r w:rsidRPr="00456361">
              <w:t>0</w:t>
            </w:r>
          </w:p>
        </w:tc>
        <w:tc>
          <w:tcPr>
            <w:tcW w:w="638" w:type="dxa"/>
            <w:shd w:val="clear" w:color="auto" w:fill="auto"/>
          </w:tcPr>
          <w:p w14:paraId="78A7B8BF" w14:textId="77777777" w:rsidR="005767BC" w:rsidRPr="00456361" w:rsidRDefault="005767BC" w:rsidP="00B539FA">
            <w:pPr>
              <w:pStyle w:val="Tabletext"/>
              <w:jc w:val="center"/>
            </w:pPr>
            <w:r w:rsidRPr="00456361">
              <w:t>0</w:t>
            </w:r>
          </w:p>
        </w:tc>
        <w:tc>
          <w:tcPr>
            <w:tcW w:w="638" w:type="dxa"/>
            <w:shd w:val="clear" w:color="auto" w:fill="auto"/>
          </w:tcPr>
          <w:p w14:paraId="5567824E" w14:textId="77777777" w:rsidR="005767BC" w:rsidRPr="00456361" w:rsidRDefault="005767BC" w:rsidP="00B539FA">
            <w:pPr>
              <w:pStyle w:val="Tabletext"/>
              <w:jc w:val="center"/>
            </w:pPr>
            <w:r w:rsidRPr="00456361">
              <w:t>0</w:t>
            </w:r>
          </w:p>
        </w:tc>
        <w:tc>
          <w:tcPr>
            <w:tcW w:w="1276" w:type="dxa"/>
            <w:shd w:val="clear" w:color="auto" w:fill="auto"/>
          </w:tcPr>
          <w:p w14:paraId="7EFEBB2E" w14:textId="77777777" w:rsidR="005767BC" w:rsidRPr="00456361" w:rsidRDefault="005767BC" w:rsidP="00B539FA">
            <w:pPr>
              <w:pStyle w:val="Tabletext"/>
              <w:jc w:val="center"/>
            </w:pPr>
            <w:r w:rsidRPr="00456361">
              <w:t>0</w:t>
            </w:r>
          </w:p>
        </w:tc>
      </w:tr>
      <w:tr w:rsidR="005767BC" w:rsidRPr="00456361" w14:paraId="5DF17960" w14:textId="77777777" w:rsidTr="00B539FA">
        <w:tc>
          <w:tcPr>
            <w:tcW w:w="1395" w:type="dxa"/>
            <w:shd w:val="clear" w:color="auto" w:fill="auto"/>
          </w:tcPr>
          <w:p w14:paraId="30432A7A" w14:textId="77777777" w:rsidR="005767BC" w:rsidRPr="00456361" w:rsidRDefault="005767BC" w:rsidP="00B539FA">
            <w:pPr>
              <w:pStyle w:val="Tabletext"/>
              <w:rPr>
                <w:b/>
              </w:rPr>
            </w:pPr>
            <w:r w:rsidRPr="00456361">
              <w:rPr>
                <w:rFonts w:cs="Arial"/>
                <w:b/>
              </w:rPr>
              <w:t>Total</w:t>
            </w:r>
          </w:p>
        </w:tc>
        <w:tc>
          <w:tcPr>
            <w:tcW w:w="580" w:type="dxa"/>
            <w:shd w:val="clear" w:color="auto" w:fill="auto"/>
          </w:tcPr>
          <w:p w14:paraId="1BC15FE4" w14:textId="77777777" w:rsidR="005767BC" w:rsidRPr="00456361" w:rsidRDefault="005767BC" w:rsidP="00B539FA">
            <w:pPr>
              <w:pStyle w:val="Tabletext"/>
              <w:jc w:val="center"/>
              <w:rPr>
                <w:b/>
              </w:rPr>
            </w:pPr>
            <w:r w:rsidRPr="00456361">
              <w:rPr>
                <w:b/>
              </w:rPr>
              <w:t>6</w:t>
            </w:r>
          </w:p>
        </w:tc>
        <w:tc>
          <w:tcPr>
            <w:tcW w:w="580" w:type="dxa"/>
            <w:shd w:val="clear" w:color="auto" w:fill="auto"/>
          </w:tcPr>
          <w:p w14:paraId="648871F0" w14:textId="77777777" w:rsidR="005767BC" w:rsidRPr="00456361" w:rsidRDefault="005767BC" w:rsidP="00B539FA">
            <w:pPr>
              <w:pStyle w:val="Tabletext"/>
              <w:jc w:val="center"/>
              <w:rPr>
                <w:b/>
              </w:rPr>
            </w:pPr>
            <w:r w:rsidRPr="00456361">
              <w:rPr>
                <w:b/>
              </w:rPr>
              <w:t>+2</w:t>
            </w:r>
          </w:p>
        </w:tc>
        <w:tc>
          <w:tcPr>
            <w:tcW w:w="580" w:type="dxa"/>
            <w:shd w:val="clear" w:color="auto" w:fill="auto"/>
          </w:tcPr>
          <w:p w14:paraId="6187E24C" w14:textId="77777777" w:rsidR="005767BC" w:rsidRPr="00456361" w:rsidRDefault="005767BC" w:rsidP="00B539FA">
            <w:pPr>
              <w:pStyle w:val="Tabletext"/>
              <w:jc w:val="center"/>
              <w:rPr>
                <w:b/>
              </w:rPr>
            </w:pPr>
            <w:r w:rsidRPr="00456361">
              <w:rPr>
                <w:b/>
              </w:rPr>
              <w:t>6</w:t>
            </w:r>
          </w:p>
        </w:tc>
        <w:tc>
          <w:tcPr>
            <w:tcW w:w="581" w:type="dxa"/>
            <w:shd w:val="clear" w:color="auto" w:fill="auto"/>
          </w:tcPr>
          <w:p w14:paraId="35015CD8" w14:textId="77777777" w:rsidR="005767BC" w:rsidRPr="00456361" w:rsidRDefault="005767BC" w:rsidP="00B539FA">
            <w:pPr>
              <w:pStyle w:val="Tabletext"/>
              <w:jc w:val="center"/>
              <w:rPr>
                <w:b/>
              </w:rPr>
            </w:pPr>
            <w:r w:rsidRPr="00456361">
              <w:rPr>
                <w:b/>
              </w:rPr>
              <w:t>+2</w:t>
            </w:r>
          </w:p>
        </w:tc>
        <w:tc>
          <w:tcPr>
            <w:tcW w:w="1161" w:type="dxa"/>
            <w:shd w:val="clear" w:color="auto" w:fill="auto"/>
          </w:tcPr>
          <w:p w14:paraId="10539F24" w14:textId="77777777" w:rsidR="005767BC" w:rsidRPr="00456361" w:rsidRDefault="005767BC" w:rsidP="00B539FA">
            <w:pPr>
              <w:pStyle w:val="Tabletext"/>
              <w:jc w:val="center"/>
              <w:rPr>
                <w:b/>
              </w:rPr>
            </w:pPr>
            <w:r w:rsidRPr="00456361">
              <w:rPr>
                <w:b/>
              </w:rPr>
              <w:t>0</w:t>
            </w:r>
          </w:p>
        </w:tc>
        <w:tc>
          <w:tcPr>
            <w:tcW w:w="637" w:type="dxa"/>
            <w:shd w:val="clear" w:color="auto" w:fill="auto"/>
          </w:tcPr>
          <w:p w14:paraId="730CE54B" w14:textId="77777777" w:rsidR="005767BC" w:rsidRPr="00456361" w:rsidRDefault="005767BC" w:rsidP="00B539FA">
            <w:pPr>
              <w:pStyle w:val="Tabletext"/>
              <w:jc w:val="center"/>
              <w:rPr>
                <w:b/>
              </w:rPr>
            </w:pPr>
            <w:r w:rsidRPr="00456361">
              <w:rPr>
                <w:b/>
              </w:rPr>
              <w:t>0</w:t>
            </w:r>
          </w:p>
        </w:tc>
        <w:tc>
          <w:tcPr>
            <w:tcW w:w="638" w:type="dxa"/>
            <w:shd w:val="clear" w:color="auto" w:fill="auto"/>
          </w:tcPr>
          <w:p w14:paraId="50C55772" w14:textId="77777777" w:rsidR="005767BC" w:rsidRPr="00456361" w:rsidRDefault="005767BC" w:rsidP="00B539FA">
            <w:pPr>
              <w:pStyle w:val="Tabletext"/>
              <w:jc w:val="center"/>
              <w:rPr>
                <w:b/>
              </w:rPr>
            </w:pPr>
            <w:r w:rsidRPr="00456361">
              <w:rPr>
                <w:b/>
              </w:rPr>
              <w:t>0</w:t>
            </w:r>
          </w:p>
        </w:tc>
        <w:tc>
          <w:tcPr>
            <w:tcW w:w="638" w:type="dxa"/>
            <w:shd w:val="clear" w:color="auto" w:fill="auto"/>
          </w:tcPr>
          <w:p w14:paraId="3DB88B27" w14:textId="77777777" w:rsidR="005767BC" w:rsidRPr="00456361" w:rsidRDefault="005767BC" w:rsidP="00B539FA">
            <w:pPr>
              <w:pStyle w:val="Tabletext"/>
              <w:jc w:val="center"/>
              <w:rPr>
                <w:b/>
              </w:rPr>
            </w:pPr>
            <w:r w:rsidRPr="00456361">
              <w:rPr>
                <w:b/>
              </w:rPr>
              <w:t>0</w:t>
            </w:r>
          </w:p>
        </w:tc>
        <w:tc>
          <w:tcPr>
            <w:tcW w:w="638" w:type="dxa"/>
            <w:shd w:val="clear" w:color="auto" w:fill="auto"/>
          </w:tcPr>
          <w:p w14:paraId="6BBF2FBB" w14:textId="77777777" w:rsidR="005767BC" w:rsidRPr="00456361" w:rsidRDefault="005767BC" w:rsidP="00B539FA">
            <w:pPr>
              <w:pStyle w:val="Tabletext"/>
              <w:jc w:val="center"/>
              <w:rPr>
                <w:b/>
              </w:rPr>
            </w:pPr>
            <w:r w:rsidRPr="00456361">
              <w:rPr>
                <w:b/>
              </w:rPr>
              <w:t>0</w:t>
            </w:r>
          </w:p>
        </w:tc>
        <w:tc>
          <w:tcPr>
            <w:tcW w:w="1276" w:type="dxa"/>
            <w:shd w:val="clear" w:color="auto" w:fill="auto"/>
          </w:tcPr>
          <w:p w14:paraId="20970D99" w14:textId="77777777" w:rsidR="005767BC" w:rsidRPr="00456361" w:rsidRDefault="005767BC" w:rsidP="00B539FA">
            <w:pPr>
              <w:pStyle w:val="Tabletext"/>
              <w:jc w:val="center"/>
              <w:rPr>
                <w:b/>
              </w:rPr>
            </w:pPr>
            <w:r w:rsidRPr="00456361">
              <w:rPr>
                <w:b/>
              </w:rPr>
              <w:t>0</w:t>
            </w:r>
          </w:p>
        </w:tc>
      </w:tr>
    </w:tbl>
    <w:p w14:paraId="13CA4D11" w14:textId="77777777" w:rsidR="005767BC" w:rsidRPr="00456361" w:rsidRDefault="005767BC" w:rsidP="005767BC">
      <w:pPr>
        <w:pStyle w:val="Notesheading"/>
      </w:pPr>
      <w:r w:rsidRPr="00456361">
        <w:t>Note</w:t>
      </w:r>
    </w:p>
    <w:p w14:paraId="52FB3BF3" w14:textId="77777777" w:rsidR="005767BC" w:rsidRPr="00456361" w:rsidRDefault="005767BC" w:rsidP="005767BC">
      <w:pPr>
        <w:ind w:left="426" w:hanging="426"/>
      </w:pPr>
      <w:r w:rsidRPr="00456361">
        <w:t xml:space="preserve">1. </w:t>
      </w:r>
      <w:r w:rsidRPr="00456361">
        <w:tab/>
      </w:r>
      <w:r w:rsidRPr="00456361">
        <w:rPr>
          <w:sz w:val="20"/>
          <w:szCs w:val="20"/>
        </w:rPr>
        <w:t>Includes CEO CSV (not previously reported in 2014-15), one vacancy filled and two roles converted to EO during the year.  The above table also reflects two executive roles reclassified from EO-3 to EO-2 during the year.</w:t>
      </w:r>
    </w:p>
    <w:p w14:paraId="0B37AAA7" w14:textId="77777777" w:rsidR="005767BC" w:rsidRPr="00456361" w:rsidRDefault="005767BC" w:rsidP="005767BC">
      <w:pPr>
        <w:spacing w:before="120"/>
      </w:pPr>
    </w:p>
    <w:p w14:paraId="501A97C8" w14:textId="77777777" w:rsidR="005767BC" w:rsidRDefault="005767BC" w:rsidP="00643BCF">
      <w:r w:rsidRPr="00456361">
        <w:t>The ‘Reconciliation of executive numbers’ table below has been altered from the previous year to provide easier reconciliation of number of executives. This table now includes the number of executives excluded from Note 25 of the Financial Statement (‘Remuneration of Executives and Payments to Other Personnel’) and vacancies at June. The numbers shown for 2014-15 were as reported and did not include a vacancy as at June 2015.</w:t>
      </w:r>
    </w:p>
    <w:p w14:paraId="742B6500" w14:textId="77777777" w:rsidR="00831F3E" w:rsidRDefault="00831F3E" w:rsidP="005767BC">
      <w:pPr>
        <w:rPr>
          <w:sz w:val="20"/>
          <w:szCs w:val="20"/>
        </w:rPr>
      </w:pPr>
    </w:p>
    <w:p w14:paraId="273DC446" w14:textId="768120E0" w:rsidR="005767BC" w:rsidRPr="00831F3E" w:rsidRDefault="00831F3E" w:rsidP="00831F3E">
      <w:pPr>
        <w:pStyle w:val="Caption"/>
      </w:pPr>
      <w:r w:rsidRPr="00831F3E">
        <w:t xml:space="preserve">Table 10: </w:t>
      </w:r>
      <w:r w:rsidRPr="00831F3E">
        <w:tab/>
        <w:t xml:space="preserve">Reconciliation of executive numbers </w:t>
      </w:r>
    </w:p>
    <w:tbl>
      <w:tblPr>
        <w:tblW w:w="9752" w:type="dxa"/>
        <w:tblBorders>
          <w:top w:val="single" w:sz="4" w:space="0" w:color="auto"/>
          <w:bottom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6983"/>
        <w:gridCol w:w="1391"/>
        <w:gridCol w:w="1378"/>
      </w:tblGrid>
      <w:tr w:rsidR="005767BC" w:rsidRPr="00456361" w14:paraId="30DCCC8F" w14:textId="77777777" w:rsidTr="00B539FA">
        <w:tc>
          <w:tcPr>
            <w:tcW w:w="6983" w:type="dxa"/>
            <w:shd w:val="clear" w:color="auto" w:fill="auto"/>
          </w:tcPr>
          <w:p w14:paraId="079F8B7F" w14:textId="77777777" w:rsidR="005767BC" w:rsidRPr="00456361" w:rsidRDefault="005767BC" w:rsidP="00B539FA">
            <w:pPr>
              <w:pStyle w:val="Tabletext"/>
            </w:pPr>
          </w:p>
        </w:tc>
        <w:tc>
          <w:tcPr>
            <w:tcW w:w="1391" w:type="dxa"/>
            <w:shd w:val="clear" w:color="auto" w:fill="auto"/>
          </w:tcPr>
          <w:p w14:paraId="0EB7475B" w14:textId="77777777" w:rsidR="005767BC" w:rsidRPr="00456361" w:rsidRDefault="005767BC" w:rsidP="00B539FA">
            <w:pPr>
              <w:pStyle w:val="Tabletext"/>
              <w:jc w:val="center"/>
            </w:pPr>
            <w:r w:rsidRPr="00456361">
              <w:t>2015</w:t>
            </w:r>
          </w:p>
        </w:tc>
        <w:tc>
          <w:tcPr>
            <w:tcW w:w="1378" w:type="dxa"/>
          </w:tcPr>
          <w:p w14:paraId="283914B9" w14:textId="77777777" w:rsidR="005767BC" w:rsidRPr="00456361" w:rsidRDefault="005767BC" w:rsidP="00B539FA">
            <w:pPr>
              <w:pStyle w:val="Tabletext"/>
              <w:jc w:val="center"/>
            </w:pPr>
            <w:r w:rsidRPr="00456361">
              <w:t>2016</w:t>
            </w:r>
          </w:p>
        </w:tc>
      </w:tr>
      <w:tr w:rsidR="005767BC" w:rsidRPr="00456361" w14:paraId="46AFEBD6" w14:textId="77777777" w:rsidTr="00B539FA">
        <w:tc>
          <w:tcPr>
            <w:tcW w:w="6983" w:type="dxa"/>
            <w:shd w:val="clear" w:color="auto" w:fill="auto"/>
          </w:tcPr>
          <w:p w14:paraId="21A04B24" w14:textId="77777777" w:rsidR="005767BC" w:rsidRPr="00456361" w:rsidRDefault="005767BC" w:rsidP="00B539FA">
            <w:pPr>
              <w:pStyle w:val="Tabletext"/>
            </w:pPr>
            <w:r w:rsidRPr="00456361">
              <w:t>Executives with total remuneration over $100,000 (Financial Statement Note 25)</w:t>
            </w:r>
          </w:p>
        </w:tc>
        <w:tc>
          <w:tcPr>
            <w:tcW w:w="1391" w:type="dxa"/>
            <w:shd w:val="clear" w:color="auto" w:fill="auto"/>
          </w:tcPr>
          <w:p w14:paraId="1D6F589B" w14:textId="77777777" w:rsidR="005767BC" w:rsidRPr="00456361" w:rsidRDefault="005767BC" w:rsidP="00B539FA">
            <w:pPr>
              <w:pStyle w:val="Tabletext"/>
              <w:jc w:val="center"/>
            </w:pPr>
            <w:r w:rsidRPr="00456361">
              <w:t>10</w:t>
            </w:r>
          </w:p>
        </w:tc>
        <w:tc>
          <w:tcPr>
            <w:tcW w:w="1378" w:type="dxa"/>
          </w:tcPr>
          <w:p w14:paraId="53A6F272" w14:textId="77777777" w:rsidR="005767BC" w:rsidRPr="00456361" w:rsidRDefault="005767BC" w:rsidP="00B539FA">
            <w:pPr>
              <w:pStyle w:val="Tabletext"/>
              <w:jc w:val="center"/>
            </w:pPr>
            <w:r w:rsidRPr="00456361">
              <w:t>9</w:t>
            </w:r>
          </w:p>
        </w:tc>
      </w:tr>
      <w:tr w:rsidR="005767BC" w:rsidRPr="00456361" w14:paraId="62BE7746" w14:textId="77777777" w:rsidTr="00B539FA">
        <w:tc>
          <w:tcPr>
            <w:tcW w:w="6983" w:type="dxa"/>
            <w:shd w:val="clear" w:color="auto" w:fill="auto"/>
          </w:tcPr>
          <w:p w14:paraId="65F74436" w14:textId="77777777" w:rsidR="005767BC" w:rsidRPr="00456361" w:rsidRDefault="005767BC" w:rsidP="00B539FA">
            <w:pPr>
              <w:pStyle w:val="Tabletext"/>
            </w:pPr>
            <w:r w:rsidRPr="00456361">
              <w:t>Add</w:t>
            </w:r>
            <w:r w:rsidRPr="00456361">
              <w:tab/>
              <w:t>Vacancies at 30 June (Table 10)</w:t>
            </w:r>
          </w:p>
        </w:tc>
        <w:tc>
          <w:tcPr>
            <w:tcW w:w="1391" w:type="dxa"/>
            <w:shd w:val="clear" w:color="auto" w:fill="auto"/>
          </w:tcPr>
          <w:p w14:paraId="5A00B2CB" w14:textId="77777777" w:rsidR="005767BC" w:rsidRPr="00456361" w:rsidRDefault="005767BC" w:rsidP="00B539FA">
            <w:pPr>
              <w:pStyle w:val="Tabletext"/>
              <w:jc w:val="center"/>
            </w:pPr>
            <w:r w:rsidRPr="00456361">
              <w:t>-</w:t>
            </w:r>
          </w:p>
        </w:tc>
        <w:tc>
          <w:tcPr>
            <w:tcW w:w="1378" w:type="dxa"/>
          </w:tcPr>
          <w:p w14:paraId="67D7F427" w14:textId="77777777" w:rsidR="005767BC" w:rsidRPr="00456361" w:rsidRDefault="005767BC" w:rsidP="00B539FA">
            <w:pPr>
              <w:pStyle w:val="Tabletext"/>
              <w:jc w:val="center"/>
            </w:pPr>
            <w:r w:rsidRPr="00456361">
              <w:t>0</w:t>
            </w:r>
          </w:p>
        </w:tc>
      </w:tr>
      <w:tr w:rsidR="005767BC" w:rsidRPr="00456361" w14:paraId="4288DC2A" w14:textId="77777777" w:rsidTr="00B539FA">
        <w:tc>
          <w:tcPr>
            <w:tcW w:w="6983" w:type="dxa"/>
            <w:shd w:val="clear" w:color="auto" w:fill="auto"/>
          </w:tcPr>
          <w:p w14:paraId="3FF2A2FA" w14:textId="77777777" w:rsidR="005767BC" w:rsidRPr="00456361" w:rsidRDefault="005767BC" w:rsidP="00B539FA">
            <w:pPr>
              <w:pStyle w:val="Tabletext"/>
            </w:pPr>
            <w:r w:rsidRPr="00456361">
              <w:tab/>
              <w:t>Executives employed with total remuneration below $100,000</w:t>
            </w:r>
          </w:p>
        </w:tc>
        <w:tc>
          <w:tcPr>
            <w:tcW w:w="1391" w:type="dxa"/>
            <w:shd w:val="clear" w:color="auto" w:fill="auto"/>
          </w:tcPr>
          <w:p w14:paraId="5A6335E6" w14:textId="77777777" w:rsidR="005767BC" w:rsidRPr="00456361" w:rsidRDefault="005767BC" w:rsidP="00B539FA">
            <w:pPr>
              <w:pStyle w:val="Tabletext"/>
              <w:jc w:val="center"/>
            </w:pPr>
            <w:r w:rsidRPr="00456361">
              <w:t>3</w:t>
            </w:r>
          </w:p>
        </w:tc>
        <w:tc>
          <w:tcPr>
            <w:tcW w:w="1378" w:type="dxa"/>
          </w:tcPr>
          <w:p w14:paraId="2B1793AB" w14:textId="77777777" w:rsidR="005767BC" w:rsidRPr="00456361" w:rsidRDefault="005767BC" w:rsidP="00B539FA">
            <w:pPr>
              <w:pStyle w:val="Tabletext"/>
              <w:jc w:val="center"/>
            </w:pPr>
            <w:r w:rsidRPr="00456361">
              <w:t>3</w:t>
            </w:r>
          </w:p>
        </w:tc>
      </w:tr>
      <w:tr w:rsidR="005767BC" w:rsidRPr="00456361" w14:paraId="062119EC" w14:textId="77777777" w:rsidTr="00B539FA">
        <w:tc>
          <w:tcPr>
            <w:tcW w:w="6983" w:type="dxa"/>
            <w:shd w:val="clear" w:color="auto" w:fill="auto"/>
          </w:tcPr>
          <w:p w14:paraId="17731752" w14:textId="77777777" w:rsidR="005767BC" w:rsidRPr="00456361" w:rsidRDefault="005767BC" w:rsidP="00B539FA">
            <w:pPr>
              <w:pStyle w:val="Tabletext"/>
            </w:pPr>
            <w:r w:rsidRPr="00456361">
              <w:tab/>
              <w:t>Executives not included in Note 25 (‘Remuneration of executives’)</w:t>
            </w:r>
          </w:p>
        </w:tc>
        <w:tc>
          <w:tcPr>
            <w:tcW w:w="1391" w:type="dxa"/>
            <w:shd w:val="clear" w:color="auto" w:fill="auto"/>
          </w:tcPr>
          <w:p w14:paraId="35525305" w14:textId="77777777" w:rsidR="005767BC" w:rsidRPr="00456361" w:rsidRDefault="005767BC" w:rsidP="00B539FA">
            <w:pPr>
              <w:pStyle w:val="Tabletext"/>
              <w:jc w:val="center"/>
            </w:pPr>
          </w:p>
        </w:tc>
        <w:tc>
          <w:tcPr>
            <w:tcW w:w="1378" w:type="dxa"/>
          </w:tcPr>
          <w:p w14:paraId="3247C36E" w14:textId="77777777" w:rsidR="005767BC" w:rsidRPr="00456361" w:rsidRDefault="005767BC" w:rsidP="00B539FA">
            <w:pPr>
              <w:pStyle w:val="Tabletext"/>
              <w:jc w:val="center"/>
            </w:pPr>
            <w:r w:rsidRPr="00456361">
              <w:t>2</w:t>
            </w:r>
          </w:p>
        </w:tc>
      </w:tr>
      <w:tr w:rsidR="005767BC" w:rsidRPr="00456361" w14:paraId="2C3C5C13" w14:textId="77777777" w:rsidTr="00B539FA">
        <w:tc>
          <w:tcPr>
            <w:tcW w:w="6983" w:type="dxa"/>
            <w:shd w:val="clear" w:color="auto" w:fill="auto"/>
          </w:tcPr>
          <w:p w14:paraId="3EEC26BC" w14:textId="77777777" w:rsidR="005767BC" w:rsidRPr="00456361" w:rsidRDefault="005767BC" w:rsidP="00B539FA">
            <w:pPr>
              <w:pStyle w:val="Tabletext"/>
            </w:pPr>
            <w:r w:rsidRPr="00456361">
              <w:t xml:space="preserve">Less  </w:t>
            </w:r>
            <w:r w:rsidRPr="00456361">
              <w:tab/>
              <w:t>Separations</w:t>
            </w:r>
          </w:p>
        </w:tc>
        <w:tc>
          <w:tcPr>
            <w:tcW w:w="1391" w:type="dxa"/>
            <w:shd w:val="clear" w:color="auto" w:fill="auto"/>
          </w:tcPr>
          <w:p w14:paraId="0496D663" w14:textId="77777777" w:rsidR="005767BC" w:rsidRPr="00456361" w:rsidRDefault="005767BC" w:rsidP="00B539FA">
            <w:pPr>
              <w:pStyle w:val="Tabletext"/>
              <w:jc w:val="center"/>
            </w:pPr>
            <w:r w:rsidRPr="00456361">
              <w:t>(2)</w:t>
            </w:r>
          </w:p>
        </w:tc>
        <w:tc>
          <w:tcPr>
            <w:tcW w:w="1378" w:type="dxa"/>
          </w:tcPr>
          <w:p w14:paraId="29AB5082" w14:textId="77777777" w:rsidR="005767BC" w:rsidRPr="00456361" w:rsidRDefault="005767BC" w:rsidP="00B539FA">
            <w:pPr>
              <w:pStyle w:val="Tabletext"/>
              <w:jc w:val="center"/>
            </w:pPr>
            <w:r w:rsidRPr="00456361">
              <w:t>(2)</w:t>
            </w:r>
          </w:p>
        </w:tc>
      </w:tr>
      <w:tr w:rsidR="005767BC" w:rsidRPr="00456361" w14:paraId="3187B44C" w14:textId="77777777" w:rsidTr="00B539FA">
        <w:tc>
          <w:tcPr>
            <w:tcW w:w="6983" w:type="dxa"/>
            <w:shd w:val="clear" w:color="auto" w:fill="auto"/>
          </w:tcPr>
          <w:p w14:paraId="22A51E5E" w14:textId="77777777" w:rsidR="005767BC" w:rsidRPr="00456361" w:rsidRDefault="005767BC" w:rsidP="00B539FA">
            <w:pPr>
              <w:pStyle w:val="Tabletext"/>
              <w:rPr>
                <w:b/>
              </w:rPr>
            </w:pPr>
            <w:r w:rsidRPr="00456361">
              <w:rPr>
                <w:b/>
              </w:rPr>
              <w:tab/>
              <w:t>Total executive numbers at 30 June</w:t>
            </w:r>
          </w:p>
        </w:tc>
        <w:tc>
          <w:tcPr>
            <w:tcW w:w="1391" w:type="dxa"/>
            <w:shd w:val="clear" w:color="auto" w:fill="auto"/>
          </w:tcPr>
          <w:p w14:paraId="338AD158" w14:textId="77777777" w:rsidR="005767BC" w:rsidRPr="00456361" w:rsidRDefault="005767BC" w:rsidP="00B539FA">
            <w:pPr>
              <w:pStyle w:val="Tabletext"/>
              <w:jc w:val="center"/>
              <w:rPr>
                <w:b/>
              </w:rPr>
            </w:pPr>
            <w:r w:rsidRPr="00456361">
              <w:rPr>
                <w:b/>
              </w:rPr>
              <w:t>11</w:t>
            </w:r>
          </w:p>
        </w:tc>
        <w:tc>
          <w:tcPr>
            <w:tcW w:w="1378" w:type="dxa"/>
          </w:tcPr>
          <w:p w14:paraId="6F8DE499" w14:textId="77777777" w:rsidR="005767BC" w:rsidRPr="00456361" w:rsidRDefault="005767BC" w:rsidP="00B539FA">
            <w:pPr>
              <w:pStyle w:val="Tabletext"/>
              <w:jc w:val="center"/>
              <w:rPr>
                <w:b/>
              </w:rPr>
            </w:pPr>
            <w:r w:rsidRPr="00456361">
              <w:rPr>
                <w:b/>
              </w:rPr>
              <w:t>12</w:t>
            </w:r>
          </w:p>
        </w:tc>
      </w:tr>
    </w:tbl>
    <w:p w14:paraId="3E1CA50C" w14:textId="65AF1D3B" w:rsidR="005767BC" w:rsidRPr="00456361" w:rsidRDefault="005767BC" w:rsidP="005767BC">
      <w:pPr>
        <w:pStyle w:val="Notesheading"/>
      </w:pPr>
      <w:r w:rsidRPr="00456361">
        <w:t>Note</w:t>
      </w:r>
      <w:r w:rsidR="007149E8">
        <w:t>s</w:t>
      </w:r>
    </w:p>
    <w:p w14:paraId="6BF4843D" w14:textId="464EA892" w:rsidR="005767BC" w:rsidRPr="000B6ABB" w:rsidRDefault="005767BC" w:rsidP="005767BC">
      <w:pPr>
        <w:ind w:left="426" w:hanging="426"/>
        <w:rPr>
          <w:sz w:val="20"/>
          <w:szCs w:val="20"/>
        </w:rPr>
      </w:pPr>
      <w:r w:rsidRPr="00456361">
        <w:t>1.</w:t>
      </w:r>
      <w:r w:rsidRPr="00456361">
        <w:tab/>
      </w:r>
      <w:r w:rsidRPr="00456361">
        <w:rPr>
          <w:sz w:val="20"/>
          <w:szCs w:val="20"/>
        </w:rPr>
        <w:t xml:space="preserve">The Financial Statement (Note 25) </w:t>
      </w:r>
      <w:r w:rsidRPr="000B6ABB">
        <w:rPr>
          <w:sz w:val="20"/>
          <w:szCs w:val="20"/>
        </w:rPr>
        <w:t>does not distinguish between executive levels, does not disclose separations, vacancy positions, executives whose total remuneration is below $100,000</w:t>
      </w:r>
      <w:r w:rsidR="005709B5">
        <w:rPr>
          <w:sz w:val="20"/>
          <w:szCs w:val="20"/>
        </w:rPr>
        <w:t>,</w:t>
      </w:r>
      <w:r w:rsidRPr="000B6ABB">
        <w:rPr>
          <w:sz w:val="20"/>
          <w:szCs w:val="20"/>
        </w:rPr>
        <w:t xml:space="preserve"> and does not include the Accountable Officer (CEO CSV)</w:t>
      </w:r>
      <w:r w:rsidR="005709B5">
        <w:rPr>
          <w:sz w:val="20"/>
          <w:szCs w:val="20"/>
        </w:rPr>
        <w:t>,</w:t>
      </w:r>
      <w:r w:rsidRPr="000B6ABB">
        <w:rPr>
          <w:sz w:val="20"/>
          <w:szCs w:val="20"/>
        </w:rPr>
        <w:t xml:space="preserve"> or CEO</w:t>
      </w:r>
      <w:r w:rsidR="005709B5">
        <w:rPr>
          <w:sz w:val="20"/>
          <w:szCs w:val="20"/>
        </w:rPr>
        <w:t xml:space="preserve"> of the</w:t>
      </w:r>
      <w:r w:rsidRPr="000B6ABB">
        <w:rPr>
          <w:sz w:val="20"/>
          <w:szCs w:val="20"/>
        </w:rPr>
        <w:t xml:space="preserve"> Judicial College of Victoria as </w:t>
      </w:r>
      <w:r w:rsidR="005709B5">
        <w:rPr>
          <w:sz w:val="20"/>
          <w:szCs w:val="20"/>
        </w:rPr>
        <w:t>the College</w:t>
      </w:r>
      <w:r w:rsidRPr="000B6ABB">
        <w:rPr>
          <w:sz w:val="20"/>
          <w:szCs w:val="20"/>
        </w:rPr>
        <w:t xml:space="preserve"> reports its finances separately. To assist readers, these numbers are now included in the above table.</w:t>
      </w:r>
    </w:p>
    <w:p w14:paraId="3A0625A4" w14:textId="75CE9B9F" w:rsidR="00D81FDA" w:rsidRPr="000B6ABB" w:rsidRDefault="00D81FDA" w:rsidP="005767BC">
      <w:pPr>
        <w:ind w:left="426" w:hanging="426"/>
        <w:rPr>
          <w:sz w:val="20"/>
          <w:szCs w:val="20"/>
        </w:rPr>
      </w:pPr>
      <w:r w:rsidRPr="000B6ABB">
        <w:rPr>
          <w:sz w:val="20"/>
          <w:szCs w:val="20"/>
        </w:rPr>
        <w:t>2.     Data relating to executives whose total remuneration is below $100,000 reflects those who were only employed for part of the year.</w:t>
      </w:r>
    </w:p>
    <w:p w14:paraId="1E8211EC" w14:textId="77777777" w:rsidR="005767BC" w:rsidRPr="00456361" w:rsidRDefault="005767BC" w:rsidP="005767BC">
      <w:pPr>
        <w:pStyle w:val="Notes"/>
      </w:pPr>
    </w:p>
    <w:p w14:paraId="7EF644A7" w14:textId="77777777" w:rsidR="005767BC" w:rsidRPr="00456361" w:rsidRDefault="005767BC" w:rsidP="002D3822">
      <w:pPr>
        <w:pStyle w:val="Heading3"/>
      </w:pPr>
      <w:r w:rsidRPr="00456361">
        <w:t>Employment and conduct principles</w:t>
      </w:r>
    </w:p>
    <w:p w14:paraId="48B4A42B" w14:textId="77777777" w:rsidR="005767BC" w:rsidRPr="00456361" w:rsidRDefault="005767BC" w:rsidP="005767BC">
      <w:r w:rsidRPr="00456361">
        <w:t>CSV continues to respect and uphold public sector conduct, value and encourage diversity, manage underperformance, review personal grievances and select on merit.</w:t>
      </w:r>
    </w:p>
    <w:p w14:paraId="550AD5DE" w14:textId="77777777" w:rsidR="005767BC" w:rsidRPr="00456361" w:rsidRDefault="005767BC" w:rsidP="005767BC"/>
    <w:p w14:paraId="1BBB9418" w14:textId="77777777" w:rsidR="005767BC" w:rsidRPr="00456361" w:rsidRDefault="005767BC" w:rsidP="005767BC">
      <w:r w:rsidRPr="00456361">
        <w:t>The selection processes ensure that applicants are assessed and evaluated fairly and equitably on the basis of the key selection criteria and other accountabilities without discrimination. Employees have been correctly classified in workforce data collection.</w:t>
      </w:r>
    </w:p>
    <w:p w14:paraId="062D2C85" w14:textId="77777777" w:rsidR="005767BC" w:rsidRPr="00456361" w:rsidRDefault="005767BC" w:rsidP="005767BC">
      <w:pPr>
        <w:pStyle w:val="Heading2"/>
      </w:pPr>
      <w:bookmarkStart w:id="21" w:name="_Toc456278831"/>
      <w:bookmarkStart w:id="22" w:name="_Toc466381172"/>
      <w:r w:rsidRPr="00456361">
        <w:t>Staff Health, Safety and Wellbeing</w:t>
      </w:r>
      <w:bookmarkEnd w:id="21"/>
      <w:bookmarkEnd w:id="22"/>
    </w:p>
    <w:p w14:paraId="0E11AEF4" w14:textId="77777777" w:rsidR="005767BC" w:rsidRPr="00456361" w:rsidRDefault="005767BC" w:rsidP="005767BC">
      <w:r w:rsidRPr="00456361">
        <w:t>The health, safety and wellbeing of CSV employees continued to be a high priority during 2015-16. The Occupational Health and Safety (OH&amp;S) self-assessment process undertaken in each jurisdiction ensured ongoing vigilance in relation to OH&amp;S compliance.</w:t>
      </w:r>
    </w:p>
    <w:p w14:paraId="577188CD" w14:textId="77777777" w:rsidR="005767BC" w:rsidRPr="00456361" w:rsidRDefault="005767BC" w:rsidP="005767BC"/>
    <w:p w14:paraId="399A0939" w14:textId="677443E3" w:rsidR="005767BC" w:rsidRPr="00456361" w:rsidRDefault="005767BC" w:rsidP="005767BC">
      <w:r w:rsidRPr="00456361">
        <w:t>There were 158 reported incidents compared to 124 in 2014-15. This represented an increase of 21.5%</w:t>
      </w:r>
      <w:r w:rsidRPr="00456361">
        <w:rPr>
          <w:color w:val="000000"/>
        </w:rPr>
        <w:t>. The increase</w:t>
      </w:r>
      <w:r w:rsidRPr="00456361">
        <w:t xml:space="preserve"> </w:t>
      </w:r>
      <w:r w:rsidR="005924E2">
        <w:t xml:space="preserve">follows implementation of </w:t>
      </w:r>
      <w:r w:rsidRPr="00456361">
        <w:t>awareness promotion strategies and targeted OH&amp;S activities.</w:t>
      </w:r>
    </w:p>
    <w:p w14:paraId="6560A6FF" w14:textId="77777777" w:rsidR="005767BC" w:rsidRPr="00456361" w:rsidRDefault="005767BC" w:rsidP="005767BC"/>
    <w:p w14:paraId="47F375EE" w14:textId="77777777" w:rsidR="005767BC" w:rsidRPr="00456361" w:rsidRDefault="005767BC" w:rsidP="005767BC">
      <w:r w:rsidRPr="00456361">
        <w:t>The benefits of increased awareness and risk reporting was evidenced by the reduction in WorkCover claims. There were eight accepted WorkCover claims for the 2015-16 year, compared with 14 accepted claims in 2014-15.</w:t>
      </w:r>
    </w:p>
    <w:p w14:paraId="61FFF783" w14:textId="77777777" w:rsidR="005767BC" w:rsidRPr="00456361" w:rsidRDefault="005767BC" w:rsidP="005767BC"/>
    <w:p w14:paraId="33C74471" w14:textId="77777777" w:rsidR="005767BC" w:rsidRPr="00456361" w:rsidRDefault="005767BC" w:rsidP="005767BC">
      <w:r w:rsidRPr="00456361">
        <w:t>Health promotion was emphasised through the implementation of the CSV Healthy Workplace initiative. The aim of the initiative is to provide employees with the knowledge to look after their own health and wellbeing while concurrently implementing initiatives within the workplace to improve the health and wellbeing of the working environment, and to minimise the risks associated with sedentary work.</w:t>
      </w:r>
    </w:p>
    <w:p w14:paraId="7E997372" w14:textId="77777777" w:rsidR="005767BC" w:rsidRPr="00456361" w:rsidRDefault="005767BC" w:rsidP="005767BC"/>
    <w:p w14:paraId="5FEED8CB" w14:textId="77777777" w:rsidR="005767BC" w:rsidRPr="00456361" w:rsidRDefault="005767BC" w:rsidP="005767BC">
      <w:r w:rsidRPr="00456361">
        <w:t xml:space="preserve">CSV employees had the opportunity to be involved in the </w:t>
      </w:r>
      <w:r w:rsidRPr="00456361">
        <w:rPr>
          <w:i/>
        </w:rPr>
        <w:t xml:space="preserve">Life </w:t>
      </w:r>
      <w:r w:rsidRPr="00456361">
        <w:t xml:space="preserve">program which included four education sessions and a one-on-one health check in order to assist employees to reduce their risk of type 2 diabetes and cardiovascular disease. </w:t>
      </w:r>
    </w:p>
    <w:p w14:paraId="68FFD1AA" w14:textId="77777777" w:rsidR="005767BC" w:rsidRPr="00456361" w:rsidRDefault="005767BC" w:rsidP="005767BC"/>
    <w:p w14:paraId="391B5281" w14:textId="77777777" w:rsidR="005767BC" w:rsidRPr="00456361" w:rsidRDefault="005767BC" w:rsidP="005767BC">
      <w:r w:rsidRPr="00456361">
        <w:t xml:space="preserve">Beyond Blue presented five sessions for employees and managers to raise awareness of and provide education about the impact of mental health issues and how to manage mental health issues in the workplace. </w:t>
      </w:r>
    </w:p>
    <w:p w14:paraId="68390058" w14:textId="77777777" w:rsidR="005767BC" w:rsidRPr="00456361" w:rsidRDefault="005767BC" w:rsidP="005767BC">
      <w:pPr>
        <w:pStyle w:val="Tableheading"/>
      </w:pPr>
    </w:p>
    <w:p w14:paraId="6DCF15DE" w14:textId="52A5C7E6" w:rsidR="005767BC" w:rsidRPr="00456361" w:rsidRDefault="005767BC" w:rsidP="005767BC">
      <w:pPr>
        <w:pStyle w:val="Caption"/>
      </w:pPr>
      <w:r w:rsidRPr="00456361">
        <w:t>Table 1</w:t>
      </w:r>
      <w:r w:rsidR="005709B5">
        <w:t>1</w:t>
      </w:r>
      <w:r w:rsidRPr="00456361">
        <w:t xml:space="preserve">: </w:t>
      </w:r>
      <w:r w:rsidRPr="00456361">
        <w:tab/>
        <w:t>Performance against OH&amp;S measures</w:t>
      </w:r>
    </w:p>
    <w:tbl>
      <w:tblPr>
        <w:tblpPr w:leftFromText="181" w:rightFromText="181" w:vertAnchor="text" w:horzAnchor="margin" w:tblpY="205"/>
        <w:tblW w:w="5000" w:type="pct"/>
        <w:tblBorders>
          <w:top w:val="single" w:sz="4" w:space="0" w:color="auto"/>
          <w:bottom w:val="single" w:sz="4" w:space="0" w:color="auto"/>
          <w:insideH w:val="single" w:sz="4" w:space="0" w:color="auto"/>
          <w:insideV w:val="single" w:sz="4" w:space="0" w:color="auto"/>
        </w:tblBorders>
        <w:tblCellMar>
          <w:top w:w="28" w:type="dxa"/>
          <w:left w:w="57" w:type="dxa"/>
          <w:bottom w:w="28" w:type="dxa"/>
          <w:right w:w="57" w:type="dxa"/>
        </w:tblCellMar>
        <w:tblLook w:val="01E0" w:firstRow="1" w:lastRow="1" w:firstColumn="1" w:lastColumn="1" w:noHBand="0" w:noVBand="0"/>
      </w:tblPr>
      <w:tblGrid>
        <w:gridCol w:w="1755"/>
        <w:gridCol w:w="4273"/>
        <w:gridCol w:w="1523"/>
        <w:gridCol w:w="1335"/>
        <w:gridCol w:w="752"/>
      </w:tblGrid>
      <w:tr w:rsidR="005767BC" w:rsidRPr="00456361" w14:paraId="183BDDB3" w14:textId="77777777" w:rsidTr="00B539FA">
        <w:tc>
          <w:tcPr>
            <w:tcW w:w="1771" w:type="dxa"/>
            <w:shd w:val="clear" w:color="auto" w:fill="auto"/>
          </w:tcPr>
          <w:p w14:paraId="3C86E70D" w14:textId="77777777" w:rsidR="005767BC" w:rsidRPr="00456361" w:rsidRDefault="005767BC" w:rsidP="00B539FA">
            <w:pPr>
              <w:pStyle w:val="Tabletext"/>
              <w:rPr>
                <w:b/>
              </w:rPr>
            </w:pPr>
            <w:r w:rsidRPr="00456361">
              <w:rPr>
                <w:b/>
              </w:rPr>
              <w:t>Measure</w:t>
            </w:r>
          </w:p>
        </w:tc>
        <w:tc>
          <w:tcPr>
            <w:tcW w:w="4350" w:type="dxa"/>
            <w:shd w:val="clear" w:color="auto" w:fill="auto"/>
          </w:tcPr>
          <w:p w14:paraId="1E5AABE0" w14:textId="77777777" w:rsidR="005767BC" w:rsidRPr="00456361" w:rsidRDefault="005767BC" w:rsidP="00B539FA">
            <w:pPr>
              <w:pStyle w:val="Tabletext"/>
              <w:rPr>
                <w:b/>
              </w:rPr>
            </w:pPr>
            <w:r w:rsidRPr="00456361">
              <w:rPr>
                <w:b/>
              </w:rPr>
              <w:t xml:space="preserve">KPI </w:t>
            </w:r>
          </w:p>
        </w:tc>
        <w:tc>
          <w:tcPr>
            <w:tcW w:w="1532" w:type="dxa"/>
            <w:shd w:val="clear" w:color="auto" w:fill="auto"/>
          </w:tcPr>
          <w:p w14:paraId="17807529" w14:textId="77777777" w:rsidR="005767BC" w:rsidRPr="00456361" w:rsidRDefault="005767BC" w:rsidP="00B539FA">
            <w:pPr>
              <w:pStyle w:val="Tabletext"/>
              <w:jc w:val="center"/>
              <w:rPr>
                <w:b/>
              </w:rPr>
            </w:pPr>
            <w:r w:rsidRPr="00456361">
              <w:rPr>
                <w:b/>
              </w:rPr>
              <w:t>2014-15</w:t>
            </w:r>
          </w:p>
        </w:tc>
        <w:tc>
          <w:tcPr>
            <w:tcW w:w="1344" w:type="dxa"/>
          </w:tcPr>
          <w:p w14:paraId="361B75FE" w14:textId="77777777" w:rsidR="005767BC" w:rsidRPr="00456361" w:rsidRDefault="005767BC" w:rsidP="00B539FA">
            <w:pPr>
              <w:pStyle w:val="Tabletext"/>
              <w:jc w:val="center"/>
              <w:rPr>
                <w:b/>
              </w:rPr>
            </w:pPr>
            <w:r w:rsidRPr="00456361">
              <w:rPr>
                <w:b/>
              </w:rPr>
              <w:t>2015-16</w:t>
            </w:r>
          </w:p>
        </w:tc>
        <w:tc>
          <w:tcPr>
            <w:tcW w:w="755" w:type="dxa"/>
            <w:shd w:val="clear" w:color="auto" w:fill="auto"/>
          </w:tcPr>
          <w:p w14:paraId="568A71C8" w14:textId="77777777" w:rsidR="005767BC" w:rsidRPr="00456361" w:rsidRDefault="005767BC" w:rsidP="00B539FA">
            <w:pPr>
              <w:pStyle w:val="Tabletext"/>
              <w:jc w:val="center"/>
              <w:rPr>
                <w:b/>
              </w:rPr>
            </w:pPr>
            <w:r w:rsidRPr="00456361">
              <w:rPr>
                <w:b/>
              </w:rPr>
              <w:t>Notes</w:t>
            </w:r>
          </w:p>
        </w:tc>
      </w:tr>
      <w:tr w:rsidR="005767BC" w:rsidRPr="00456361" w14:paraId="764EE7E2" w14:textId="77777777" w:rsidTr="00B539FA">
        <w:tc>
          <w:tcPr>
            <w:tcW w:w="1771" w:type="dxa"/>
            <w:vMerge w:val="restart"/>
          </w:tcPr>
          <w:p w14:paraId="4BB4DFE9" w14:textId="77777777" w:rsidR="005767BC" w:rsidRPr="00456361" w:rsidRDefault="005767BC" w:rsidP="00B539FA">
            <w:pPr>
              <w:pStyle w:val="Tabletext"/>
            </w:pPr>
            <w:r w:rsidRPr="00456361">
              <w:t xml:space="preserve">Incidents </w:t>
            </w:r>
          </w:p>
        </w:tc>
        <w:tc>
          <w:tcPr>
            <w:tcW w:w="4350" w:type="dxa"/>
          </w:tcPr>
          <w:p w14:paraId="74FEDD36" w14:textId="77777777" w:rsidR="005767BC" w:rsidRPr="00456361" w:rsidRDefault="005767BC" w:rsidP="00B539FA">
            <w:pPr>
              <w:pStyle w:val="Tabletext"/>
            </w:pPr>
            <w:r w:rsidRPr="00456361">
              <w:t xml:space="preserve">Number of incidents </w:t>
            </w:r>
          </w:p>
        </w:tc>
        <w:tc>
          <w:tcPr>
            <w:tcW w:w="1532" w:type="dxa"/>
          </w:tcPr>
          <w:p w14:paraId="70794C36" w14:textId="77777777" w:rsidR="005767BC" w:rsidRPr="00456361" w:rsidRDefault="005767BC" w:rsidP="00B539FA">
            <w:pPr>
              <w:pStyle w:val="Tabletext"/>
              <w:jc w:val="right"/>
            </w:pPr>
            <w:r w:rsidRPr="00456361">
              <w:t>124</w:t>
            </w:r>
          </w:p>
        </w:tc>
        <w:tc>
          <w:tcPr>
            <w:tcW w:w="1344" w:type="dxa"/>
          </w:tcPr>
          <w:p w14:paraId="786DAD86" w14:textId="77777777" w:rsidR="005767BC" w:rsidRPr="00456361" w:rsidRDefault="005767BC" w:rsidP="00B539FA">
            <w:pPr>
              <w:pStyle w:val="Tabletext"/>
              <w:jc w:val="right"/>
            </w:pPr>
            <w:r w:rsidRPr="00456361">
              <w:t>158</w:t>
            </w:r>
          </w:p>
        </w:tc>
        <w:tc>
          <w:tcPr>
            <w:tcW w:w="755" w:type="dxa"/>
          </w:tcPr>
          <w:p w14:paraId="22A6DBE7" w14:textId="77777777" w:rsidR="005767BC" w:rsidRPr="00456361" w:rsidRDefault="005767BC" w:rsidP="00B539FA">
            <w:pPr>
              <w:pStyle w:val="Tabletext"/>
              <w:jc w:val="center"/>
            </w:pPr>
            <w:r w:rsidRPr="00456361">
              <w:t>1</w:t>
            </w:r>
          </w:p>
        </w:tc>
      </w:tr>
      <w:tr w:rsidR="005767BC" w:rsidRPr="00C73B1D" w14:paraId="5E3B9413" w14:textId="77777777" w:rsidTr="00B539FA">
        <w:tc>
          <w:tcPr>
            <w:tcW w:w="1771" w:type="dxa"/>
            <w:vMerge/>
          </w:tcPr>
          <w:p w14:paraId="4C22C76E" w14:textId="77777777" w:rsidR="005767BC" w:rsidRPr="00FD2484" w:rsidRDefault="005767BC" w:rsidP="00B539FA">
            <w:pPr>
              <w:pStyle w:val="Tabletext"/>
            </w:pPr>
          </w:p>
        </w:tc>
        <w:tc>
          <w:tcPr>
            <w:tcW w:w="4350" w:type="dxa"/>
          </w:tcPr>
          <w:p w14:paraId="6D49AA63" w14:textId="77777777" w:rsidR="005767BC" w:rsidRPr="00FD2484" w:rsidRDefault="005767BC" w:rsidP="00B539FA">
            <w:pPr>
              <w:pStyle w:val="Tabletext"/>
            </w:pPr>
            <w:r w:rsidRPr="00FD2484">
              <w:t>Rate per 100 FTE</w:t>
            </w:r>
          </w:p>
        </w:tc>
        <w:tc>
          <w:tcPr>
            <w:tcW w:w="1532" w:type="dxa"/>
          </w:tcPr>
          <w:p w14:paraId="3E1A9997" w14:textId="77777777" w:rsidR="005767BC" w:rsidRPr="00FD2484" w:rsidRDefault="005767BC" w:rsidP="00B539FA">
            <w:pPr>
              <w:pStyle w:val="Tabletext"/>
              <w:jc w:val="right"/>
            </w:pPr>
            <w:r w:rsidRPr="00FD2484">
              <w:t>6.3</w:t>
            </w:r>
          </w:p>
        </w:tc>
        <w:tc>
          <w:tcPr>
            <w:tcW w:w="1344" w:type="dxa"/>
          </w:tcPr>
          <w:p w14:paraId="1D8318FD" w14:textId="77777777" w:rsidR="005767BC" w:rsidRPr="00FD2484" w:rsidRDefault="005767BC" w:rsidP="00B539FA">
            <w:pPr>
              <w:pStyle w:val="Tabletext"/>
              <w:jc w:val="right"/>
            </w:pPr>
            <w:r w:rsidRPr="00FD2484">
              <w:t>8.1</w:t>
            </w:r>
          </w:p>
        </w:tc>
        <w:tc>
          <w:tcPr>
            <w:tcW w:w="755" w:type="dxa"/>
          </w:tcPr>
          <w:p w14:paraId="4962614D" w14:textId="77777777" w:rsidR="005767BC" w:rsidRPr="00FD2484" w:rsidRDefault="005767BC" w:rsidP="00B539FA">
            <w:pPr>
              <w:pStyle w:val="Tabletext"/>
              <w:jc w:val="center"/>
            </w:pPr>
            <w:r w:rsidRPr="00FD2484">
              <w:t>1</w:t>
            </w:r>
          </w:p>
        </w:tc>
      </w:tr>
      <w:tr w:rsidR="005767BC" w:rsidRPr="00456361" w14:paraId="6297224C" w14:textId="77777777" w:rsidTr="00B539FA">
        <w:tc>
          <w:tcPr>
            <w:tcW w:w="1771" w:type="dxa"/>
            <w:vMerge w:val="restart"/>
          </w:tcPr>
          <w:p w14:paraId="2EAC7339" w14:textId="77777777" w:rsidR="005767BC" w:rsidRPr="00456361" w:rsidRDefault="005767BC" w:rsidP="00B539FA">
            <w:pPr>
              <w:pStyle w:val="Tabletext"/>
            </w:pPr>
            <w:r w:rsidRPr="00456361">
              <w:t xml:space="preserve">Claims </w:t>
            </w:r>
          </w:p>
        </w:tc>
        <w:tc>
          <w:tcPr>
            <w:tcW w:w="4350" w:type="dxa"/>
          </w:tcPr>
          <w:p w14:paraId="28CD0EC6" w14:textId="77777777" w:rsidR="005767BC" w:rsidRPr="00456361" w:rsidRDefault="005767BC" w:rsidP="00B539FA">
            <w:pPr>
              <w:pStyle w:val="Tabletext"/>
            </w:pPr>
            <w:r w:rsidRPr="00456361">
              <w:t>Number of standard claims</w:t>
            </w:r>
          </w:p>
        </w:tc>
        <w:tc>
          <w:tcPr>
            <w:tcW w:w="1532" w:type="dxa"/>
          </w:tcPr>
          <w:p w14:paraId="5DBC9D31" w14:textId="77777777" w:rsidR="005767BC" w:rsidRPr="00456361" w:rsidRDefault="005767BC" w:rsidP="00B539FA">
            <w:pPr>
              <w:pStyle w:val="Tabletext"/>
              <w:jc w:val="right"/>
            </w:pPr>
            <w:r w:rsidRPr="00456361">
              <w:t>7</w:t>
            </w:r>
          </w:p>
        </w:tc>
        <w:tc>
          <w:tcPr>
            <w:tcW w:w="1344" w:type="dxa"/>
          </w:tcPr>
          <w:p w14:paraId="27E743C8" w14:textId="77777777" w:rsidR="005767BC" w:rsidRPr="00456361" w:rsidRDefault="005767BC" w:rsidP="00B539FA">
            <w:pPr>
              <w:pStyle w:val="Tabletext"/>
              <w:jc w:val="right"/>
            </w:pPr>
            <w:r w:rsidRPr="00456361">
              <w:t>5</w:t>
            </w:r>
          </w:p>
        </w:tc>
        <w:tc>
          <w:tcPr>
            <w:tcW w:w="755" w:type="dxa"/>
          </w:tcPr>
          <w:p w14:paraId="6E202778" w14:textId="77777777" w:rsidR="005767BC" w:rsidRPr="00456361" w:rsidRDefault="005767BC" w:rsidP="00B539FA">
            <w:pPr>
              <w:pStyle w:val="Tabletext"/>
              <w:jc w:val="center"/>
            </w:pPr>
            <w:r w:rsidRPr="00456361">
              <w:t>2</w:t>
            </w:r>
          </w:p>
        </w:tc>
      </w:tr>
      <w:tr w:rsidR="005767BC" w:rsidRPr="00C73B1D" w14:paraId="31E735B3" w14:textId="77777777" w:rsidTr="00B539FA">
        <w:tc>
          <w:tcPr>
            <w:tcW w:w="1771" w:type="dxa"/>
            <w:vMerge/>
          </w:tcPr>
          <w:p w14:paraId="5B0BB99D" w14:textId="77777777" w:rsidR="005767BC" w:rsidRPr="00FD2484" w:rsidRDefault="005767BC" w:rsidP="00B539FA">
            <w:pPr>
              <w:pStyle w:val="Tabletext"/>
            </w:pPr>
          </w:p>
        </w:tc>
        <w:tc>
          <w:tcPr>
            <w:tcW w:w="4350" w:type="dxa"/>
          </w:tcPr>
          <w:p w14:paraId="6BDCAD79" w14:textId="77777777" w:rsidR="005767BC" w:rsidRPr="00FD2484" w:rsidRDefault="005767BC" w:rsidP="00B539FA">
            <w:pPr>
              <w:pStyle w:val="Tabletext"/>
            </w:pPr>
            <w:r w:rsidRPr="00FD2484">
              <w:t>Rate per 100 FTE</w:t>
            </w:r>
          </w:p>
        </w:tc>
        <w:tc>
          <w:tcPr>
            <w:tcW w:w="1532" w:type="dxa"/>
          </w:tcPr>
          <w:p w14:paraId="0BF7FB50" w14:textId="77777777" w:rsidR="005767BC" w:rsidRPr="00FD2484" w:rsidRDefault="005767BC" w:rsidP="00B539FA">
            <w:pPr>
              <w:pStyle w:val="Tabletext"/>
              <w:jc w:val="right"/>
            </w:pPr>
            <w:r w:rsidRPr="00FD2484">
              <w:t>0.35551</w:t>
            </w:r>
          </w:p>
        </w:tc>
        <w:tc>
          <w:tcPr>
            <w:tcW w:w="1344" w:type="dxa"/>
          </w:tcPr>
          <w:p w14:paraId="4370E562" w14:textId="77777777" w:rsidR="005767BC" w:rsidRPr="00FD2484" w:rsidRDefault="005767BC" w:rsidP="00B539FA">
            <w:pPr>
              <w:pStyle w:val="Tabletext"/>
              <w:jc w:val="right"/>
            </w:pPr>
            <w:r w:rsidRPr="00FD2484">
              <w:t>0.25694</w:t>
            </w:r>
          </w:p>
        </w:tc>
        <w:tc>
          <w:tcPr>
            <w:tcW w:w="755" w:type="dxa"/>
          </w:tcPr>
          <w:p w14:paraId="5D1CB8B7" w14:textId="77777777" w:rsidR="005767BC" w:rsidRPr="00FD2484" w:rsidRDefault="005767BC" w:rsidP="00B539FA">
            <w:pPr>
              <w:pStyle w:val="Tabletext"/>
              <w:jc w:val="center"/>
            </w:pPr>
            <w:r w:rsidRPr="00FD2484">
              <w:t>2</w:t>
            </w:r>
          </w:p>
        </w:tc>
      </w:tr>
      <w:tr w:rsidR="005767BC" w:rsidRPr="00C73B1D" w14:paraId="6DEBCE71" w14:textId="77777777" w:rsidTr="00B539FA">
        <w:tc>
          <w:tcPr>
            <w:tcW w:w="1771" w:type="dxa"/>
            <w:vMerge/>
          </w:tcPr>
          <w:p w14:paraId="0E03D91D" w14:textId="77777777" w:rsidR="005767BC" w:rsidRPr="00FD2484" w:rsidRDefault="005767BC" w:rsidP="00B539FA">
            <w:pPr>
              <w:pStyle w:val="Tabletext"/>
            </w:pPr>
          </w:p>
        </w:tc>
        <w:tc>
          <w:tcPr>
            <w:tcW w:w="4350" w:type="dxa"/>
          </w:tcPr>
          <w:p w14:paraId="44ACF325" w14:textId="77777777" w:rsidR="005767BC" w:rsidRPr="00FD2484" w:rsidRDefault="005767BC" w:rsidP="00B539FA">
            <w:pPr>
              <w:pStyle w:val="Tabletext"/>
            </w:pPr>
            <w:r w:rsidRPr="00FD2484">
              <w:t>Number of lost time claims</w:t>
            </w:r>
          </w:p>
        </w:tc>
        <w:tc>
          <w:tcPr>
            <w:tcW w:w="1532" w:type="dxa"/>
          </w:tcPr>
          <w:p w14:paraId="39F8A277" w14:textId="77777777" w:rsidR="005767BC" w:rsidRPr="00FD2484" w:rsidRDefault="005767BC" w:rsidP="00B539FA">
            <w:pPr>
              <w:pStyle w:val="Tabletext"/>
              <w:jc w:val="right"/>
            </w:pPr>
            <w:r w:rsidRPr="00FD2484">
              <w:t>5</w:t>
            </w:r>
          </w:p>
        </w:tc>
        <w:tc>
          <w:tcPr>
            <w:tcW w:w="1344" w:type="dxa"/>
          </w:tcPr>
          <w:p w14:paraId="127D88C6" w14:textId="77777777" w:rsidR="005767BC" w:rsidRPr="00FD2484" w:rsidRDefault="005767BC" w:rsidP="00B539FA">
            <w:pPr>
              <w:pStyle w:val="Tabletext"/>
              <w:jc w:val="right"/>
            </w:pPr>
            <w:r w:rsidRPr="00FD2484">
              <w:t>2</w:t>
            </w:r>
          </w:p>
        </w:tc>
        <w:tc>
          <w:tcPr>
            <w:tcW w:w="755" w:type="dxa"/>
          </w:tcPr>
          <w:p w14:paraId="74F4C9BA" w14:textId="77777777" w:rsidR="005767BC" w:rsidRPr="00FD2484" w:rsidRDefault="005767BC" w:rsidP="00B539FA">
            <w:pPr>
              <w:pStyle w:val="Tabletext"/>
              <w:jc w:val="center"/>
            </w:pPr>
            <w:r w:rsidRPr="00FD2484">
              <w:t>2</w:t>
            </w:r>
          </w:p>
        </w:tc>
      </w:tr>
      <w:tr w:rsidR="005767BC" w:rsidRPr="00C73B1D" w14:paraId="3D7AABD4" w14:textId="77777777" w:rsidTr="00B539FA">
        <w:tc>
          <w:tcPr>
            <w:tcW w:w="1771" w:type="dxa"/>
            <w:vMerge/>
          </w:tcPr>
          <w:p w14:paraId="0A5BB838" w14:textId="77777777" w:rsidR="005767BC" w:rsidRPr="00FD2484" w:rsidRDefault="005767BC" w:rsidP="00B539FA">
            <w:pPr>
              <w:pStyle w:val="Tabletext"/>
            </w:pPr>
          </w:p>
        </w:tc>
        <w:tc>
          <w:tcPr>
            <w:tcW w:w="4350" w:type="dxa"/>
          </w:tcPr>
          <w:p w14:paraId="7BB6F6DC" w14:textId="77777777" w:rsidR="005767BC" w:rsidRPr="00FD2484" w:rsidRDefault="005767BC" w:rsidP="00B539FA">
            <w:pPr>
              <w:pStyle w:val="Tabletext"/>
            </w:pPr>
            <w:r w:rsidRPr="00FD2484">
              <w:t>Rate per 100 FTE</w:t>
            </w:r>
          </w:p>
        </w:tc>
        <w:tc>
          <w:tcPr>
            <w:tcW w:w="1532" w:type="dxa"/>
          </w:tcPr>
          <w:p w14:paraId="352950CE" w14:textId="77777777" w:rsidR="005767BC" w:rsidRPr="00FD2484" w:rsidRDefault="005767BC" w:rsidP="00B539FA">
            <w:pPr>
              <w:pStyle w:val="Tabletext"/>
              <w:jc w:val="right"/>
            </w:pPr>
            <w:r w:rsidRPr="00FD2484">
              <w:t>0.25394</w:t>
            </w:r>
          </w:p>
        </w:tc>
        <w:tc>
          <w:tcPr>
            <w:tcW w:w="1344" w:type="dxa"/>
          </w:tcPr>
          <w:p w14:paraId="0D0DC47B" w14:textId="77777777" w:rsidR="005767BC" w:rsidRPr="00FD2484" w:rsidRDefault="005767BC" w:rsidP="00B539FA">
            <w:pPr>
              <w:pStyle w:val="Tabletext"/>
              <w:jc w:val="right"/>
            </w:pPr>
            <w:r w:rsidRPr="00FD2484">
              <w:t>0.10277</w:t>
            </w:r>
          </w:p>
        </w:tc>
        <w:tc>
          <w:tcPr>
            <w:tcW w:w="755" w:type="dxa"/>
          </w:tcPr>
          <w:p w14:paraId="64376DC3" w14:textId="77777777" w:rsidR="005767BC" w:rsidRPr="00FD2484" w:rsidRDefault="005767BC" w:rsidP="00B539FA">
            <w:pPr>
              <w:pStyle w:val="Tabletext"/>
              <w:jc w:val="center"/>
            </w:pPr>
            <w:r w:rsidRPr="00FD2484">
              <w:t>2</w:t>
            </w:r>
          </w:p>
        </w:tc>
      </w:tr>
      <w:tr w:rsidR="005767BC" w:rsidRPr="00C73B1D" w14:paraId="27DAAC8C" w14:textId="77777777" w:rsidTr="00B539FA">
        <w:tc>
          <w:tcPr>
            <w:tcW w:w="1771" w:type="dxa"/>
            <w:vMerge/>
          </w:tcPr>
          <w:p w14:paraId="261EC3A0" w14:textId="77777777" w:rsidR="005767BC" w:rsidRPr="00FD2484" w:rsidRDefault="005767BC" w:rsidP="00B539FA">
            <w:pPr>
              <w:pStyle w:val="Tabletext"/>
            </w:pPr>
          </w:p>
        </w:tc>
        <w:tc>
          <w:tcPr>
            <w:tcW w:w="4350" w:type="dxa"/>
          </w:tcPr>
          <w:p w14:paraId="0543A247" w14:textId="77777777" w:rsidR="005767BC" w:rsidRPr="00FD2484" w:rsidRDefault="005767BC" w:rsidP="00B539FA">
            <w:pPr>
              <w:pStyle w:val="Tabletext"/>
            </w:pPr>
            <w:r w:rsidRPr="00FD2484">
              <w:t>Number of claims exceeding 13 weeks</w:t>
            </w:r>
          </w:p>
        </w:tc>
        <w:tc>
          <w:tcPr>
            <w:tcW w:w="1532" w:type="dxa"/>
          </w:tcPr>
          <w:p w14:paraId="0EB52668" w14:textId="77777777" w:rsidR="005767BC" w:rsidRPr="00FD2484" w:rsidRDefault="005767BC" w:rsidP="00B539FA">
            <w:pPr>
              <w:pStyle w:val="Tabletext"/>
              <w:jc w:val="right"/>
            </w:pPr>
            <w:r w:rsidRPr="00FD2484">
              <w:t>2</w:t>
            </w:r>
          </w:p>
        </w:tc>
        <w:tc>
          <w:tcPr>
            <w:tcW w:w="1344" w:type="dxa"/>
          </w:tcPr>
          <w:p w14:paraId="568F287D" w14:textId="77777777" w:rsidR="005767BC" w:rsidRPr="00FD2484" w:rsidRDefault="005767BC" w:rsidP="00B539FA">
            <w:pPr>
              <w:pStyle w:val="Tabletext"/>
              <w:jc w:val="right"/>
            </w:pPr>
            <w:r w:rsidRPr="00FD2484">
              <w:t>2</w:t>
            </w:r>
          </w:p>
        </w:tc>
        <w:tc>
          <w:tcPr>
            <w:tcW w:w="755" w:type="dxa"/>
          </w:tcPr>
          <w:p w14:paraId="4D1132E7" w14:textId="77777777" w:rsidR="005767BC" w:rsidRPr="00FD2484" w:rsidRDefault="005767BC" w:rsidP="00B539FA">
            <w:pPr>
              <w:pStyle w:val="Tabletext"/>
              <w:jc w:val="center"/>
            </w:pPr>
            <w:r w:rsidRPr="00FD2484">
              <w:t>2</w:t>
            </w:r>
          </w:p>
        </w:tc>
      </w:tr>
      <w:tr w:rsidR="005767BC" w:rsidRPr="00C73B1D" w14:paraId="11108A70" w14:textId="77777777" w:rsidTr="00B539FA">
        <w:tc>
          <w:tcPr>
            <w:tcW w:w="1771" w:type="dxa"/>
            <w:vMerge/>
          </w:tcPr>
          <w:p w14:paraId="0B1A4E87" w14:textId="77777777" w:rsidR="005767BC" w:rsidRPr="00FD2484" w:rsidRDefault="005767BC" w:rsidP="00B539FA">
            <w:pPr>
              <w:pStyle w:val="Tabletext"/>
            </w:pPr>
          </w:p>
        </w:tc>
        <w:tc>
          <w:tcPr>
            <w:tcW w:w="4350" w:type="dxa"/>
          </w:tcPr>
          <w:p w14:paraId="0B435874" w14:textId="77777777" w:rsidR="005767BC" w:rsidRPr="00FD2484" w:rsidRDefault="005767BC" w:rsidP="00B539FA">
            <w:pPr>
              <w:pStyle w:val="Tabletext"/>
            </w:pPr>
            <w:r w:rsidRPr="00FD2484">
              <w:t xml:space="preserve">Rate per 100 FTE </w:t>
            </w:r>
          </w:p>
        </w:tc>
        <w:tc>
          <w:tcPr>
            <w:tcW w:w="1532" w:type="dxa"/>
          </w:tcPr>
          <w:p w14:paraId="31A51197" w14:textId="77777777" w:rsidR="005767BC" w:rsidRPr="00FD2484" w:rsidRDefault="005767BC" w:rsidP="00B539FA">
            <w:pPr>
              <w:pStyle w:val="Tabletext"/>
              <w:jc w:val="right"/>
            </w:pPr>
            <w:r w:rsidRPr="00FD2484">
              <w:t>0.10000</w:t>
            </w:r>
          </w:p>
        </w:tc>
        <w:tc>
          <w:tcPr>
            <w:tcW w:w="1344" w:type="dxa"/>
          </w:tcPr>
          <w:p w14:paraId="24A09138" w14:textId="77777777" w:rsidR="005767BC" w:rsidRPr="00FD2484" w:rsidRDefault="005767BC" w:rsidP="00B539FA">
            <w:pPr>
              <w:pStyle w:val="Tabletext"/>
              <w:jc w:val="right"/>
            </w:pPr>
            <w:r w:rsidRPr="00FD2484">
              <w:t>0.10277</w:t>
            </w:r>
          </w:p>
        </w:tc>
        <w:tc>
          <w:tcPr>
            <w:tcW w:w="755" w:type="dxa"/>
          </w:tcPr>
          <w:p w14:paraId="3EEFD022" w14:textId="77777777" w:rsidR="005767BC" w:rsidRPr="00FD2484" w:rsidRDefault="005767BC" w:rsidP="00B539FA">
            <w:pPr>
              <w:pStyle w:val="Tabletext"/>
              <w:jc w:val="center"/>
            </w:pPr>
            <w:r w:rsidRPr="00FD2484">
              <w:t>2</w:t>
            </w:r>
          </w:p>
        </w:tc>
      </w:tr>
      <w:tr w:rsidR="005767BC" w:rsidRPr="00456361" w14:paraId="52972006" w14:textId="77777777" w:rsidTr="00B539FA">
        <w:tc>
          <w:tcPr>
            <w:tcW w:w="1771" w:type="dxa"/>
          </w:tcPr>
          <w:p w14:paraId="429B953F" w14:textId="77777777" w:rsidR="005767BC" w:rsidRPr="00456361" w:rsidRDefault="005767BC" w:rsidP="00B539FA">
            <w:pPr>
              <w:pStyle w:val="Tabletext"/>
            </w:pPr>
            <w:r w:rsidRPr="00456361">
              <w:t xml:space="preserve">Fatalities </w:t>
            </w:r>
          </w:p>
        </w:tc>
        <w:tc>
          <w:tcPr>
            <w:tcW w:w="4350" w:type="dxa"/>
          </w:tcPr>
          <w:p w14:paraId="65B97251" w14:textId="77777777" w:rsidR="005767BC" w:rsidRPr="00456361" w:rsidRDefault="005767BC" w:rsidP="00B539FA">
            <w:pPr>
              <w:pStyle w:val="Tabletext"/>
            </w:pPr>
            <w:r w:rsidRPr="00456361">
              <w:t>Fatality claims</w:t>
            </w:r>
          </w:p>
        </w:tc>
        <w:tc>
          <w:tcPr>
            <w:tcW w:w="1532" w:type="dxa"/>
          </w:tcPr>
          <w:p w14:paraId="166384DD" w14:textId="77777777" w:rsidR="005767BC" w:rsidRPr="00456361" w:rsidRDefault="005767BC" w:rsidP="00B539FA">
            <w:pPr>
              <w:pStyle w:val="Tabletext"/>
              <w:jc w:val="right"/>
            </w:pPr>
            <w:r w:rsidRPr="00456361">
              <w:t>0</w:t>
            </w:r>
          </w:p>
        </w:tc>
        <w:tc>
          <w:tcPr>
            <w:tcW w:w="1344" w:type="dxa"/>
          </w:tcPr>
          <w:p w14:paraId="02ECDA4C" w14:textId="77777777" w:rsidR="005767BC" w:rsidRPr="00456361" w:rsidRDefault="005767BC" w:rsidP="00B539FA">
            <w:pPr>
              <w:pStyle w:val="Tabletext"/>
              <w:jc w:val="right"/>
            </w:pPr>
            <w:r w:rsidRPr="00456361">
              <w:t>0</w:t>
            </w:r>
          </w:p>
        </w:tc>
        <w:tc>
          <w:tcPr>
            <w:tcW w:w="755" w:type="dxa"/>
          </w:tcPr>
          <w:p w14:paraId="537F3813" w14:textId="77777777" w:rsidR="005767BC" w:rsidRPr="00456361" w:rsidRDefault="005767BC" w:rsidP="00B539FA">
            <w:pPr>
              <w:pStyle w:val="Tabletext"/>
              <w:jc w:val="center"/>
            </w:pPr>
            <w:r w:rsidRPr="00456361">
              <w:t>2</w:t>
            </w:r>
          </w:p>
        </w:tc>
      </w:tr>
      <w:tr w:rsidR="005767BC" w:rsidRPr="00456361" w14:paraId="4FAADCF1" w14:textId="77777777" w:rsidTr="00B539FA">
        <w:tc>
          <w:tcPr>
            <w:tcW w:w="1771" w:type="dxa"/>
          </w:tcPr>
          <w:p w14:paraId="0AB45EF9" w14:textId="77777777" w:rsidR="005767BC" w:rsidRPr="00456361" w:rsidRDefault="005767BC" w:rsidP="00B539FA">
            <w:pPr>
              <w:pStyle w:val="Tabletext"/>
            </w:pPr>
            <w:r w:rsidRPr="00456361">
              <w:t xml:space="preserve">Claims costs </w:t>
            </w:r>
          </w:p>
        </w:tc>
        <w:tc>
          <w:tcPr>
            <w:tcW w:w="4350" w:type="dxa"/>
          </w:tcPr>
          <w:p w14:paraId="44AC334D" w14:textId="77777777" w:rsidR="005767BC" w:rsidRPr="00456361" w:rsidRDefault="005767BC" w:rsidP="00B539FA">
            <w:pPr>
              <w:pStyle w:val="Tabletext"/>
            </w:pPr>
            <w:r w:rsidRPr="00456361">
              <w:t>Average cost per standard claim</w:t>
            </w:r>
          </w:p>
        </w:tc>
        <w:tc>
          <w:tcPr>
            <w:tcW w:w="1532" w:type="dxa"/>
          </w:tcPr>
          <w:p w14:paraId="1D38D755" w14:textId="77777777" w:rsidR="005767BC" w:rsidRPr="00456361" w:rsidRDefault="005767BC" w:rsidP="00B539FA">
            <w:pPr>
              <w:pStyle w:val="Tabletext"/>
              <w:jc w:val="right"/>
            </w:pPr>
            <w:r w:rsidRPr="00456361">
              <w:t>$65,931</w:t>
            </w:r>
          </w:p>
        </w:tc>
        <w:tc>
          <w:tcPr>
            <w:tcW w:w="1344" w:type="dxa"/>
          </w:tcPr>
          <w:p w14:paraId="28A9A0DC" w14:textId="77777777" w:rsidR="005767BC" w:rsidRPr="00456361" w:rsidRDefault="005767BC" w:rsidP="00B539FA">
            <w:pPr>
              <w:pStyle w:val="Tabletext"/>
              <w:jc w:val="right"/>
            </w:pPr>
            <w:r w:rsidRPr="00456361">
              <w:t>$36,892</w:t>
            </w:r>
          </w:p>
        </w:tc>
        <w:tc>
          <w:tcPr>
            <w:tcW w:w="755" w:type="dxa"/>
          </w:tcPr>
          <w:p w14:paraId="0E8CEE9E" w14:textId="77777777" w:rsidR="005767BC" w:rsidRPr="00456361" w:rsidRDefault="005767BC" w:rsidP="00B539FA">
            <w:pPr>
              <w:pStyle w:val="Tabletext"/>
              <w:jc w:val="center"/>
            </w:pPr>
            <w:r w:rsidRPr="00456361">
              <w:t>2</w:t>
            </w:r>
          </w:p>
        </w:tc>
      </w:tr>
      <w:tr w:rsidR="005767BC" w:rsidRPr="00456361" w14:paraId="5608E7A2" w14:textId="77777777" w:rsidTr="00B539FA">
        <w:tc>
          <w:tcPr>
            <w:tcW w:w="1771" w:type="dxa"/>
          </w:tcPr>
          <w:p w14:paraId="68EAF692" w14:textId="77777777" w:rsidR="005767BC" w:rsidRPr="00456361" w:rsidRDefault="005767BC" w:rsidP="00B539FA">
            <w:pPr>
              <w:pStyle w:val="Tabletext"/>
            </w:pPr>
            <w:r w:rsidRPr="00456361">
              <w:t xml:space="preserve">Return to work </w:t>
            </w:r>
          </w:p>
        </w:tc>
        <w:tc>
          <w:tcPr>
            <w:tcW w:w="4350" w:type="dxa"/>
          </w:tcPr>
          <w:p w14:paraId="190223E5" w14:textId="77777777" w:rsidR="005767BC" w:rsidRPr="00456361" w:rsidRDefault="005767BC" w:rsidP="00B539FA">
            <w:pPr>
              <w:pStyle w:val="Tabletext"/>
            </w:pPr>
            <w:r w:rsidRPr="00456361">
              <w:t xml:space="preserve">Percentage claims with RTW plan &lt;30 days </w:t>
            </w:r>
          </w:p>
        </w:tc>
        <w:tc>
          <w:tcPr>
            <w:tcW w:w="1532" w:type="dxa"/>
          </w:tcPr>
          <w:p w14:paraId="0227CE67" w14:textId="77777777" w:rsidR="005767BC" w:rsidRPr="00456361" w:rsidRDefault="005767BC" w:rsidP="00B539FA">
            <w:pPr>
              <w:pStyle w:val="Tabletext"/>
              <w:jc w:val="right"/>
            </w:pPr>
            <w:r w:rsidRPr="00456361">
              <w:t>70%</w:t>
            </w:r>
          </w:p>
        </w:tc>
        <w:tc>
          <w:tcPr>
            <w:tcW w:w="1344" w:type="dxa"/>
          </w:tcPr>
          <w:p w14:paraId="4C260076" w14:textId="77777777" w:rsidR="005767BC" w:rsidRPr="00456361" w:rsidRDefault="005767BC" w:rsidP="00B539FA">
            <w:pPr>
              <w:pStyle w:val="Tabletext"/>
              <w:jc w:val="right"/>
            </w:pPr>
            <w:r w:rsidRPr="00456361">
              <w:t>100%</w:t>
            </w:r>
          </w:p>
        </w:tc>
        <w:tc>
          <w:tcPr>
            <w:tcW w:w="755" w:type="dxa"/>
          </w:tcPr>
          <w:p w14:paraId="68EC8DCD" w14:textId="77777777" w:rsidR="005767BC" w:rsidRPr="00456361" w:rsidRDefault="005767BC" w:rsidP="00B539FA">
            <w:pPr>
              <w:pStyle w:val="Tabletext"/>
              <w:jc w:val="center"/>
            </w:pPr>
          </w:p>
        </w:tc>
      </w:tr>
      <w:tr w:rsidR="005767BC" w:rsidRPr="00456361" w14:paraId="31A0713A" w14:textId="77777777" w:rsidTr="00B539FA">
        <w:tc>
          <w:tcPr>
            <w:tcW w:w="1771" w:type="dxa"/>
            <w:vMerge w:val="restart"/>
          </w:tcPr>
          <w:p w14:paraId="2EAB1CDA" w14:textId="77777777" w:rsidR="005767BC" w:rsidRPr="00456361" w:rsidRDefault="005767BC" w:rsidP="00B539FA">
            <w:pPr>
              <w:pStyle w:val="Tabletext"/>
            </w:pPr>
            <w:r w:rsidRPr="00456361">
              <w:t xml:space="preserve">Management commitment </w:t>
            </w:r>
          </w:p>
        </w:tc>
        <w:tc>
          <w:tcPr>
            <w:tcW w:w="4350" w:type="dxa"/>
          </w:tcPr>
          <w:p w14:paraId="757E995B" w14:textId="77777777" w:rsidR="005767BC" w:rsidRPr="00456361" w:rsidRDefault="005767BC" w:rsidP="00B539FA">
            <w:pPr>
              <w:pStyle w:val="Tabletext"/>
            </w:pPr>
            <w:r w:rsidRPr="00456361">
              <w:t xml:space="preserve">Evidence of OH&amp;S Policy statement, OH&amp;S objectives, regular reporting to senior management of OH&amp;S and OH&amp;S plans (signed by CEO or equivalent) </w:t>
            </w:r>
          </w:p>
        </w:tc>
        <w:tc>
          <w:tcPr>
            <w:tcW w:w="1532" w:type="dxa"/>
          </w:tcPr>
          <w:p w14:paraId="14CE20D0" w14:textId="77777777" w:rsidR="005767BC" w:rsidRPr="00456361" w:rsidRDefault="005767BC" w:rsidP="00B539FA">
            <w:pPr>
              <w:pStyle w:val="Tabletext"/>
              <w:jc w:val="right"/>
            </w:pPr>
            <w:r w:rsidRPr="00456361">
              <w:t>Completed</w:t>
            </w:r>
          </w:p>
        </w:tc>
        <w:tc>
          <w:tcPr>
            <w:tcW w:w="1344" w:type="dxa"/>
          </w:tcPr>
          <w:p w14:paraId="42CD7CA4" w14:textId="77777777" w:rsidR="005767BC" w:rsidRPr="00456361" w:rsidRDefault="005767BC" w:rsidP="00B539FA">
            <w:pPr>
              <w:pStyle w:val="Tabletext"/>
              <w:jc w:val="right"/>
            </w:pPr>
            <w:r w:rsidRPr="00456361">
              <w:t xml:space="preserve">Completed </w:t>
            </w:r>
          </w:p>
        </w:tc>
        <w:tc>
          <w:tcPr>
            <w:tcW w:w="755" w:type="dxa"/>
          </w:tcPr>
          <w:p w14:paraId="60337871" w14:textId="77777777" w:rsidR="005767BC" w:rsidRPr="00456361" w:rsidRDefault="005767BC" w:rsidP="00B539FA">
            <w:pPr>
              <w:pStyle w:val="Tabletext"/>
              <w:jc w:val="center"/>
            </w:pPr>
          </w:p>
        </w:tc>
      </w:tr>
      <w:tr w:rsidR="005767BC" w:rsidRPr="00C73B1D" w14:paraId="2CA77021" w14:textId="77777777" w:rsidTr="00B539FA">
        <w:tc>
          <w:tcPr>
            <w:tcW w:w="1771" w:type="dxa"/>
            <w:vMerge/>
          </w:tcPr>
          <w:p w14:paraId="7324804E" w14:textId="77777777" w:rsidR="005767BC" w:rsidRPr="00FD2484" w:rsidRDefault="005767BC" w:rsidP="00B539FA">
            <w:pPr>
              <w:pStyle w:val="Tabletext"/>
            </w:pPr>
          </w:p>
        </w:tc>
        <w:tc>
          <w:tcPr>
            <w:tcW w:w="4350" w:type="dxa"/>
          </w:tcPr>
          <w:p w14:paraId="5A5B200E" w14:textId="77777777" w:rsidR="005767BC" w:rsidRPr="00FD2484" w:rsidRDefault="005767BC" w:rsidP="00B539FA">
            <w:pPr>
              <w:pStyle w:val="Tabletext"/>
            </w:pPr>
            <w:r w:rsidRPr="00FD2484">
              <w:t xml:space="preserve">Evidence of OH&amp;S criteria(s) in purchasing guidelines (including goods, services, and personnel)  </w:t>
            </w:r>
          </w:p>
        </w:tc>
        <w:tc>
          <w:tcPr>
            <w:tcW w:w="1532" w:type="dxa"/>
          </w:tcPr>
          <w:p w14:paraId="74E98C54" w14:textId="77777777" w:rsidR="005767BC" w:rsidRPr="00FD2484" w:rsidRDefault="005767BC" w:rsidP="00B539FA">
            <w:pPr>
              <w:pStyle w:val="Tabletext"/>
              <w:jc w:val="right"/>
            </w:pPr>
            <w:r w:rsidRPr="00FD2484">
              <w:t>Completed</w:t>
            </w:r>
          </w:p>
        </w:tc>
        <w:tc>
          <w:tcPr>
            <w:tcW w:w="1344" w:type="dxa"/>
          </w:tcPr>
          <w:p w14:paraId="3EB96B27" w14:textId="77777777" w:rsidR="005767BC" w:rsidRPr="00FD2484" w:rsidRDefault="005767BC" w:rsidP="00B539FA">
            <w:pPr>
              <w:pStyle w:val="Tabletext"/>
              <w:jc w:val="right"/>
            </w:pPr>
            <w:r w:rsidRPr="00FD2484">
              <w:t xml:space="preserve">Completed </w:t>
            </w:r>
          </w:p>
        </w:tc>
        <w:tc>
          <w:tcPr>
            <w:tcW w:w="755" w:type="dxa"/>
          </w:tcPr>
          <w:p w14:paraId="6A507BBA" w14:textId="77777777" w:rsidR="005767BC" w:rsidRPr="00FD2484" w:rsidRDefault="005767BC" w:rsidP="00B539FA">
            <w:pPr>
              <w:pStyle w:val="Tabletext"/>
              <w:jc w:val="center"/>
            </w:pPr>
          </w:p>
        </w:tc>
      </w:tr>
      <w:tr w:rsidR="005767BC" w:rsidRPr="00456361" w14:paraId="7CE7DA68" w14:textId="77777777" w:rsidTr="00B539FA">
        <w:tc>
          <w:tcPr>
            <w:tcW w:w="1771" w:type="dxa"/>
            <w:vMerge w:val="restart"/>
          </w:tcPr>
          <w:p w14:paraId="2E85687F" w14:textId="77777777" w:rsidR="005767BC" w:rsidRPr="00456361" w:rsidRDefault="005767BC" w:rsidP="00B539FA">
            <w:pPr>
              <w:pStyle w:val="Tabletext"/>
            </w:pPr>
            <w:r w:rsidRPr="00456361">
              <w:t xml:space="preserve">Consultation and participation </w:t>
            </w:r>
          </w:p>
        </w:tc>
        <w:tc>
          <w:tcPr>
            <w:tcW w:w="4350" w:type="dxa"/>
          </w:tcPr>
          <w:p w14:paraId="4F06A70E" w14:textId="77777777" w:rsidR="005767BC" w:rsidRPr="00456361" w:rsidRDefault="005767BC" w:rsidP="00B539FA">
            <w:pPr>
              <w:pStyle w:val="Tabletext"/>
            </w:pPr>
            <w:r w:rsidRPr="00456361">
              <w:t xml:space="preserve">Evidence of agreed structure of designated workgroups (DWGs), health and safety representatives (HSRs) </w:t>
            </w:r>
          </w:p>
        </w:tc>
        <w:tc>
          <w:tcPr>
            <w:tcW w:w="1532" w:type="dxa"/>
          </w:tcPr>
          <w:p w14:paraId="4D439289" w14:textId="77777777" w:rsidR="005767BC" w:rsidRPr="00456361" w:rsidRDefault="005767BC" w:rsidP="00B539FA">
            <w:pPr>
              <w:pStyle w:val="Tabletext"/>
              <w:jc w:val="right"/>
            </w:pPr>
            <w:r w:rsidRPr="00456361">
              <w:t>Completed</w:t>
            </w:r>
          </w:p>
        </w:tc>
        <w:tc>
          <w:tcPr>
            <w:tcW w:w="1344" w:type="dxa"/>
          </w:tcPr>
          <w:p w14:paraId="3459726E" w14:textId="77777777" w:rsidR="005767BC" w:rsidRPr="00456361" w:rsidRDefault="005767BC" w:rsidP="00B539FA">
            <w:pPr>
              <w:pStyle w:val="Tabletext"/>
              <w:jc w:val="right"/>
            </w:pPr>
            <w:r w:rsidRPr="00456361">
              <w:t xml:space="preserve">Completed </w:t>
            </w:r>
          </w:p>
        </w:tc>
        <w:tc>
          <w:tcPr>
            <w:tcW w:w="755" w:type="dxa"/>
          </w:tcPr>
          <w:p w14:paraId="6687A593" w14:textId="77777777" w:rsidR="005767BC" w:rsidRPr="00456361" w:rsidRDefault="005767BC" w:rsidP="00B539FA">
            <w:pPr>
              <w:pStyle w:val="Tabletext"/>
              <w:jc w:val="center"/>
            </w:pPr>
          </w:p>
        </w:tc>
      </w:tr>
      <w:tr w:rsidR="005767BC" w:rsidRPr="00C73B1D" w14:paraId="49F87860" w14:textId="77777777" w:rsidTr="00B539FA">
        <w:trPr>
          <w:trHeight w:val="73"/>
        </w:trPr>
        <w:tc>
          <w:tcPr>
            <w:tcW w:w="1771" w:type="dxa"/>
            <w:vMerge/>
          </w:tcPr>
          <w:p w14:paraId="65B2B819" w14:textId="77777777" w:rsidR="005767BC" w:rsidRPr="00FD2484" w:rsidRDefault="005767BC" w:rsidP="00B539FA">
            <w:pPr>
              <w:pStyle w:val="Tabletext"/>
            </w:pPr>
          </w:p>
        </w:tc>
        <w:tc>
          <w:tcPr>
            <w:tcW w:w="4350" w:type="dxa"/>
          </w:tcPr>
          <w:p w14:paraId="144D7BB7" w14:textId="77777777" w:rsidR="005767BC" w:rsidRPr="00FD2484" w:rsidRDefault="005767BC" w:rsidP="00B539FA">
            <w:pPr>
              <w:pStyle w:val="Tabletext"/>
            </w:pPr>
            <w:r w:rsidRPr="00FD2484">
              <w:t xml:space="preserve">Compliance with issue resolution procedures IRPs </w:t>
            </w:r>
          </w:p>
        </w:tc>
        <w:tc>
          <w:tcPr>
            <w:tcW w:w="1532" w:type="dxa"/>
          </w:tcPr>
          <w:p w14:paraId="7B8FCCC8" w14:textId="77777777" w:rsidR="005767BC" w:rsidRPr="00FD2484" w:rsidRDefault="005767BC" w:rsidP="00B539FA">
            <w:pPr>
              <w:pStyle w:val="Tabletext"/>
              <w:jc w:val="right"/>
            </w:pPr>
            <w:r w:rsidRPr="00FD2484">
              <w:t>Completed</w:t>
            </w:r>
          </w:p>
        </w:tc>
        <w:tc>
          <w:tcPr>
            <w:tcW w:w="1344" w:type="dxa"/>
          </w:tcPr>
          <w:p w14:paraId="56B0026D" w14:textId="77777777" w:rsidR="005767BC" w:rsidRPr="00FD2484" w:rsidRDefault="005767BC" w:rsidP="00B539FA">
            <w:pPr>
              <w:pStyle w:val="Tabletext"/>
              <w:jc w:val="right"/>
            </w:pPr>
            <w:r w:rsidRPr="00FD2484">
              <w:t xml:space="preserve">Completed </w:t>
            </w:r>
          </w:p>
        </w:tc>
        <w:tc>
          <w:tcPr>
            <w:tcW w:w="755" w:type="dxa"/>
          </w:tcPr>
          <w:p w14:paraId="3959ED7C" w14:textId="77777777" w:rsidR="005767BC" w:rsidRPr="00FD2484" w:rsidRDefault="005767BC" w:rsidP="00B539FA">
            <w:pPr>
              <w:pStyle w:val="Tabletext"/>
              <w:jc w:val="center"/>
            </w:pPr>
          </w:p>
        </w:tc>
      </w:tr>
      <w:tr w:rsidR="005767BC" w:rsidRPr="00456361" w14:paraId="08A06B6E" w14:textId="77777777" w:rsidTr="00B539FA">
        <w:trPr>
          <w:trHeight w:val="1880"/>
        </w:trPr>
        <w:tc>
          <w:tcPr>
            <w:tcW w:w="1771" w:type="dxa"/>
          </w:tcPr>
          <w:p w14:paraId="5C2EDBE8" w14:textId="77777777" w:rsidR="005767BC" w:rsidRPr="00456361" w:rsidRDefault="005767BC" w:rsidP="00B539FA">
            <w:pPr>
              <w:pStyle w:val="Tabletext"/>
            </w:pPr>
            <w:r w:rsidRPr="00456361">
              <w:t xml:space="preserve">Risk Management </w:t>
            </w:r>
          </w:p>
        </w:tc>
        <w:tc>
          <w:tcPr>
            <w:tcW w:w="4350" w:type="dxa"/>
          </w:tcPr>
          <w:p w14:paraId="0CB735BE" w14:textId="77777777" w:rsidR="005767BC" w:rsidRPr="00456361" w:rsidRDefault="005767BC" w:rsidP="00B539FA">
            <w:pPr>
              <w:pStyle w:val="Tabletext"/>
            </w:pPr>
            <w:r w:rsidRPr="00456361">
              <w:t xml:space="preserve">Percentage of internal audits/inspections conducted as planned </w:t>
            </w:r>
          </w:p>
          <w:p w14:paraId="6B95610F" w14:textId="77777777" w:rsidR="005767BC" w:rsidRPr="00456361" w:rsidRDefault="005767BC" w:rsidP="00B539FA">
            <w:pPr>
              <w:pStyle w:val="Tabletext"/>
            </w:pPr>
          </w:p>
          <w:p w14:paraId="5CB96EA3" w14:textId="77777777" w:rsidR="005767BC" w:rsidRPr="00456361" w:rsidRDefault="005767BC" w:rsidP="00B539FA">
            <w:pPr>
              <w:pStyle w:val="Tabletext"/>
            </w:pPr>
            <w:r w:rsidRPr="00456361">
              <w:t>Percentage of issues identified actioned arising from:</w:t>
            </w:r>
          </w:p>
          <w:p w14:paraId="50D65C86" w14:textId="77777777" w:rsidR="005767BC" w:rsidRPr="00456361" w:rsidRDefault="005767BC" w:rsidP="002D3822">
            <w:pPr>
              <w:pStyle w:val="Tabletext"/>
              <w:numPr>
                <w:ilvl w:val="0"/>
                <w:numId w:val="41"/>
              </w:numPr>
            </w:pPr>
            <w:r w:rsidRPr="00456361">
              <w:t>Internal audits</w:t>
            </w:r>
          </w:p>
          <w:p w14:paraId="4AA85D71" w14:textId="261C33A3" w:rsidR="005767BC" w:rsidRDefault="005767BC" w:rsidP="00B539FA">
            <w:pPr>
              <w:pStyle w:val="Tabletext"/>
            </w:pPr>
          </w:p>
          <w:p w14:paraId="687BDDB7" w14:textId="77777777" w:rsidR="003278E8" w:rsidRPr="00456361" w:rsidRDefault="003278E8" w:rsidP="00B539FA">
            <w:pPr>
              <w:pStyle w:val="Tabletext"/>
            </w:pPr>
          </w:p>
          <w:p w14:paraId="38158CF2" w14:textId="77777777" w:rsidR="005767BC" w:rsidRPr="00456361" w:rsidRDefault="005767BC" w:rsidP="002D3822">
            <w:pPr>
              <w:pStyle w:val="Tabletext"/>
              <w:numPr>
                <w:ilvl w:val="0"/>
                <w:numId w:val="41"/>
              </w:numPr>
            </w:pPr>
            <w:r w:rsidRPr="00456361">
              <w:t xml:space="preserve">HSR Provisional Improvement Notices (PINS) and </w:t>
            </w:r>
          </w:p>
          <w:p w14:paraId="2DCCF209" w14:textId="77777777" w:rsidR="005767BC" w:rsidRPr="00456361" w:rsidRDefault="005767BC" w:rsidP="002D3822">
            <w:pPr>
              <w:pStyle w:val="Tabletext"/>
              <w:numPr>
                <w:ilvl w:val="0"/>
                <w:numId w:val="41"/>
              </w:numPr>
            </w:pPr>
            <w:r w:rsidRPr="00456361">
              <w:t xml:space="preserve">WorkSafe notices </w:t>
            </w:r>
          </w:p>
        </w:tc>
        <w:tc>
          <w:tcPr>
            <w:tcW w:w="1532" w:type="dxa"/>
            <w:tcBorders>
              <w:bottom w:val="single" w:sz="4" w:space="0" w:color="auto"/>
            </w:tcBorders>
          </w:tcPr>
          <w:p w14:paraId="2A6E201B" w14:textId="77777777" w:rsidR="005767BC" w:rsidRPr="00456361" w:rsidRDefault="005767BC" w:rsidP="00B539FA">
            <w:pPr>
              <w:pStyle w:val="Tabletext"/>
              <w:jc w:val="right"/>
            </w:pPr>
            <w:r w:rsidRPr="00456361">
              <w:t>100%</w:t>
            </w:r>
          </w:p>
          <w:p w14:paraId="5DD287AB" w14:textId="77777777" w:rsidR="005767BC" w:rsidRPr="00456361" w:rsidRDefault="005767BC" w:rsidP="00B539FA">
            <w:pPr>
              <w:pStyle w:val="Tabletext"/>
              <w:jc w:val="right"/>
            </w:pPr>
          </w:p>
          <w:p w14:paraId="70AB9F7B" w14:textId="77777777" w:rsidR="005767BC" w:rsidRPr="00456361" w:rsidRDefault="005767BC" w:rsidP="00B539FA">
            <w:pPr>
              <w:pStyle w:val="Tabletext"/>
              <w:jc w:val="right"/>
            </w:pPr>
          </w:p>
          <w:p w14:paraId="390D2700" w14:textId="77777777" w:rsidR="003278E8" w:rsidRDefault="003278E8" w:rsidP="00B539FA">
            <w:pPr>
              <w:pStyle w:val="Tabletext"/>
              <w:jc w:val="right"/>
            </w:pPr>
          </w:p>
          <w:p w14:paraId="489E0B6F" w14:textId="77777777" w:rsidR="003278E8" w:rsidRDefault="003278E8" w:rsidP="00B539FA">
            <w:pPr>
              <w:pStyle w:val="Tabletext"/>
              <w:jc w:val="right"/>
            </w:pPr>
          </w:p>
          <w:p w14:paraId="03123543" w14:textId="77777777" w:rsidR="005767BC" w:rsidRPr="00456361" w:rsidRDefault="005767BC" w:rsidP="00B539FA">
            <w:pPr>
              <w:pStyle w:val="Tabletext"/>
              <w:jc w:val="right"/>
            </w:pPr>
            <w:r w:rsidRPr="00456361">
              <w:t>Action plans developed</w:t>
            </w:r>
          </w:p>
          <w:p w14:paraId="6C91FD51" w14:textId="77777777" w:rsidR="005767BC" w:rsidRPr="00456361" w:rsidRDefault="005767BC" w:rsidP="00B539FA">
            <w:pPr>
              <w:pStyle w:val="Tabletext"/>
              <w:jc w:val="right"/>
            </w:pPr>
          </w:p>
          <w:p w14:paraId="37AFEC30" w14:textId="2EFD8872" w:rsidR="005767BC" w:rsidRPr="00456361" w:rsidRDefault="003278E8" w:rsidP="00B539FA">
            <w:pPr>
              <w:pStyle w:val="Tabletext"/>
              <w:jc w:val="right"/>
            </w:pPr>
            <w:r w:rsidRPr="00456361">
              <w:t>100%</w:t>
            </w:r>
          </w:p>
          <w:p w14:paraId="7304BD3C" w14:textId="3CF29ABF" w:rsidR="005767BC" w:rsidRPr="00456361" w:rsidRDefault="005767BC" w:rsidP="00B539FA">
            <w:pPr>
              <w:pStyle w:val="Tabletext"/>
              <w:jc w:val="right"/>
            </w:pPr>
          </w:p>
          <w:p w14:paraId="17DC91CC" w14:textId="77777777" w:rsidR="005767BC" w:rsidRPr="00456361" w:rsidRDefault="005767BC" w:rsidP="00B539FA">
            <w:pPr>
              <w:pStyle w:val="Tabletext"/>
              <w:jc w:val="right"/>
            </w:pPr>
            <w:r w:rsidRPr="00456361">
              <w:t>100%</w:t>
            </w:r>
          </w:p>
        </w:tc>
        <w:tc>
          <w:tcPr>
            <w:tcW w:w="1344" w:type="dxa"/>
            <w:tcBorders>
              <w:bottom w:val="single" w:sz="4" w:space="0" w:color="auto"/>
            </w:tcBorders>
          </w:tcPr>
          <w:p w14:paraId="03D20146" w14:textId="77777777" w:rsidR="005767BC" w:rsidRPr="00456361" w:rsidRDefault="005767BC" w:rsidP="00B539FA">
            <w:pPr>
              <w:pStyle w:val="Tabletext"/>
              <w:jc w:val="right"/>
            </w:pPr>
            <w:r w:rsidRPr="00456361">
              <w:t>100%</w:t>
            </w:r>
          </w:p>
          <w:p w14:paraId="2A879CD1" w14:textId="77777777" w:rsidR="005767BC" w:rsidRPr="00456361" w:rsidRDefault="005767BC" w:rsidP="00B539FA">
            <w:pPr>
              <w:pStyle w:val="Tabletext"/>
              <w:jc w:val="right"/>
            </w:pPr>
          </w:p>
          <w:p w14:paraId="2F97D538" w14:textId="77777777" w:rsidR="005767BC" w:rsidRPr="00456361" w:rsidRDefault="005767BC" w:rsidP="00B539FA">
            <w:pPr>
              <w:pStyle w:val="Tabletext"/>
              <w:jc w:val="right"/>
            </w:pPr>
          </w:p>
          <w:p w14:paraId="72297265" w14:textId="77777777" w:rsidR="003278E8" w:rsidRDefault="003278E8" w:rsidP="00B539FA">
            <w:pPr>
              <w:pStyle w:val="Tabletext"/>
              <w:jc w:val="right"/>
            </w:pPr>
          </w:p>
          <w:p w14:paraId="3B167B10" w14:textId="77777777" w:rsidR="003278E8" w:rsidRDefault="003278E8" w:rsidP="00B539FA">
            <w:pPr>
              <w:pStyle w:val="Tabletext"/>
              <w:jc w:val="right"/>
            </w:pPr>
          </w:p>
          <w:p w14:paraId="6EDB9045" w14:textId="77777777" w:rsidR="005767BC" w:rsidRPr="00456361" w:rsidRDefault="005767BC" w:rsidP="00B539FA">
            <w:pPr>
              <w:pStyle w:val="Tabletext"/>
              <w:jc w:val="right"/>
            </w:pPr>
            <w:r w:rsidRPr="00456361">
              <w:t xml:space="preserve">Action plans developed </w:t>
            </w:r>
          </w:p>
          <w:p w14:paraId="783A997B" w14:textId="77777777" w:rsidR="005767BC" w:rsidRPr="00456361" w:rsidRDefault="005767BC" w:rsidP="00B539FA">
            <w:pPr>
              <w:pStyle w:val="Tabletext"/>
              <w:jc w:val="right"/>
            </w:pPr>
          </w:p>
          <w:p w14:paraId="7B1EEB9B" w14:textId="4973DAB3" w:rsidR="005767BC" w:rsidRPr="00456361" w:rsidRDefault="003278E8" w:rsidP="00B539FA">
            <w:pPr>
              <w:pStyle w:val="Tabletext"/>
              <w:jc w:val="right"/>
            </w:pPr>
            <w:r w:rsidRPr="00456361">
              <w:t>0</w:t>
            </w:r>
          </w:p>
          <w:p w14:paraId="6C41971C" w14:textId="42276335" w:rsidR="005767BC" w:rsidRPr="00456361" w:rsidRDefault="005767BC" w:rsidP="00B539FA">
            <w:pPr>
              <w:pStyle w:val="Tabletext"/>
              <w:jc w:val="right"/>
            </w:pPr>
          </w:p>
          <w:p w14:paraId="2B4F0C7A" w14:textId="77777777" w:rsidR="005767BC" w:rsidRPr="00456361" w:rsidRDefault="005767BC" w:rsidP="00B539FA">
            <w:pPr>
              <w:pStyle w:val="Tabletext"/>
              <w:jc w:val="right"/>
            </w:pPr>
            <w:r w:rsidRPr="00456361">
              <w:t>0</w:t>
            </w:r>
          </w:p>
          <w:p w14:paraId="129E6F2D" w14:textId="77777777" w:rsidR="005767BC" w:rsidRPr="00456361" w:rsidRDefault="005767BC" w:rsidP="00B539FA">
            <w:pPr>
              <w:pStyle w:val="Tabletext"/>
              <w:jc w:val="right"/>
            </w:pPr>
          </w:p>
        </w:tc>
        <w:tc>
          <w:tcPr>
            <w:tcW w:w="755" w:type="dxa"/>
            <w:tcBorders>
              <w:bottom w:val="single" w:sz="4" w:space="0" w:color="auto"/>
            </w:tcBorders>
          </w:tcPr>
          <w:p w14:paraId="631BD66E" w14:textId="77777777" w:rsidR="005767BC" w:rsidRPr="00456361" w:rsidRDefault="005767BC" w:rsidP="00B539FA">
            <w:pPr>
              <w:pStyle w:val="Tabletext"/>
              <w:jc w:val="center"/>
            </w:pPr>
          </w:p>
          <w:p w14:paraId="3DFE25EF" w14:textId="77777777" w:rsidR="005767BC" w:rsidRPr="00456361" w:rsidRDefault="005767BC" w:rsidP="00B539FA">
            <w:pPr>
              <w:pStyle w:val="Tabletext"/>
              <w:jc w:val="center"/>
            </w:pPr>
          </w:p>
          <w:p w14:paraId="5A0211D9" w14:textId="77777777" w:rsidR="005767BC" w:rsidRPr="00456361" w:rsidRDefault="005767BC" w:rsidP="00B539FA">
            <w:pPr>
              <w:pStyle w:val="Tabletext"/>
              <w:jc w:val="center"/>
            </w:pPr>
          </w:p>
          <w:p w14:paraId="1C738B60" w14:textId="77777777" w:rsidR="005767BC" w:rsidRPr="00456361" w:rsidRDefault="005767BC" w:rsidP="00B539FA">
            <w:pPr>
              <w:pStyle w:val="Tabletext"/>
              <w:jc w:val="center"/>
            </w:pPr>
          </w:p>
          <w:p w14:paraId="17B697AD" w14:textId="77777777" w:rsidR="005767BC" w:rsidRPr="00456361" w:rsidRDefault="005767BC" w:rsidP="00B539FA">
            <w:pPr>
              <w:pStyle w:val="Tabletext"/>
              <w:jc w:val="center"/>
            </w:pPr>
          </w:p>
          <w:p w14:paraId="52E58B5B" w14:textId="77777777" w:rsidR="005767BC" w:rsidRPr="00456361" w:rsidRDefault="005767BC" w:rsidP="00B539FA">
            <w:pPr>
              <w:pStyle w:val="Tabletext"/>
              <w:jc w:val="center"/>
            </w:pPr>
          </w:p>
          <w:p w14:paraId="4B201526" w14:textId="77777777" w:rsidR="005767BC" w:rsidRPr="00456361" w:rsidRDefault="005767BC" w:rsidP="00B539FA">
            <w:pPr>
              <w:pStyle w:val="Tabletext"/>
              <w:jc w:val="center"/>
            </w:pPr>
          </w:p>
          <w:p w14:paraId="28D82CA5" w14:textId="77777777" w:rsidR="005767BC" w:rsidRPr="00456361" w:rsidRDefault="005767BC" w:rsidP="00B539FA">
            <w:pPr>
              <w:pStyle w:val="Tabletext"/>
              <w:jc w:val="center"/>
            </w:pPr>
          </w:p>
          <w:p w14:paraId="0835879E" w14:textId="77777777" w:rsidR="005767BC" w:rsidRPr="00456361" w:rsidRDefault="005767BC" w:rsidP="00B539FA">
            <w:pPr>
              <w:pStyle w:val="Tabletext"/>
              <w:jc w:val="center"/>
            </w:pPr>
            <w:r w:rsidRPr="00456361">
              <w:t>3</w:t>
            </w:r>
          </w:p>
        </w:tc>
      </w:tr>
      <w:tr w:rsidR="005767BC" w:rsidRPr="00456361" w14:paraId="6F9AADEC" w14:textId="77777777" w:rsidTr="00B539FA">
        <w:tc>
          <w:tcPr>
            <w:tcW w:w="1771" w:type="dxa"/>
            <w:vMerge w:val="restart"/>
          </w:tcPr>
          <w:p w14:paraId="0D4602D4" w14:textId="77777777" w:rsidR="005767BC" w:rsidRPr="00456361" w:rsidRDefault="005767BC" w:rsidP="00B539FA">
            <w:pPr>
              <w:pStyle w:val="Tabletext"/>
            </w:pPr>
            <w:r w:rsidRPr="00456361">
              <w:t xml:space="preserve">Training </w:t>
            </w:r>
          </w:p>
        </w:tc>
        <w:tc>
          <w:tcPr>
            <w:tcW w:w="4350" w:type="dxa"/>
            <w:vMerge w:val="restart"/>
            <w:tcBorders>
              <w:right w:val="single" w:sz="4" w:space="0" w:color="auto"/>
            </w:tcBorders>
          </w:tcPr>
          <w:p w14:paraId="51E72467" w14:textId="7C15CF94" w:rsidR="005767BC" w:rsidRPr="00456361" w:rsidRDefault="005767BC" w:rsidP="00B539FA">
            <w:pPr>
              <w:pStyle w:val="Tabletext"/>
            </w:pPr>
            <w:r w:rsidRPr="00456361">
              <w:t>Percentage of managers and employees that have received OH&amp;S training</w:t>
            </w:r>
            <w:r w:rsidR="003278E8">
              <w:t>:</w:t>
            </w:r>
          </w:p>
          <w:p w14:paraId="2B6C75C3" w14:textId="77777777" w:rsidR="005767BC" w:rsidRPr="00456361" w:rsidRDefault="005767BC" w:rsidP="002D3822">
            <w:pPr>
              <w:pStyle w:val="Tabletext"/>
              <w:numPr>
                <w:ilvl w:val="0"/>
                <w:numId w:val="42"/>
              </w:numPr>
            </w:pPr>
            <w:r w:rsidRPr="00456361">
              <w:t xml:space="preserve">Induction </w:t>
            </w:r>
          </w:p>
          <w:p w14:paraId="7AEE745B" w14:textId="77777777" w:rsidR="005767BC" w:rsidRPr="00456361" w:rsidRDefault="005767BC" w:rsidP="002D3822">
            <w:pPr>
              <w:pStyle w:val="Tabletext"/>
              <w:numPr>
                <w:ilvl w:val="0"/>
                <w:numId w:val="42"/>
              </w:numPr>
            </w:pPr>
            <w:r w:rsidRPr="00456361">
              <w:t xml:space="preserve">Management training </w:t>
            </w:r>
          </w:p>
          <w:p w14:paraId="28F2C1F1" w14:textId="77777777" w:rsidR="005767BC" w:rsidRPr="00456361" w:rsidRDefault="005767BC" w:rsidP="002D3822">
            <w:pPr>
              <w:pStyle w:val="Tabletext"/>
              <w:numPr>
                <w:ilvl w:val="0"/>
                <w:numId w:val="42"/>
              </w:numPr>
            </w:pPr>
            <w:r w:rsidRPr="00456361">
              <w:t xml:space="preserve">Contractors, temporary employees and visitors </w:t>
            </w:r>
          </w:p>
        </w:tc>
        <w:tc>
          <w:tcPr>
            <w:tcW w:w="1532" w:type="dxa"/>
            <w:vMerge w:val="restart"/>
            <w:tcBorders>
              <w:top w:val="single" w:sz="4" w:space="0" w:color="auto"/>
              <w:left w:val="single" w:sz="4" w:space="0" w:color="auto"/>
              <w:right w:val="single" w:sz="4" w:space="0" w:color="auto"/>
            </w:tcBorders>
          </w:tcPr>
          <w:p w14:paraId="04071033" w14:textId="77777777" w:rsidR="005767BC" w:rsidRPr="00456361" w:rsidRDefault="005767BC" w:rsidP="00B539FA">
            <w:pPr>
              <w:pStyle w:val="Tabletext"/>
              <w:jc w:val="right"/>
            </w:pPr>
          </w:p>
          <w:p w14:paraId="1E05193F" w14:textId="77777777" w:rsidR="005767BC" w:rsidRPr="00456361" w:rsidRDefault="005767BC" w:rsidP="00B539FA">
            <w:pPr>
              <w:pStyle w:val="Tabletext"/>
              <w:jc w:val="right"/>
            </w:pPr>
          </w:p>
          <w:p w14:paraId="44A63983" w14:textId="77777777" w:rsidR="005767BC" w:rsidRPr="00456361" w:rsidRDefault="005767BC" w:rsidP="00B539FA">
            <w:pPr>
              <w:pStyle w:val="Tabletext"/>
              <w:jc w:val="right"/>
            </w:pPr>
            <w:r w:rsidRPr="00456361">
              <w:t>100%</w:t>
            </w:r>
          </w:p>
          <w:p w14:paraId="37F93633" w14:textId="77777777" w:rsidR="005767BC" w:rsidRPr="00456361" w:rsidRDefault="005767BC" w:rsidP="00B539FA">
            <w:pPr>
              <w:pStyle w:val="Tabletext"/>
              <w:jc w:val="right"/>
            </w:pPr>
            <w:r w:rsidRPr="00456361">
              <w:t>25%</w:t>
            </w:r>
          </w:p>
          <w:p w14:paraId="6EA113AC" w14:textId="77777777" w:rsidR="005767BC" w:rsidRPr="00456361" w:rsidRDefault="005767BC" w:rsidP="00B539FA">
            <w:pPr>
              <w:pStyle w:val="Tabletext"/>
              <w:jc w:val="right"/>
            </w:pPr>
            <w:r w:rsidRPr="00456361">
              <w:t>In development</w:t>
            </w:r>
          </w:p>
        </w:tc>
        <w:tc>
          <w:tcPr>
            <w:tcW w:w="1344" w:type="dxa"/>
            <w:vMerge w:val="restart"/>
            <w:tcBorders>
              <w:top w:val="single" w:sz="4" w:space="0" w:color="auto"/>
              <w:left w:val="single" w:sz="4" w:space="0" w:color="auto"/>
              <w:right w:val="single" w:sz="4" w:space="0" w:color="auto"/>
            </w:tcBorders>
          </w:tcPr>
          <w:p w14:paraId="347CA2D3" w14:textId="77777777" w:rsidR="005767BC" w:rsidRPr="00456361" w:rsidRDefault="005767BC" w:rsidP="00B539FA">
            <w:pPr>
              <w:pStyle w:val="Tabletext"/>
              <w:jc w:val="right"/>
            </w:pPr>
          </w:p>
          <w:p w14:paraId="2C7F3D83" w14:textId="77777777" w:rsidR="005767BC" w:rsidRPr="00456361" w:rsidRDefault="005767BC" w:rsidP="00B539FA">
            <w:pPr>
              <w:pStyle w:val="Tabletext"/>
              <w:jc w:val="right"/>
            </w:pPr>
          </w:p>
          <w:p w14:paraId="2867A1A9" w14:textId="77777777" w:rsidR="005767BC" w:rsidRPr="00456361" w:rsidRDefault="005767BC" w:rsidP="00B539FA">
            <w:pPr>
              <w:pStyle w:val="Tabletext"/>
              <w:jc w:val="right"/>
            </w:pPr>
            <w:r w:rsidRPr="00456361">
              <w:t>100%</w:t>
            </w:r>
          </w:p>
          <w:p w14:paraId="2AB1866B" w14:textId="77777777" w:rsidR="005767BC" w:rsidRPr="00456361" w:rsidRDefault="005767BC" w:rsidP="00B539FA">
            <w:pPr>
              <w:pStyle w:val="Tabletext"/>
              <w:jc w:val="right"/>
            </w:pPr>
            <w:r w:rsidRPr="00456361">
              <w:t xml:space="preserve">  60%</w:t>
            </w:r>
          </w:p>
          <w:p w14:paraId="777E8F49" w14:textId="77777777" w:rsidR="005767BC" w:rsidRPr="00456361" w:rsidRDefault="005767BC" w:rsidP="00B539FA">
            <w:pPr>
              <w:pStyle w:val="Tabletext"/>
              <w:jc w:val="right"/>
            </w:pPr>
            <w:r w:rsidRPr="00456361">
              <w:t>25%</w:t>
            </w:r>
          </w:p>
        </w:tc>
        <w:tc>
          <w:tcPr>
            <w:tcW w:w="755" w:type="dxa"/>
            <w:tcBorders>
              <w:top w:val="single" w:sz="4" w:space="0" w:color="auto"/>
              <w:left w:val="single" w:sz="4" w:space="0" w:color="auto"/>
              <w:bottom w:val="nil"/>
            </w:tcBorders>
          </w:tcPr>
          <w:p w14:paraId="4D4BCA3F" w14:textId="77777777" w:rsidR="005767BC" w:rsidRPr="00456361" w:rsidRDefault="005767BC" w:rsidP="00B539FA">
            <w:pPr>
              <w:pStyle w:val="Tabletext"/>
              <w:jc w:val="center"/>
            </w:pPr>
          </w:p>
        </w:tc>
      </w:tr>
      <w:tr w:rsidR="005767BC" w:rsidRPr="00C73B1D" w14:paraId="7174B79E" w14:textId="77777777" w:rsidTr="00B539FA">
        <w:tc>
          <w:tcPr>
            <w:tcW w:w="1771" w:type="dxa"/>
            <w:vMerge/>
          </w:tcPr>
          <w:p w14:paraId="1C0F2B2D" w14:textId="77777777" w:rsidR="005767BC" w:rsidRPr="00FD2484" w:rsidRDefault="005767BC" w:rsidP="00B539FA">
            <w:pPr>
              <w:pStyle w:val="Tabletext"/>
            </w:pPr>
          </w:p>
        </w:tc>
        <w:tc>
          <w:tcPr>
            <w:tcW w:w="4350" w:type="dxa"/>
            <w:vMerge/>
            <w:tcBorders>
              <w:right w:val="single" w:sz="4" w:space="0" w:color="auto"/>
            </w:tcBorders>
          </w:tcPr>
          <w:p w14:paraId="0CF81B51" w14:textId="77777777" w:rsidR="005767BC" w:rsidRPr="00FD2484" w:rsidRDefault="005767BC" w:rsidP="00B539FA">
            <w:pPr>
              <w:pStyle w:val="Tabletext"/>
            </w:pPr>
          </w:p>
        </w:tc>
        <w:tc>
          <w:tcPr>
            <w:tcW w:w="1532" w:type="dxa"/>
            <w:vMerge/>
            <w:tcBorders>
              <w:left w:val="single" w:sz="4" w:space="0" w:color="auto"/>
              <w:right w:val="single" w:sz="4" w:space="0" w:color="auto"/>
            </w:tcBorders>
          </w:tcPr>
          <w:p w14:paraId="253CAE38" w14:textId="77777777" w:rsidR="005767BC" w:rsidRPr="00FD2484" w:rsidRDefault="005767BC" w:rsidP="00B539FA">
            <w:pPr>
              <w:pStyle w:val="Tabletext"/>
              <w:jc w:val="right"/>
            </w:pPr>
          </w:p>
        </w:tc>
        <w:tc>
          <w:tcPr>
            <w:tcW w:w="1344" w:type="dxa"/>
            <w:vMerge/>
            <w:tcBorders>
              <w:left w:val="single" w:sz="4" w:space="0" w:color="auto"/>
              <w:right w:val="single" w:sz="4" w:space="0" w:color="auto"/>
            </w:tcBorders>
          </w:tcPr>
          <w:p w14:paraId="23F4723D" w14:textId="77777777" w:rsidR="005767BC" w:rsidRPr="00FD2484" w:rsidRDefault="005767BC" w:rsidP="00B539FA">
            <w:pPr>
              <w:pStyle w:val="Tabletext"/>
              <w:jc w:val="right"/>
            </w:pPr>
          </w:p>
        </w:tc>
        <w:tc>
          <w:tcPr>
            <w:tcW w:w="755" w:type="dxa"/>
            <w:tcBorders>
              <w:top w:val="nil"/>
              <w:left w:val="single" w:sz="4" w:space="0" w:color="auto"/>
              <w:bottom w:val="nil"/>
            </w:tcBorders>
          </w:tcPr>
          <w:p w14:paraId="73CF441B" w14:textId="77777777" w:rsidR="005767BC" w:rsidRPr="00FD2484" w:rsidRDefault="005767BC" w:rsidP="00B539FA">
            <w:pPr>
              <w:pStyle w:val="Tabletext"/>
              <w:jc w:val="center"/>
            </w:pPr>
          </w:p>
        </w:tc>
      </w:tr>
      <w:tr w:rsidR="005767BC" w:rsidRPr="00C73B1D" w14:paraId="37BE4184" w14:textId="77777777" w:rsidTr="00B539FA">
        <w:tc>
          <w:tcPr>
            <w:tcW w:w="1771" w:type="dxa"/>
            <w:vMerge/>
          </w:tcPr>
          <w:p w14:paraId="25B51353" w14:textId="77777777" w:rsidR="005767BC" w:rsidRPr="00FD2484" w:rsidRDefault="005767BC" w:rsidP="00B539FA">
            <w:pPr>
              <w:pStyle w:val="Tabletext"/>
            </w:pPr>
          </w:p>
        </w:tc>
        <w:tc>
          <w:tcPr>
            <w:tcW w:w="4350" w:type="dxa"/>
            <w:vMerge/>
            <w:tcBorders>
              <w:right w:val="single" w:sz="4" w:space="0" w:color="auto"/>
            </w:tcBorders>
          </w:tcPr>
          <w:p w14:paraId="2EB3126C" w14:textId="77777777" w:rsidR="005767BC" w:rsidRPr="00FD2484" w:rsidRDefault="005767BC" w:rsidP="00B539FA">
            <w:pPr>
              <w:pStyle w:val="Tabletext"/>
            </w:pPr>
          </w:p>
        </w:tc>
        <w:tc>
          <w:tcPr>
            <w:tcW w:w="1532" w:type="dxa"/>
            <w:vMerge/>
            <w:tcBorders>
              <w:left w:val="single" w:sz="4" w:space="0" w:color="auto"/>
              <w:right w:val="single" w:sz="4" w:space="0" w:color="auto"/>
            </w:tcBorders>
          </w:tcPr>
          <w:p w14:paraId="26D686B6" w14:textId="77777777" w:rsidR="005767BC" w:rsidRPr="00FD2484" w:rsidRDefault="005767BC" w:rsidP="00B539FA">
            <w:pPr>
              <w:pStyle w:val="Tabletext"/>
              <w:jc w:val="right"/>
            </w:pPr>
          </w:p>
        </w:tc>
        <w:tc>
          <w:tcPr>
            <w:tcW w:w="1344" w:type="dxa"/>
            <w:vMerge/>
            <w:tcBorders>
              <w:left w:val="single" w:sz="4" w:space="0" w:color="auto"/>
              <w:right w:val="single" w:sz="4" w:space="0" w:color="auto"/>
            </w:tcBorders>
          </w:tcPr>
          <w:p w14:paraId="0EFAC6EB" w14:textId="77777777" w:rsidR="005767BC" w:rsidRPr="00FD2484" w:rsidRDefault="005767BC" w:rsidP="00B539FA">
            <w:pPr>
              <w:pStyle w:val="Tabletext"/>
              <w:jc w:val="right"/>
            </w:pPr>
          </w:p>
        </w:tc>
        <w:tc>
          <w:tcPr>
            <w:tcW w:w="755" w:type="dxa"/>
            <w:tcBorders>
              <w:top w:val="nil"/>
              <w:left w:val="single" w:sz="4" w:space="0" w:color="auto"/>
              <w:bottom w:val="nil"/>
            </w:tcBorders>
          </w:tcPr>
          <w:p w14:paraId="45ADCDD5" w14:textId="77777777" w:rsidR="005767BC" w:rsidRPr="00FD2484" w:rsidRDefault="005767BC" w:rsidP="00B539FA">
            <w:pPr>
              <w:pStyle w:val="Tabletext"/>
              <w:jc w:val="center"/>
            </w:pPr>
          </w:p>
        </w:tc>
      </w:tr>
      <w:tr w:rsidR="005767BC" w:rsidRPr="00C73B1D" w14:paraId="4A9DA2A9" w14:textId="77777777" w:rsidTr="00B539FA">
        <w:tc>
          <w:tcPr>
            <w:tcW w:w="1771" w:type="dxa"/>
            <w:vMerge/>
          </w:tcPr>
          <w:p w14:paraId="18E43654" w14:textId="77777777" w:rsidR="005767BC" w:rsidRPr="00FD2484" w:rsidRDefault="005767BC" w:rsidP="00B539FA">
            <w:pPr>
              <w:pStyle w:val="Tabletext"/>
            </w:pPr>
          </w:p>
        </w:tc>
        <w:tc>
          <w:tcPr>
            <w:tcW w:w="4350" w:type="dxa"/>
            <w:vMerge/>
            <w:tcBorders>
              <w:right w:val="single" w:sz="4" w:space="0" w:color="auto"/>
            </w:tcBorders>
          </w:tcPr>
          <w:p w14:paraId="0604F209" w14:textId="77777777" w:rsidR="005767BC" w:rsidRPr="00FD2484" w:rsidRDefault="005767BC" w:rsidP="00B539FA">
            <w:pPr>
              <w:pStyle w:val="Tabletext"/>
            </w:pPr>
          </w:p>
        </w:tc>
        <w:tc>
          <w:tcPr>
            <w:tcW w:w="1532" w:type="dxa"/>
            <w:vMerge/>
            <w:tcBorders>
              <w:left w:val="single" w:sz="4" w:space="0" w:color="auto"/>
              <w:bottom w:val="single" w:sz="4" w:space="0" w:color="auto"/>
              <w:right w:val="single" w:sz="4" w:space="0" w:color="auto"/>
            </w:tcBorders>
          </w:tcPr>
          <w:p w14:paraId="06C5FB9F" w14:textId="77777777" w:rsidR="005767BC" w:rsidRPr="00FD2484" w:rsidRDefault="005767BC" w:rsidP="00B539FA">
            <w:pPr>
              <w:pStyle w:val="Tabletext"/>
              <w:jc w:val="right"/>
            </w:pPr>
          </w:p>
        </w:tc>
        <w:tc>
          <w:tcPr>
            <w:tcW w:w="1344" w:type="dxa"/>
            <w:vMerge/>
            <w:tcBorders>
              <w:left w:val="single" w:sz="4" w:space="0" w:color="auto"/>
              <w:bottom w:val="single" w:sz="4" w:space="0" w:color="auto"/>
              <w:right w:val="single" w:sz="4" w:space="0" w:color="auto"/>
            </w:tcBorders>
          </w:tcPr>
          <w:p w14:paraId="7452A6A6" w14:textId="77777777" w:rsidR="005767BC" w:rsidRPr="00FD2484" w:rsidRDefault="005767BC" w:rsidP="00B539FA">
            <w:pPr>
              <w:pStyle w:val="Tabletext"/>
              <w:jc w:val="right"/>
            </w:pPr>
          </w:p>
        </w:tc>
        <w:tc>
          <w:tcPr>
            <w:tcW w:w="755" w:type="dxa"/>
            <w:tcBorders>
              <w:top w:val="nil"/>
              <w:left w:val="single" w:sz="4" w:space="0" w:color="auto"/>
              <w:bottom w:val="single" w:sz="4" w:space="0" w:color="auto"/>
            </w:tcBorders>
          </w:tcPr>
          <w:p w14:paraId="21D02EBC" w14:textId="77777777" w:rsidR="005767BC" w:rsidRPr="00FD2484" w:rsidRDefault="005767BC" w:rsidP="00B539FA">
            <w:pPr>
              <w:pStyle w:val="Tabletext"/>
              <w:jc w:val="center"/>
            </w:pPr>
            <w:r w:rsidRPr="00FD2484">
              <w:t>4</w:t>
            </w:r>
          </w:p>
        </w:tc>
      </w:tr>
      <w:tr w:rsidR="005767BC" w:rsidRPr="00C73B1D" w14:paraId="5572CC3F" w14:textId="77777777" w:rsidTr="00B539FA">
        <w:trPr>
          <w:trHeight w:val="1118"/>
        </w:trPr>
        <w:tc>
          <w:tcPr>
            <w:tcW w:w="1771" w:type="dxa"/>
            <w:vMerge/>
          </w:tcPr>
          <w:p w14:paraId="1C76085C" w14:textId="77777777" w:rsidR="005767BC" w:rsidRPr="00FD2484" w:rsidRDefault="005767BC" w:rsidP="00B539FA">
            <w:pPr>
              <w:pStyle w:val="Tabletext"/>
            </w:pPr>
          </w:p>
        </w:tc>
        <w:tc>
          <w:tcPr>
            <w:tcW w:w="4350" w:type="dxa"/>
          </w:tcPr>
          <w:p w14:paraId="772B7887" w14:textId="6BC94D1C" w:rsidR="005767BC" w:rsidRPr="00FD2484" w:rsidRDefault="005767BC" w:rsidP="00B539FA">
            <w:pPr>
              <w:pStyle w:val="Tabletext"/>
            </w:pPr>
            <w:r w:rsidRPr="00FD2484">
              <w:t>Percentage of HSRs trained</w:t>
            </w:r>
            <w:r w:rsidR="003278E8">
              <w:t>:</w:t>
            </w:r>
          </w:p>
          <w:p w14:paraId="59BBBB58" w14:textId="77777777" w:rsidR="005767BC" w:rsidRPr="00FD2484" w:rsidRDefault="005767BC" w:rsidP="002D3822">
            <w:pPr>
              <w:pStyle w:val="Tabletext"/>
              <w:numPr>
                <w:ilvl w:val="0"/>
                <w:numId w:val="43"/>
              </w:numPr>
            </w:pPr>
            <w:r w:rsidRPr="00FD2484">
              <w:t xml:space="preserve">Acceptance of role </w:t>
            </w:r>
          </w:p>
          <w:p w14:paraId="120EF2D1" w14:textId="77777777" w:rsidR="005767BC" w:rsidRPr="00FD2484" w:rsidRDefault="005767BC" w:rsidP="002D3822">
            <w:pPr>
              <w:pStyle w:val="Tabletext"/>
              <w:numPr>
                <w:ilvl w:val="0"/>
                <w:numId w:val="43"/>
              </w:numPr>
            </w:pPr>
            <w:r w:rsidRPr="00FD2484">
              <w:t xml:space="preserve">Refresher training </w:t>
            </w:r>
          </w:p>
          <w:p w14:paraId="6285F937" w14:textId="77777777" w:rsidR="005767BC" w:rsidRPr="00FD2484" w:rsidRDefault="005767BC" w:rsidP="002D3822">
            <w:pPr>
              <w:pStyle w:val="Tabletext"/>
              <w:numPr>
                <w:ilvl w:val="0"/>
                <w:numId w:val="43"/>
              </w:numPr>
            </w:pPr>
            <w:r w:rsidRPr="00FD2484">
              <w:t xml:space="preserve">Reporting of incidents and injuries </w:t>
            </w:r>
          </w:p>
        </w:tc>
        <w:tc>
          <w:tcPr>
            <w:tcW w:w="1532" w:type="dxa"/>
            <w:tcBorders>
              <w:top w:val="single" w:sz="4" w:space="0" w:color="auto"/>
            </w:tcBorders>
          </w:tcPr>
          <w:p w14:paraId="48B6A326" w14:textId="77777777" w:rsidR="005767BC" w:rsidRPr="00FD2484" w:rsidRDefault="005767BC" w:rsidP="00B539FA">
            <w:pPr>
              <w:pStyle w:val="Tabletext"/>
              <w:jc w:val="right"/>
            </w:pPr>
          </w:p>
          <w:p w14:paraId="219DBF6D" w14:textId="77777777" w:rsidR="005767BC" w:rsidRPr="00FD2484" w:rsidRDefault="005767BC" w:rsidP="00B539FA">
            <w:pPr>
              <w:pStyle w:val="Tabletext"/>
              <w:jc w:val="right"/>
            </w:pPr>
            <w:r w:rsidRPr="00FD2484">
              <w:t>97%</w:t>
            </w:r>
          </w:p>
          <w:p w14:paraId="3BC56B2D" w14:textId="77777777" w:rsidR="005767BC" w:rsidRPr="00FD2484" w:rsidRDefault="005767BC" w:rsidP="00B539FA">
            <w:pPr>
              <w:pStyle w:val="Tabletext"/>
              <w:jc w:val="right"/>
            </w:pPr>
            <w:r w:rsidRPr="00FD2484">
              <w:t>90%</w:t>
            </w:r>
          </w:p>
          <w:p w14:paraId="1FAD6821" w14:textId="77777777" w:rsidR="005767BC" w:rsidRPr="00FD2484" w:rsidRDefault="005767BC" w:rsidP="00B539FA">
            <w:pPr>
              <w:pStyle w:val="Tabletext"/>
              <w:jc w:val="right"/>
            </w:pPr>
            <w:r w:rsidRPr="00FD2484">
              <w:t>100%</w:t>
            </w:r>
          </w:p>
        </w:tc>
        <w:tc>
          <w:tcPr>
            <w:tcW w:w="1344" w:type="dxa"/>
            <w:tcBorders>
              <w:top w:val="single" w:sz="4" w:space="0" w:color="auto"/>
            </w:tcBorders>
          </w:tcPr>
          <w:p w14:paraId="5A80781A" w14:textId="77777777" w:rsidR="005767BC" w:rsidRPr="00FD2484" w:rsidRDefault="005767BC" w:rsidP="00B539FA">
            <w:pPr>
              <w:pStyle w:val="Tabletext"/>
              <w:jc w:val="right"/>
            </w:pPr>
          </w:p>
          <w:p w14:paraId="0D8C6D8B" w14:textId="77777777" w:rsidR="005767BC" w:rsidRPr="00FD2484" w:rsidRDefault="005767BC" w:rsidP="00B539FA">
            <w:pPr>
              <w:pStyle w:val="Tabletext"/>
              <w:jc w:val="right"/>
            </w:pPr>
            <w:r w:rsidRPr="00FD2484">
              <w:t>59%</w:t>
            </w:r>
          </w:p>
          <w:p w14:paraId="5F5316C8" w14:textId="77777777" w:rsidR="005767BC" w:rsidRPr="00FD2484" w:rsidRDefault="005767BC" w:rsidP="00B539FA">
            <w:pPr>
              <w:pStyle w:val="Tabletext"/>
              <w:jc w:val="right"/>
            </w:pPr>
            <w:r w:rsidRPr="00FD2484">
              <w:t>41%</w:t>
            </w:r>
          </w:p>
          <w:p w14:paraId="119DD3B8" w14:textId="77777777" w:rsidR="005767BC" w:rsidRPr="00FD2484" w:rsidRDefault="005767BC" w:rsidP="00B539FA">
            <w:pPr>
              <w:pStyle w:val="Tabletext"/>
              <w:jc w:val="right"/>
            </w:pPr>
            <w:r w:rsidRPr="00FD2484">
              <w:t xml:space="preserve">           100%</w:t>
            </w:r>
          </w:p>
        </w:tc>
        <w:tc>
          <w:tcPr>
            <w:tcW w:w="755" w:type="dxa"/>
            <w:tcBorders>
              <w:top w:val="single" w:sz="4" w:space="0" w:color="auto"/>
            </w:tcBorders>
          </w:tcPr>
          <w:p w14:paraId="6ED0043F" w14:textId="77777777" w:rsidR="005767BC" w:rsidRPr="00FD2484" w:rsidRDefault="005767BC" w:rsidP="00B539FA">
            <w:pPr>
              <w:pStyle w:val="Tabletext"/>
              <w:jc w:val="center"/>
            </w:pPr>
          </w:p>
          <w:p w14:paraId="3D3FCCE3" w14:textId="77777777" w:rsidR="005767BC" w:rsidRPr="00FD2484" w:rsidRDefault="005767BC" w:rsidP="00B539FA">
            <w:pPr>
              <w:pStyle w:val="Tabletext"/>
              <w:jc w:val="center"/>
            </w:pPr>
            <w:r w:rsidRPr="00FD2484">
              <w:t>5</w:t>
            </w:r>
          </w:p>
          <w:p w14:paraId="53A3FECC" w14:textId="77777777" w:rsidR="005767BC" w:rsidRPr="00FD2484" w:rsidRDefault="005767BC" w:rsidP="00B539FA">
            <w:pPr>
              <w:pStyle w:val="Tabletext"/>
              <w:jc w:val="center"/>
            </w:pPr>
            <w:r w:rsidRPr="00FD2484">
              <w:t>5</w:t>
            </w:r>
          </w:p>
        </w:tc>
      </w:tr>
    </w:tbl>
    <w:p w14:paraId="30127B8F" w14:textId="77777777" w:rsidR="005767BC" w:rsidRPr="00C73B1D" w:rsidRDefault="005767BC" w:rsidP="005767BC">
      <w:pPr>
        <w:pStyle w:val="Notesheading"/>
      </w:pPr>
      <w:r w:rsidRPr="00C73B1D">
        <w:t>Notes:</w:t>
      </w:r>
    </w:p>
    <w:p w14:paraId="501ADB4A" w14:textId="77777777" w:rsidR="005767BC" w:rsidRPr="00C73B1D" w:rsidRDefault="005767BC" w:rsidP="005767BC">
      <w:pPr>
        <w:pStyle w:val="Notes"/>
      </w:pPr>
      <w:r w:rsidRPr="00C73B1D">
        <w:t>1.</w:t>
      </w:r>
      <w:r w:rsidRPr="00C73B1D">
        <w:tab/>
        <w:t>Includes employees and court users.</w:t>
      </w:r>
    </w:p>
    <w:p w14:paraId="315B8485" w14:textId="77777777" w:rsidR="005767BC" w:rsidRPr="00C73B1D" w:rsidRDefault="005767BC" w:rsidP="005767BC">
      <w:pPr>
        <w:pStyle w:val="Notes"/>
      </w:pPr>
    </w:p>
    <w:p w14:paraId="1EF7A59B" w14:textId="77777777" w:rsidR="005767BC" w:rsidRPr="00C73B1D" w:rsidRDefault="005767BC" w:rsidP="005767BC">
      <w:pPr>
        <w:pStyle w:val="Notes"/>
      </w:pPr>
      <w:r w:rsidRPr="00C73B1D">
        <w:t>2.</w:t>
      </w:r>
      <w:r w:rsidRPr="00C73B1D">
        <w:tab/>
        <w:t>WorkSafe Victoria data for 2015-16 provided on 22 July 2016.</w:t>
      </w:r>
    </w:p>
    <w:p w14:paraId="1D98E322" w14:textId="77777777" w:rsidR="005767BC" w:rsidRPr="00C73B1D" w:rsidRDefault="005767BC" w:rsidP="005767BC">
      <w:pPr>
        <w:pStyle w:val="Notes"/>
      </w:pPr>
    </w:p>
    <w:p w14:paraId="0D4E4F32" w14:textId="77777777" w:rsidR="005767BC" w:rsidRPr="00C73B1D" w:rsidRDefault="005767BC" w:rsidP="005767BC">
      <w:pPr>
        <w:pStyle w:val="Notes"/>
      </w:pPr>
      <w:r w:rsidRPr="00C73B1D">
        <w:t xml:space="preserve">3. </w:t>
      </w:r>
      <w:r w:rsidRPr="00C73B1D">
        <w:tab/>
        <w:t>No Provisional Improvement Notices were received and no notices were issued by WorkSafe Victoria in 2015-16.</w:t>
      </w:r>
    </w:p>
    <w:p w14:paraId="1040DB5A" w14:textId="77777777" w:rsidR="005767BC" w:rsidRPr="00C73B1D" w:rsidRDefault="005767BC" w:rsidP="005767BC">
      <w:pPr>
        <w:pStyle w:val="Notes"/>
      </w:pPr>
    </w:p>
    <w:p w14:paraId="232BC94A" w14:textId="77777777" w:rsidR="005767BC" w:rsidRPr="00C73B1D" w:rsidRDefault="005767BC" w:rsidP="005767BC">
      <w:pPr>
        <w:pStyle w:val="Notes"/>
      </w:pPr>
      <w:r w:rsidRPr="00C73B1D">
        <w:t>4.</w:t>
      </w:r>
      <w:r w:rsidRPr="00C73B1D">
        <w:tab/>
        <w:t>Compliance for contractors and temporary employees continues to evolve to ensure CSV meets its OH&amp;S obligations, and protocols for visitors are currently being developed.</w:t>
      </w:r>
    </w:p>
    <w:p w14:paraId="61D5DB32" w14:textId="77777777" w:rsidR="005767BC" w:rsidRPr="00C73B1D" w:rsidRDefault="005767BC" w:rsidP="005767BC">
      <w:pPr>
        <w:pStyle w:val="Notes"/>
      </w:pPr>
    </w:p>
    <w:p w14:paraId="6446F9A9" w14:textId="77777777" w:rsidR="005767BC" w:rsidRPr="00451CC4" w:rsidRDefault="005767BC" w:rsidP="005767BC">
      <w:pPr>
        <w:pStyle w:val="Notes"/>
      </w:pPr>
      <w:r w:rsidRPr="00C73B1D">
        <w:t>5.</w:t>
      </w:r>
      <w:r w:rsidRPr="00C73B1D">
        <w:tab/>
        <w:t>HSR training is scheduled for the second half of 2016.</w:t>
      </w:r>
    </w:p>
    <w:p w14:paraId="309492A5" w14:textId="77777777" w:rsidR="003278E8" w:rsidRDefault="003278E8"/>
    <w:p w14:paraId="4ECA8222" w14:textId="77777777" w:rsidR="003278E8" w:rsidRDefault="003278E8"/>
    <w:p w14:paraId="23816CC2" w14:textId="24A01E30" w:rsidR="003278E8" w:rsidRDefault="003278E8">
      <w:pPr>
        <w:rPr>
          <w:rFonts w:eastAsia="Times New Roman"/>
          <w:bCs/>
          <w:caps/>
          <w:kern w:val="32"/>
          <w:sz w:val="36"/>
          <w:szCs w:val="32"/>
        </w:rPr>
      </w:pPr>
      <w:r>
        <w:br w:type="page"/>
      </w:r>
    </w:p>
    <w:p w14:paraId="7D5B37DE" w14:textId="29685B40" w:rsidR="006A67F1" w:rsidRDefault="006A67F1" w:rsidP="006A67F1">
      <w:pPr>
        <w:pStyle w:val="Heading1"/>
      </w:pPr>
      <w:bookmarkStart w:id="23" w:name="_Toc466381173"/>
      <w:r w:rsidRPr="003839DC">
        <w:t>Section 4:</w:t>
      </w:r>
      <w:r>
        <w:t xml:space="preserve"> </w:t>
      </w:r>
      <w:r w:rsidRPr="003839DC">
        <w:t>Other disclosures</w:t>
      </w:r>
      <w:bookmarkEnd w:id="23"/>
    </w:p>
    <w:p w14:paraId="2F7B4266" w14:textId="77777777" w:rsidR="006A67F1" w:rsidRPr="006E1897" w:rsidRDefault="006A67F1" w:rsidP="006A67F1">
      <w:pPr>
        <w:pStyle w:val="Heading2"/>
      </w:pPr>
      <w:bookmarkStart w:id="24" w:name="_Toc466381174"/>
      <w:r w:rsidRPr="006E1897">
        <w:t>Victorian Industry Participation Policy</w:t>
      </w:r>
      <w:bookmarkEnd w:id="24"/>
      <w:r w:rsidRPr="006E1897">
        <w:t xml:space="preserve"> </w:t>
      </w:r>
    </w:p>
    <w:p w14:paraId="26AF1B8C" w14:textId="203D3931" w:rsidR="00183D28" w:rsidRPr="0033466F" w:rsidRDefault="00183D28" w:rsidP="00183D28">
      <w:r w:rsidRPr="0033466F">
        <w:t xml:space="preserve">The </w:t>
      </w:r>
      <w:r w:rsidRPr="00C60580">
        <w:rPr>
          <w:i/>
        </w:rPr>
        <w:t xml:space="preserve">Victorian Industry Participation Policy Act 2003 </w:t>
      </w:r>
      <w:r w:rsidRPr="0033466F">
        <w:t xml:space="preserve">(Vic) requires departments and public sector bodies to report on the implementation of the Victorian Industry Participation Policy (VIPP). Departments and public sector bodies are required to apply VIPP in all procurement activities valued at $3 million or more </w:t>
      </w:r>
      <w:r w:rsidR="00013DB0">
        <w:t>for</w:t>
      </w:r>
      <w:r w:rsidRPr="0033466F">
        <w:t xml:space="preserve"> metropolitan Melbourne and state wide projects, or $1 million or more for procurement activities in regional Victoria.  Industry Capability Network (ICN) Victoria facilitates the VIPP on behalf of the Victorian Government, providing assistance to suppliers and assessment services to government agencies</w:t>
      </w:r>
    </w:p>
    <w:p w14:paraId="26C09131" w14:textId="77777777" w:rsidR="00183D28" w:rsidRPr="0033466F" w:rsidRDefault="00183D28" w:rsidP="00183D28"/>
    <w:p w14:paraId="448EDBA5" w14:textId="7F24C366" w:rsidR="00183D28" w:rsidRPr="0033466F" w:rsidRDefault="00183D28" w:rsidP="00183D28">
      <w:r w:rsidRPr="0033466F">
        <w:t xml:space="preserve">During 2015-16, CSV commenced one contract with a large commercial contractor </w:t>
      </w:r>
      <w:r w:rsidR="00862945">
        <w:t xml:space="preserve">(ADCO Constructions) </w:t>
      </w:r>
      <w:r w:rsidRPr="0033466F">
        <w:t>totalling $51,886,799 (</w:t>
      </w:r>
      <w:r w:rsidR="00013DB0">
        <w:t>ex</w:t>
      </w:r>
      <w:r w:rsidRPr="0033466F">
        <w:t xml:space="preserve"> GST) to which a VIPP Plan was required.</w:t>
      </w:r>
      <w:r w:rsidR="00862945">
        <w:t xml:space="preserve"> This contract covers construction of the Shepparton Law Courts Redevelopment.</w:t>
      </w:r>
    </w:p>
    <w:p w14:paraId="378D106D" w14:textId="77777777" w:rsidR="00183D28" w:rsidRPr="0033466F" w:rsidRDefault="00183D28" w:rsidP="00183D28"/>
    <w:p w14:paraId="39BBE403" w14:textId="77777777" w:rsidR="00183D28" w:rsidRDefault="00183D28" w:rsidP="00183D28">
      <w:r w:rsidRPr="0033466F">
        <w:t xml:space="preserve">The total VIPP Plan commitments achieved as a result of this </w:t>
      </w:r>
      <w:r>
        <w:t>contract</w:t>
      </w:r>
      <w:r w:rsidRPr="0033466F">
        <w:t xml:space="preserve"> include:</w:t>
      </w:r>
    </w:p>
    <w:p w14:paraId="78272CB1" w14:textId="77777777" w:rsidR="00183D28" w:rsidRPr="0033466F" w:rsidRDefault="00183D28" w:rsidP="00183D28"/>
    <w:p w14:paraId="11EA67D5" w14:textId="229314A3" w:rsidR="00183D28" w:rsidRPr="0033466F" w:rsidRDefault="00183D28" w:rsidP="00183D28">
      <w:pPr>
        <w:pStyle w:val="ListBullet"/>
      </w:pPr>
      <w:r w:rsidRPr="0033466F">
        <w:t>an average of 93 per cent of lo</w:t>
      </w:r>
      <w:r w:rsidR="00B00528">
        <w:t>cal content commitment was made</w:t>
      </w:r>
    </w:p>
    <w:p w14:paraId="689E0EA6" w14:textId="62D721E1" w:rsidR="00183D28" w:rsidRPr="0033466F" w:rsidRDefault="00183D28" w:rsidP="00183D28">
      <w:pPr>
        <w:pStyle w:val="ListBullet"/>
      </w:pPr>
      <w:r w:rsidRPr="0033466F">
        <w:t>85 new jobs and 800 retained jobs (Annual</w:t>
      </w:r>
      <w:r w:rsidR="001E1BFB">
        <w:t>ised Employee Equivalent (AEE)</w:t>
      </w:r>
    </w:p>
    <w:p w14:paraId="12A4DFF5" w14:textId="77777777" w:rsidR="00183D28" w:rsidRPr="0033466F" w:rsidRDefault="00183D28" w:rsidP="00183D28">
      <w:pPr>
        <w:pStyle w:val="ListBullet"/>
      </w:pPr>
      <w:r w:rsidRPr="0033466F">
        <w:t>23 new apprenticeships/traineeships and 60 retained a</w:t>
      </w:r>
      <w:r w:rsidR="00B00528">
        <w:t>pprenticeships/traineeships.</w:t>
      </w:r>
    </w:p>
    <w:p w14:paraId="5A3071D3" w14:textId="77777777" w:rsidR="00183D28" w:rsidRPr="0033466F" w:rsidRDefault="00183D28" w:rsidP="00183D28"/>
    <w:p w14:paraId="0F8B91DC" w14:textId="77777777" w:rsidR="00183D28" w:rsidRPr="0033466F" w:rsidRDefault="00183D28" w:rsidP="00183D28">
      <w:r w:rsidRPr="0033466F">
        <w:t>Benefits to the Victorian economy in terms of skills and/or technology transfer include the involvement of local contractors and suppliers through a</w:t>
      </w:r>
      <w:r w:rsidR="00B00528">
        <w:t>n</w:t>
      </w:r>
      <w:r w:rsidRPr="0033466F">
        <w:t xml:space="preserve"> industry participation plan and the release of a range of sub-contract and trade tenders within the region. A key expectation placed on the consultant team was the need for the new court to be an exemplar across a range of technologies and with respect to sustainable design that will result in a transfer of knowledge and capability to local contractors. There will be 85 new jobs created, an additional 15 new apprenticeships and 8 new trainee positions. The economic impact assessment for the project indicates that the project will deliver substantial economic benefit to the region.  It will deliver cumulative gross regional product (GRP) of $22.4 million during the construction and up to $5.2 million during its operation. The projected GRP total impact would boost the region’s total ($2.2 billion in 2011/12) by around 0.2 per cent per annum in the long-run.</w:t>
      </w:r>
    </w:p>
    <w:p w14:paraId="78674F1A" w14:textId="77777777" w:rsidR="006A67F1" w:rsidRPr="002326C3" w:rsidRDefault="006A67F1" w:rsidP="006A67F1">
      <w:pPr>
        <w:pStyle w:val="Heading2"/>
      </w:pPr>
      <w:bookmarkStart w:id="25" w:name="_Toc466381175"/>
      <w:r>
        <w:t>Consultancy Expenditure</w:t>
      </w:r>
      <w:bookmarkEnd w:id="25"/>
    </w:p>
    <w:p w14:paraId="2E52A2C4" w14:textId="77777777" w:rsidR="006A67F1" w:rsidRPr="00FD2484" w:rsidRDefault="006A67F1" w:rsidP="006A67F1">
      <w:pPr>
        <w:pStyle w:val="Heading3"/>
      </w:pPr>
      <w:r w:rsidRPr="00FD2484">
        <w:t>Details of Consultancies Valued at $10,000 or Greater</w:t>
      </w:r>
    </w:p>
    <w:p w14:paraId="333AF8AB" w14:textId="03FB161C" w:rsidR="006A67F1" w:rsidRPr="00FD2484" w:rsidRDefault="00DB79FA" w:rsidP="006A67F1">
      <w:r w:rsidRPr="00FD2484">
        <w:t xml:space="preserve">CSV entered into </w:t>
      </w:r>
      <w:r w:rsidR="0049528C">
        <w:t>ten</w:t>
      </w:r>
      <w:r w:rsidR="0049528C" w:rsidRPr="00FD2484">
        <w:t xml:space="preserve"> </w:t>
      </w:r>
      <w:r w:rsidRPr="00FD2484">
        <w:t xml:space="preserve">consultancies </w:t>
      </w:r>
      <w:r w:rsidR="001E1BFB" w:rsidRPr="001E1BFB">
        <w:t>valued at $10,000 or greater</w:t>
      </w:r>
      <w:r w:rsidR="003102AC">
        <w:t>.</w:t>
      </w:r>
    </w:p>
    <w:p w14:paraId="777B8E6A" w14:textId="77777777" w:rsidR="00F86564" w:rsidRPr="00FD2484" w:rsidRDefault="00F86564" w:rsidP="006A67F1"/>
    <w:p w14:paraId="78628C30" w14:textId="011174B8" w:rsidR="006A67F1" w:rsidRPr="00FD2484" w:rsidRDefault="00F86564" w:rsidP="00A7716B">
      <w:pPr>
        <w:pStyle w:val="Caption"/>
      </w:pPr>
      <w:r w:rsidRPr="00FD2484">
        <w:t>Table 1</w:t>
      </w:r>
      <w:r w:rsidR="005F300A">
        <w:t>2</w:t>
      </w:r>
      <w:r w:rsidR="00A7716B" w:rsidRPr="00FD2484">
        <w:t>:</w:t>
      </w:r>
      <w:r w:rsidR="00A7716B" w:rsidRPr="00FD2484">
        <w:tab/>
        <w:t>Consultancies valued at $10,000 or greater</w:t>
      </w:r>
    </w:p>
    <w:tbl>
      <w:tblPr>
        <w:tblW w:w="5000" w:type="pct"/>
        <w:tblBorders>
          <w:top w:val="single" w:sz="4" w:space="0" w:color="auto"/>
          <w:bottom w:val="single" w:sz="4" w:space="0" w:color="auto"/>
          <w:insideH w:val="single" w:sz="4" w:space="0" w:color="auto"/>
          <w:insideV w:val="single" w:sz="4" w:space="0" w:color="auto"/>
        </w:tblBorders>
        <w:tblCellMar>
          <w:top w:w="28" w:type="dxa"/>
          <w:left w:w="57" w:type="dxa"/>
          <w:bottom w:w="28" w:type="dxa"/>
          <w:right w:w="57" w:type="dxa"/>
        </w:tblCellMar>
        <w:tblLook w:val="00A0" w:firstRow="1" w:lastRow="0" w:firstColumn="1" w:lastColumn="0" w:noHBand="0" w:noVBand="0"/>
      </w:tblPr>
      <w:tblGrid>
        <w:gridCol w:w="2422"/>
        <w:gridCol w:w="2509"/>
        <w:gridCol w:w="1544"/>
        <w:gridCol w:w="1560"/>
        <w:gridCol w:w="1603"/>
      </w:tblGrid>
      <w:tr w:rsidR="006A67F1" w:rsidRPr="0009156E" w14:paraId="658884F2" w14:textId="77777777" w:rsidTr="00562EFA">
        <w:tc>
          <w:tcPr>
            <w:tcW w:w="2422" w:type="dxa"/>
            <w:shd w:val="clear" w:color="auto" w:fill="auto"/>
          </w:tcPr>
          <w:p w14:paraId="77A905FE" w14:textId="77777777" w:rsidR="006A67F1" w:rsidRPr="00FD2484" w:rsidRDefault="006A67F1" w:rsidP="00EC7EC2">
            <w:pPr>
              <w:pStyle w:val="Tableheading"/>
              <w:jc w:val="center"/>
            </w:pPr>
            <w:r w:rsidRPr="00FD2484">
              <w:t>Consultant</w:t>
            </w:r>
          </w:p>
        </w:tc>
        <w:tc>
          <w:tcPr>
            <w:tcW w:w="2509" w:type="dxa"/>
            <w:shd w:val="clear" w:color="auto" w:fill="auto"/>
          </w:tcPr>
          <w:p w14:paraId="2A57EB85" w14:textId="77777777" w:rsidR="006A67F1" w:rsidRPr="00FD2484" w:rsidRDefault="006A67F1" w:rsidP="00EC7EC2">
            <w:pPr>
              <w:pStyle w:val="Tableheading"/>
              <w:jc w:val="center"/>
            </w:pPr>
            <w:r w:rsidRPr="00FD2484">
              <w:t>Purpose of consultancy</w:t>
            </w:r>
          </w:p>
        </w:tc>
        <w:tc>
          <w:tcPr>
            <w:tcW w:w="1544" w:type="dxa"/>
            <w:shd w:val="clear" w:color="auto" w:fill="auto"/>
          </w:tcPr>
          <w:p w14:paraId="09F305BE" w14:textId="77777777" w:rsidR="006A67F1" w:rsidRPr="00FD2484" w:rsidRDefault="006A67F1" w:rsidP="00EC7EC2">
            <w:pPr>
              <w:pStyle w:val="Tableheading"/>
              <w:jc w:val="center"/>
            </w:pPr>
            <w:r w:rsidRPr="00FD2484">
              <w:t>Total approved project fee (excluding GST)</w:t>
            </w:r>
          </w:p>
        </w:tc>
        <w:tc>
          <w:tcPr>
            <w:tcW w:w="1560" w:type="dxa"/>
            <w:shd w:val="clear" w:color="auto" w:fill="auto"/>
          </w:tcPr>
          <w:p w14:paraId="4B2FF4E2" w14:textId="77777777" w:rsidR="006A67F1" w:rsidRPr="00FD2484" w:rsidRDefault="001729D6" w:rsidP="00EC7EC2">
            <w:pPr>
              <w:pStyle w:val="Tableheading"/>
              <w:jc w:val="center"/>
            </w:pPr>
            <w:r w:rsidRPr="00FD2484">
              <w:t>Expenditure 2015-16</w:t>
            </w:r>
            <w:r w:rsidR="006A67F1" w:rsidRPr="00FD2484">
              <w:t xml:space="preserve"> (excluding GST)</w:t>
            </w:r>
          </w:p>
        </w:tc>
        <w:tc>
          <w:tcPr>
            <w:tcW w:w="1603" w:type="dxa"/>
            <w:shd w:val="clear" w:color="auto" w:fill="auto"/>
          </w:tcPr>
          <w:p w14:paraId="09D2580C" w14:textId="77777777" w:rsidR="006A67F1" w:rsidRPr="00FD2484" w:rsidRDefault="006A67F1" w:rsidP="00EC7EC2">
            <w:pPr>
              <w:pStyle w:val="Tableheading"/>
              <w:jc w:val="center"/>
            </w:pPr>
            <w:r w:rsidRPr="00FD2484">
              <w:t>Future expenditure (excluding GST)</w:t>
            </w:r>
          </w:p>
        </w:tc>
      </w:tr>
      <w:tr w:rsidR="00DB79FA" w:rsidRPr="0009156E" w14:paraId="6D55B721" w14:textId="77777777" w:rsidTr="00562EFA">
        <w:tc>
          <w:tcPr>
            <w:tcW w:w="2422" w:type="dxa"/>
            <w:tcBorders>
              <w:top w:val="single" w:sz="4" w:space="0" w:color="auto"/>
              <w:bottom w:val="single" w:sz="4" w:space="0" w:color="auto"/>
              <w:right w:val="single" w:sz="4" w:space="0" w:color="auto"/>
            </w:tcBorders>
            <w:shd w:val="clear" w:color="auto" w:fill="auto"/>
          </w:tcPr>
          <w:p w14:paraId="5E1272FE" w14:textId="04302046" w:rsidR="00DB79FA" w:rsidRPr="00FD2484" w:rsidRDefault="001B0757" w:rsidP="00DB79FA">
            <w:pPr>
              <w:pStyle w:val="Tabletext"/>
            </w:pPr>
            <w:bookmarkStart w:id="26" w:name="OLE_LINK1"/>
            <w:r w:rsidRPr="00FD2484">
              <w:t>Centring Pty Ltd</w:t>
            </w:r>
          </w:p>
        </w:tc>
        <w:tc>
          <w:tcPr>
            <w:tcW w:w="2509" w:type="dxa"/>
            <w:tcBorders>
              <w:top w:val="single" w:sz="4" w:space="0" w:color="auto"/>
              <w:left w:val="single" w:sz="4" w:space="0" w:color="auto"/>
              <w:bottom w:val="single" w:sz="4" w:space="0" w:color="auto"/>
              <w:right w:val="single" w:sz="4" w:space="0" w:color="auto"/>
            </w:tcBorders>
            <w:shd w:val="clear" w:color="auto" w:fill="auto"/>
          </w:tcPr>
          <w:p w14:paraId="04D26F77" w14:textId="77777777" w:rsidR="00DB79FA" w:rsidRPr="00FD2484" w:rsidRDefault="00DB79FA" w:rsidP="00DB79FA">
            <w:pPr>
              <w:pStyle w:val="Tabletext"/>
            </w:pPr>
            <w:r w:rsidRPr="00FD2484">
              <w:t>VCAT Fees review</w:t>
            </w:r>
          </w:p>
        </w:tc>
        <w:tc>
          <w:tcPr>
            <w:tcW w:w="1544" w:type="dxa"/>
            <w:tcBorders>
              <w:top w:val="single" w:sz="4" w:space="0" w:color="auto"/>
              <w:left w:val="single" w:sz="4" w:space="0" w:color="auto"/>
              <w:bottom w:val="single" w:sz="4" w:space="0" w:color="auto"/>
              <w:right w:val="single" w:sz="4" w:space="0" w:color="auto"/>
            </w:tcBorders>
            <w:shd w:val="clear" w:color="auto" w:fill="auto"/>
          </w:tcPr>
          <w:p w14:paraId="180ADF01" w14:textId="1830893D" w:rsidR="00DB79FA" w:rsidRPr="00FD2484" w:rsidRDefault="00DB79FA" w:rsidP="00F73D3B">
            <w:pPr>
              <w:pStyle w:val="Tabletext"/>
              <w:jc w:val="right"/>
            </w:pPr>
            <w:r w:rsidRPr="00FD2484">
              <w:t xml:space="preserve">228,400 </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419FABC" w14:textId="528BCFDE" w:rsidR="00DB79FA" w:rsidRPr="00FD2484" w:rsidRDefault="0049528C" w:rsidP="00F73D3B">
            <w:pPr>
              <w:pStyle w:val="Tabletext"/>
              <w:jc w:val="right"/>
            </w:pPr>
            <w:r w:rsidRPr="0049528C">
              <w:t>128</w:t>
            </w:r>
            <w:r>
              <w:t>,</w:t>
            </w:r>
            <w:r w:rsidRPr="0049528C">
              <w:t>976</w:t>
            </w:r>
          </w:p>
        </w:tc>
        <w:tc>
          <w:tcPr>
            <w:tcW w:w="1603" w:type="dxa"/>
            <w:tcBorders>
              <w:top w:val="single" w:sz="4" w:space="0" w:color="auto"/>
              <w:left w:val="single" w:sz="4" w:space="0" w:color="auto"/>
              <w:bottom w:val="single" w:sz="4" w:space="0" w:color="auto"/>
            </w:tcBorders>
            <w:shd w:val="clear" w:color="auto" w:fill="auto"/>
          </w:tcPr>
          <w:p w14:paraId="23B4E22E" w14:textId="77777777" w:rsidR="00DB79FA" w:rsidRPr="00FD2484" w:rsidRDefault="00DB79FA" w:rsidP="00F73D3B">
            <w:pPr>
              <w:pStyle w:val="Tabletext"/>
              <w:jc w:val="right"/>
            </w:pPr>
            <w:r w:rsidRPr="00FD2484">
              <w:t>0</w:t>
            </w:r>
          </w:p>
        </w:tc>
      </w:tr>
      <w:tr w:rsidR="00DB79FA" w:rsidRPr="0009156E" w14:paraId="0841F922" w14:textId="77777777" w:rsidTr="00562EFA">
        <w:tc>
          <w:tcPr>
            <w:tcW w:w="2422" w:type="dxa"/>
            <w:tcBorders>
              <w:top w:val="single" w:sz="4" w:space="0" w:color="auto"/>
              <w:bottom w:val="single" w:sz="4" w:space="0" w:color="auto"/>
              <w:right w:val="single" w:sz="4" w:space="0" w:color="auto"/>
            </w:tcBorders>
            <w:shd w:val="clear" w:color="auto" w:fill="auto"/>
          </w:tcPr>
          <w:p w14:paraId="0C5F6494" w14:textId="15B76C58" w:rsidR="00DB79FA" w:rsidRPr="00FD2484" w:rsidRDefault="001B0757" w:rsidP="00DB79FA">
            <w:pPr>
              <w:pStyle w:val="Tabletext"/>
            </w:pPr>
            <w:r w:rsidRPr="00FD2484">
              <w:t>Consultel I</w:t>
            </w:r>
            <w:r>
              <w:t>T</w:t>
            </w:r>
            <w:r w:rsidRPr="00FD2484">
              <w:t>&amp;T Pty Ltd</w:t>
            </w:r>
          </w:p>
        </w:tc>
        <w:tc>
          <w:tcPr>
            <w:tcW w:w="2509" w:type="dxa"/>
            <w:tcBorders>
              <w:top w:val="single" w:sz="4" w:space="0" w:color="auto"/>
              <w:left w:val="single" w:sz="4" w:space="0" w:color="auto"/>
              <w:bottom w:val="single" w:sz="4" w:space="0" w:color="auto"/>
              <w:right w:val="single" w:sz="4" w:space="0" w:color="auto"/>
            </w:tcBorders>
            <w:shd w:val="clear" w:color="auto" w:fill="auto"/>
          </w:tcPr>
          <w:p w14:paraId="42A23158" w14:textId="77777777" w:rsidR="00DB79FA" w:rsidRPr="00FD2484" w:rsidRDefault="00DB79FA" w:rsidP="00DB79FA">
            <w:pPr>
              <w:pStyle w:val="Tabletext"/>
            </w:pPr>
            <w:r w:rsidRPr="00FD2484">
              <w:t>Planning of next-generation in-court technology environment</w:t>
            </w:r>
          </w:p>
        </w:tc>
        <w:tc>
          <w:tcPr>
            <w:tcW w:w="1544" w:type="dxa"/>
            <w:tcBorders>
              <w:top w:val="single" w:sz="4" w:space="0" w:color="auto"/>
              <w:left w:val="single" w:sz="4" w:space="0" w:color="auto"/>
              <w:bottom w:val="single" w:sz="4" w:space="0" w:color="auto"/>
              <w:right w:val="single" w:sz="4" w:space="0" w:color="auto"/>
            </w:tcBorders>
            <w:shd w:val="clear" w:color="auto" w:fill="auto"/>
          </w:tcPr>
          <w:p w14:paraId="634BE3EB" w14:textId="190DAFE5" w:rsidR="00DB79FA" w:rsidRPr="00FD2484" w:rsidRDefault="00DB79FA" w:rsidP="00F73D3B">
            <w:pPr>
              <w:pStyle w:val="Tabletext"/>
              <w:jc w:val="right"/>
            </w:pPr>
            <w:r w:rsidRPr="00FD2484">
              <w:t xml:space="preserve">115,885 </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1739E3D" w14:textId="77777777" w:rsidR="00DB79FA" w:rsidRPr="00FD2484" w:rsidRDefault="00DB79FA" w:rsidP="00F73D3B">
            <w:pPr>
              <w:pStyle w:val="Tabletext"/>
              <w:jc w:val="right"/>
            </w:pPr>
            <w:r w:rsidRPr="00FD2484">
              <w:t xml:space="preserve">88,596 </w:t>
            </w:r>
          </w:p>
        </w:tc>
        <w:tc>
          <w:tcPr>
            <w:tcW w:w="1603" w:type="dxa"/>
            <w:tcBorders>
              <w:top w:val="single" w:sz="4" w:space="0" w:color="auto"/>
              <w:left w:val="single" w:sz="4" w:space="0" w:color="auto"/>
              <w:bottom w:val="single" w:sz="4" w:space="0" w:color="auto"/>
            </w:tcBorders>
            <w:shd w:val="clear" w:color="auto" w:fill="auto"/>
          </w:tcPr>
          <w:p w14:paraId="7B8A6B44" w14:textId="3D21A9A7" w:rsidR="00DB79FA" w:rsidRPr="00FD2484" w:rsidRDefault="00DB79FA" w:rsidP="00F73D3B">
            <w:pPr>
              <w:pStyle w:val="Tabletext"/>
              <w:jc w:val="right"/>
            </w:pPr>
            <w:r w:rsidRPr="00FD2484">
              <w:t xml:space="preserve">27,289 </w:t>
            </w:r>
          </w:p>
        </w:tc>
      </w:tr>
      <w:tr w:rsidR="00DB79FA" w:rsidRPr="0009156E" w14:paraId="7820CC30" w14:textId="77777777" w:rsidTr="00562EFA">
        <w:tc>
          <w:tcPr>
            <w:tcW w:w="2422" w:type="dxa"/>
            <w:tcBorders>
              <w:top w:val="single" w:sz="4" w:space="0" w:color="auto"/>
              <w:bottom w:val="single" w:sz="4" w:space="0" w:color="auto"/>
              <w:right w:val="single" w:sz="4" w:space="0" w:color="auto"/>
            </w:tcBorders>
            <w:shd w:val="clear" w:color="auto" w:fill="auto"/>
          </w:tcPr>
          <w:p w14:paraId="5EBB7AF7" w14:textId="4F8987B8" w:rsidR="00DB79FA" w:rsidRPr="00FD2484" w:rsidRDefault="001B0757" w:rsidP="00DB79FA">
            <w:pPr>
              <w:pStyle w:val="Tabletext"/>
            </w:pPr>
            <w:r w:rsidRPr="00FD2484">
              <w:t>Flanagan Brown-Greaves Pty Ltd</w:t>
            </w:r>
          </w:p>
        </w:tc>
        <w:tc>
          <w:tcPr>
            <w:tcW w:w="2509" w:type="dxa"/>
            <w:tcBorders>
              <w:top w:val="single" w:sz="4" w:space="0" w:color="auto"/>
              <w:left w:val="single" w:sz="4" w:space="0" w:color="auto"/>
              <w:bottom w:val="single" w:sz="4" w:space="0" w:color="auto"/>
              <w:right w:val="single" w:sz="4" w:space="0" w:color="auto"/>
            </w:tcBorders>
            <w:shd w:val="clear" w:color="auto" w:fill="auto"/>
          </w:tcPr>
          <w:p w14:paraId="59694FB6" w14:textId="77777777" w:rsidR="00DB79FA" w:rsidRPr="00FD2484" w:rsidRDefault="00DB79FA" w:rsidP="00DB79FA">
            <w:pPr>
              <w:pStyle w:val="Tabletext"/>
            </w:pPr>
            <w:r w:rsidRPr="00FD2484">
              <w:t>Assessment and Control of Vicarious Trauma Project</w:t>
            </w:r>
          </w:p>
        </w:tc>
        <w:tc>
          <w:tcPr>
            <w:tcW w:w="1544" w:type="dxa"/>
            <w:tcBorders>
              <w:top w:val="single" w:sz="4" w:space="0" w:color="auto"/>
              <w:left w:val="single" w:sz="4" w:space="0" w:color="auto"/>
              <w:bottom w:val="single" w:sz="4" w:space="0" w:color="auto"/>
              <w:right w:val="single" w:sz="4" w:space="0" w:color="auto"/>
            </w:tcBorders>
            <w:shd w:val="clear" w:color="auto" w:fill="auto"/>
          </w:tcPr>
          <w:p w14:paraId="3823EE3B" w14:textId="1670D6DD" w:rsidR="00DB79FA" w:rsidRPr="00FD2484" w:rsidRDefault="00DB79FA" w:rsidP="00F73D3B">
            <w:pPr>
              <w:pStyle w:val="Tabletext"/>
              <w:jc w:val="right"/>
            </w:pPr>
            <w:r w:rsidRPr="00FD2484">
              <w:t xml:space="preserve">21,000 </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577239A" w14:textId="77777777" w:rsidR="00DB79FA" w:rsidRPr="00FD2484" w:rsidRDefault="00DB79FA" w:rsidP="00F73D3B">
            <w:pPr>
              <w:pStyle w:val="Tabletext"/>
              <w:jc w:val="right"/>
            </w:pPr>
            <w:r w:rsidRPr="00FD2484">
              <w:t xml:space="preserve">21,000 </w:t>
            </w:r>
          </w:p>
        </w:tc>
        <w:tc>
          <w:tcPr>
            <w:tcW w:w="1603" w:type="dxa"/>
            <w:tcBorders>
              <w:top w:val="single" w:sz="4" w:space="0" w:color="auto"/>
              <w:left w:val="single" w:sz="4" w:space="0" w:color="auto"/>
              <w:bottom w:val="single" w:sz="4" w:space="0" w:color="auto"/>
            </w:tcBorders>
            <w:shd w:val="clear" w:color="auto" w:fill="auto"/>
          </w:tcPr>
          <w:p w14:paraId="569DA070" w14:textId="77777777" w:rsidR="00DB79FA" w:rsidRPr="00FD2484" w:rsidRDefault="00DB79FA" w:rsidP="00F73D3B">
            <w:pPr>
              <w:pStyle w:val="Tabletext"/>
              <w:jc w:val="right"/>
            </w:pPr>
            <w:r w:rsidRPr="00FD2484">
              <w:t>0</w:t>
            </w:r>
          </w:p>
        </w:tc>
      </w:tr>
      <w:tr w:rsidR="00DB79FA" w:rsidRPr="0009156E" w14:paraId="354C62B9" w14:textId="77777777" w:rsidTr="00562EFA">
        <w:tc>
          <w:tcPr>
            <w:tcW w:w="2422" w:type="dxa"/>
            <w:tcBorders>
              <w:top w:val="single" w:sz="4" w:space="0" w:color="auto"/>
              <w:bottom w:val="single" w:sz="4" w:space="0" w:color="auto"/>
              <w:right w:val="single" w:sz="4" w:space="0" w:color="auto"/>
            </w:tcBorders>
            <w:shd w:val="clear" w:color="auto" w:fill="auto"/>
          </w:tcPr>
          <w:p w14:paraId="1D465609" w14:textId="38C439F9" w:rsidR="00DB79FA" w:rsidRPr="00FD2484" w:rsidRDefault="001B0757" w:rsidP="00DB79FA">
            <w:pPr>
              <w:pStyle w:val="Tabletext"/>
            </w:pPr>
            <w:r w:rsidRPr="00FD2484">
              <w:t>G</w:t>
            </w:r>
            <w:r>
              <w:t>HD</w:t>
            </w:r>
            <w:r w:rsidRPr="00FD2484">
              <w:t xml:space="preserve"> Pty Ltd</w:t>
            </w:r>
          </w:p>
        </w:tc>
        <w:tc>
          <w:tcPr>
            <w:tcW w:w="2509" w:type="dxa"/>
            <w:tcBorders>
              <w:top w:val="single" w:sz="4" w:space="0" w:color="auto"/>
              <w:left w:val="single" w:sz="4" w:space="0" w:color="auto"/>
              <w:bottom w:val="single" w:sz="4" w:space="0" w:color="auto"/>
              <w:right w:val="single" w:sz="4" w:space="0" w:color="auto"/>
            </w:tcBorders>
            <w:shd w:val="clear" w:color="auto" w:fill="auto"/>
          </w:tcPr>
          <w:p w14:paraId="2E5F4FD8" w14:textId="5AF0C7CE" w:rsidR="00DB79FA" w:rsidRPr="00FD2484" w:rsidRDefault="00DB79FA" w:rsidP="00DB79FA">
            <w:pPr>
              <w:pStyle w:val="Tabletext"/>
            </w:pPr>
            <w:r w:rsidRPr="00FD2484">
              <w:t>Strategic Asset Planning Services</w:t>
            </w:r>
          </w:p>
        </w:tc>
        <w:tc>
          <w:tcPr>
            <w:tcW w:w="1544" w:type="dxa"/>
            <w:tcBorders>
              <w:top w:val="single" w:sz="4" w:space="0" w:color="auto"/>
              <w:left w:val="single" w:sz="4" w:space="0" w:color="auto"/>
              <w:bottom w:val="single" w:sz="4" w:space="0" w:color="auto"/>
              <w:right w:val="single" w:sz="4" w:space="0" w:color="auto"/>
            </w:tcBorders>
            <w:shd w:val="clear" w:color="auto" w:fill="auto"/>
          </w:tcPr>
          <w:p w14:paraId="1986CA44" w14:textId="52B180FB" w:rsidR="00DB79FA" w:rsidRPr="00FD2484" w:rsidRDefault="00DB79FA" w:rsidP="00F73D3B">
            <w:pPr>
              <w:pStyle w:val="Tabletext"/>
              <w:jc w:val="right"/>
            </w:pPr>
            <w:r w:rsidRPr="00FD2484">
              <w:t xml:space="preserve">220,016 </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30A6067" w14:textId="77777777" w:rsidR="00DB79FA" w:rsidRPr="00FD2484" w:rsidRDefault="00DB79FA" w:rsidP="00F73D3B">
            <w:pPr>
              <w:pStyle w:val="Tabletext"/>
              <w:jc w:val="right"/>
            </w:pPr>
            <w:r w:rsidRPr="00FD2484">
              <w:t xml:space="preserve">220,016 </w:t>
            </w:r>
          </w:p>
        </w:tc>
        <w:tc>
          <w:tcPr>
            <w:tcW w:w="1603" w:type="dxa"/>
            <w:tcBorders>
              <w:top w:val="single" w:sz="4" w:space="0" w:color="auto"/>
              <w:left w:val="single" w:sz="4" w:space="0" w:color="auto"/>
              <w:bottom w:val="single" w:sz="4" w:space="0" w:color="auto"/>
            </w:tcBorders>
            <w:shd w:val="clear" w:color="auto" w:fill="auto"/>
          </w:tcPr>
          <w:p w14:paraId="2021371F" w14:textId="77777777" w:rsidR="00DB79FA" w:rsidRPr="00FD2484" w:rsidRDefault="00DB79FA" w:rsidP="00F73D3B">
            <w:pPr>
              <w:pStyle w:val="Tabletext"/>
              <w:jc w:val="right"/>
            </w:pPr>
            <w:r w:rsidRPr="00FD2484">
              <w:t>0</w:t>
            </w:r>
          </w:p>
        </w:tc>
      </w:tr>
      <w:tr w:rsidR="00DB79FA" w:rsidRPr="0009156E" w14:paraId="29BAC477" w14:textId="77777777" w:rsidTr="00562EFA">
        <w:tc>
          <w:tcPr>
            <w:tcW w:w="2422" w:type="dxa"/>
            <w:tcBorders>
              <w:top w:val="single" w:sz="4" w:space="0" w:color="auto"/>
              <w:bottom w:val="single" w:sz="4" w:space="0" w:color="auto"/>
              <w:right w:val="single" w:sz="4" w:space="0" w:color="auto"/>
            </w:tcBorders>
            <w:shd w:val="clear" w:color="auto" w:fill="auto"/>
          </w:tcPr>
          <w:p w14:paraId="4E743177" w14:textId="56C4202B" w:rsidR="00DB79FA" w:rsidRPr="00FD2484" w:rsidRDefault="001B0757" w:rsidP="00DB79FA">
            <w:pPr>
              <w:pStyle w:val="Tabletext"/>
            </w:pPr>
            <w:r w:rsidRPr="00FD2484">
              <w:t>Health Outcomes International</w:t>
            </w:r>
          </w:p>
        </w:tc>
        <w:tc>
          <w:tcPr>
            <w:tcW w:w="2509" w:type="dxa"/>
            <w:tcBorders>
              <w:top w:val="single" w:sz="4" w:space="0" w:color="auto"/>
              <w:left w:val="single" w:sz="4" w:space="0" w:color="auto"/>
              <w:bottom w:val="single" w:sz="4" w:space="0" w:color="auto"/>
              <w:right w:val="single" w:sz="4" w:space="0" w:color="auto"/>
            </w:tcBorders>
            <w:shd w:val="clear" w:color="auto" w:fill="auto"/>
          </w:tcPr>
          <w:p w14:paraId="5A9A8F66" w14:textId="77777777" w:rsidR="00DB79FA" w:rsidRPr="00FD2484" w:rsidRDefault="00DB79FA" w:rsidP="00DB79FA">
            <w:pPr>
              <w:pStyle w:val="Tabletext"/>
            </w:pPr>
            <w:r w:rsidRPr="00FD2484">
              <w:t xml:space="preserve">Children's Court - Evaluation of Conciliation Conferencing Program </w:t>
            </w:r>
          </w:p>
        </w:tc>
        <w:tc>
          <w:tcPr>
            <w:tcW w:w="1544" w:type="dxa"/>
            <w:tcBorders>
              <w:top w:val="single" w:sz="4" w:space="0" w:color="auto"/>
              <w:left w:val="single" w:sz="4" w:space="0" w:color="auto"/>
              <w:bottom w:val="single" w:sz="4" w:space="0" w:color="auto"/>
              <w:right w:val="single" w:sz="4" w:space="0" w:color="auto"/>
            </w:tcBorders>
            <w:shd w:val="clear" w:color="auto" w:fill="auto"/>
          </w:tcPr>
          <w:p w14:paraId="767C2ED8" w14:textId="1B7E3EF5" w:rsidR="00DB79FA" w:rsidRPr="00FD2484" w:rsidRDefault="00DB79FA" w:rsidP="00F73D3B">
            <w:pPr>
              <w:pStyle w:val="Tabletext"/>
              <w:jc w:val="right"/>
            </w:pPr>
            <w:r w:rsidRPr="00FD2484">
              <w:t xml:space="preserve">27,273 </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51DF8CD" w14:textId="77777777" w:rsidR="00DB79FA" w:rsidRPr="00FD2484" w:rsidRDefault="00DB79FA" w:rsidP="00F73D3B">
            <w:pPr>
              <w:pStyle w:val="Tabletext"/>
              <w:jc w:val="right"/>
            </w:pPr>
            <w:r w:rsidRPr="00FD2484">
              <w:t xml:space="preserve">27,273 </w:t>
            </w:r>
          </w:p>
        </w:tc>
        <w:tc>
          <w:tcPr>
            <w:tcW w:w="1603" w:type="dxa"/>
            <w:tcBorders>
              <w:top w:val="single" w:sz="4" w:space="0" w:color="auto"/>
              <w:left w:val="single" w:sz="4" w:space="0" w:color="auto"/>
              <w:bottom w:val="single" w:sz="4" w:space="0" w:color="auto"/>
            </w:tcBorders>
            <w:shd w:val="clear" w:color="auto" w:fill="auto"/>
          </w:tcPr>
          <w:p w14:paraId="39DE8C57" w14:textId="77777777" w:rsidR="00DB79FA" w:rsidRPr="00FD2484" w:rsidRDefault="00DB79FA" w:rsidP="00F73D3B">
            <w:pPr>
              <w:pStyle w:val="Tabletext"/>
              <w:jc w:val="right"/>
            </w:pPr>
            <w:r w:rsidRPr="00FD2484">
              <w:t>0</w:t>
            </w:r>
          </w:p>
        </w:tc>
      </w:tr>
      <w:tr w:rsidR="00DB79FA" w:rsidRPr="0009156E" w14:paraId="39170920" w14:textId="77777777" w:rsidTr="00562EFA">
        <w:tc>
          <w:tcPr>
            <w:tcW w:w="2422" w:type="dxa"/>
            <w:tcBorders>
              <w:top w:val="single" w:sz="4" w:space="0" w:color="auto"/>
              <w:bottom w:val="single" w:sz="4" w:space="0" w:color="auto"/>
              <w:right w:val="single" w:sz="4" w:space="0" w:color="auto"/>
            </w:tcBorders>
            <w:shd w:val="clear" w:color="auto" w:fill="auto"/>
          </w:tcPr>
          <w:p w14:paraId="0770519C" w14:textId="5B87D041" w:rsidR="00DB79FA" w:rsidRPr="00FD2484" w:rsidRDefault="001B0757" w:rsidP="00DB79FA">
            <w:pPr>
              <w:pStyle w:val="Tabletext"/>
            </w:pPr>
            <w:r w:rsidRPr="00FD2484">
              <w:t>Iedex Pty Ltd</w:t>
            </w:r>
          </w:p>
        </w:tc>
        <w:tc>
          <w:tcPr>
            <w:tcW w:w="2509" w:type="dxa"/>
            <w:tcBorders>
              <w:top w:val="single" w:sz="4" w:space="0" w:color="auto"/>
              <w:left w:val="single" w:sz="4" w:space="0" w:color="auto"/>
              <w:bottom w:val="single" w:sz="4" w:space="0" w:color="auto"/>
              <w:right w:val="single" w:sz="4" w:space="0" w:color="auto"/>
            </w:tcBorders>
            <w:shd w:val="clear" w:color="auto" w:fill="auto"/>
          </w:tcPr>
          <w:p w14:paraId="7AF77FA5" w14:textId="77777777" w:rsidR="00DB79FA" w:rsidRPr="00FD2484" w:rsidRDefault="00DB79FA" w:rsidP="00DB79FA">
            <w:pPr>
              <w:pStyle w:val="Tabletext"/>
            </w:pPr>
            <w:r w:rsidRPr="00FD2484">
              <w:t>Preparation of CSV's strategy 2016-19 and Jurisdiction Services 2015-16 Business Plan</w:t>
            </w:r>
          </w:p>
        </w:tc>
        <w:tc>
          <w:tcPr>
            <w:tcW w:w="1544" w:type="dxa"/>
            <w:tcBorders>
              <w:top w:val="single" w:sz="4" w:space="0" w:color="auto"/>
              <w:left w:val="single" w:sz="4" w:space="0" w:color="auto"/>
              <w:bottom w:val="single" w:sz="4" w:space="0" w:color="auto"/>
              <w:right w:val="single" w:sz="4" w:space="0" w:color="auto"/>
            </w:tcBorders>
            <w:shd w:val="clear" w:color="auto" w:fill="auto"/>
          </w:tcPr>
          <w:p w14:paraId="03E8E311" w14:textId="53154A9E" w:rsidR="00DB79FA" w:rsidRPr="00FD2484" w:rsidRDefault="00DB79FA" w:rsidP="00F73D3B">
            <w:pPr>
              <w:pStyle w:val="Tabletext"/>
              <w:jc w:val="right"/>
            </w:pPr>
            <w:r w:rsidRPr="00FD2484">
              <w:t xml:space="preserve">48,841 </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85BBC0D" w14:textId="77777777" w:rsidR="00DB79FA" w:rsidRPr="00FD2484" w:rsidRDefault="00DB79FA" w:rsidP="00F73D3B">
            <w:pPr>
              <w:pStyle w:val="Tabletext"/>
              <w:jc w:val="right"/>
            </w:pPr>
            <w:r w:rsidRPr="00FD2484">
              <w:t xml:space="preserve">48,841 </w:t>
            </w:r>
          </w:p>
        </w:tc>
        <w:tc>
          <w:tcPr>
            <w:tcW w:w="1603" w:type="dxa"/>
            <w:tcBorders>
              <w:top w:val="single" w:sz="4" w:space="0" w:color="auto"/>
              <w:left w:val="single" w:sz="4" w:space="0" w:color="auto"/>
              <w:bottom w:val="single" w:sz="4" w:space="0" w:color="auto"/>
            </w:tcBorders>
            <w:shd w:val="clear" w:color="auto" w:fill="auto"/>
          </w:tcPr>
          <w:p w14:paraId="1249ED08" w14:textId="77777777" w:rsidR="00DB79FA" w:rsidRPr="00FD2484" w:rsidRDefault="00DB79FA" w:rsidP="00F73D3B">
            <w:pPr>
              <w:pStyle w:val="Tabletext"/>
              <w:jc w:val="right"/>
            </w:pPr>
            <w:r w:rsidRPr="00FD2484">
              <w:t>0</w:t>
            </w:r>
          </w:p>
        </w:tc>
      </w:tr>
      <w:tr w:rsidR="00DB79FA" w:rsidRPr="0009156E" w14:paraId="35052CE5" w14:textId="77777777" w:rsidTr="00562EFA">
        <w:tc>
          <w:tcPr>
            <w:tcW w:w="2422" w:type="dxa"/>
            <w:tcBorders>
              <w:top w:val="single" w:sz="4" w:space="0" w:color="auto"/>
              <w:bottom w:val="single" w:sz="4" w:space="0" w:color="auto"/>
              <w:right w:val="single" w:sz="4" w:space="0" w:color="auto"/>
            </w:tcBorders>
            <w:shd w:val="clear" w:color="auto" w:fill="auto"/>
          </w:tcPr>
          <w:p w14:paraId="43C5D376" w14:textId="77777777" w:rsidR="00DB79FA" w:rsidRPr="00FD2484" w:rsidRDefault="00DB79FA" w:rsidP="00DB79FA">
            <w:pPr>
              <w:pStyle w:val="Tabletext"/>
            </w:pPr>
            <w:r w:rsidRPr="00FD2484">
              <w:t>KPMG</w:t>
            </w:r>
          </w:p>
        </w:tc>
        <w:tc>
          <w:tcPr>
            <w:tcW w:w="2509" w:type="dxa"/>
            <w:tcBorders>
              <w:top w:val="single" w:sz="4" w:space="0" w:color="auto"/>
              <w:left w:val="single" w:sz="4" w:space="0" w:color="auto"/>
              <w:bottom w:val="single" w:sz="4" w:space="0" w:color="auto"/>
              <w:right w:val="single" w:sz="4" w:space="0" w:color="auto"/>
            </w:tcBorders>
            <w:shd w:val="clear" w:color="auto" w:fill="auto"/>
          </w:tcPr>
          <w:p w14:paraId="174E309C" w14:textId="32E2921A" w:rsidR="00DB79FA" w:rsidRPr="00FD2484" w:rsidRDefault="008C4DAE" w:rsidP="00DB79FA">
            <w:pPr>
              <w:pStyle w:val="Tabletext"/>
            </w:pPr>
            <w:r>
              <w:t xml:space="preserve">Magistrates’ Court - </w:t>
            </w:r>
            <w:r w:rsidR="00DB79FA" w:rsidRPr="00FD2484">
              <w:t>KPMG development of Drug Court of Victoria expansion business case</w:t>
            </w:r>
          </w:p>
        </w:tc>
        <w:tc>
          <w:tcPr>
            <w:tcW w:w="1544" w:type="dxa"/>
            <w:tcBorders>
              <w:top w:val="single" w:sz="4" w:space="0" w:color="auto"/>
              <w:left w:val="single" w:sz="4" w:space="0" w:color="auto"/>
              <w:bottom w:val="single" w:sz="4" w:space="0" w:color="auto"/>
              <w:right w:val="single" w:sz="4" w:space="0" w:color="auto"/>
            </w:tcBorders>
            <w:shd w:val="clear" w:color="auto" w:fill="auto"/>
          </w:tcPr>
          <w:p w14:paraId="2DAB82E0" w14:textId="0D2E35CB" w:rsidR="00DB79FA" w:rsidRPr="00FD2484" w:rsidRDefault="00DB79FA" w:rsidP="00F73D3B">
            <w:pPr>
              <w:pStyle w:val="Tabletext"/>
              <w:jc w:val="right"/>
            </w:pPr>
            <w:r w:rsidRPr="00FD2484">
              <w:t xml:space="preserve">87,804 </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7C899AD" w14:textId="77777777" w:rsidR="00DB79FA" w:rsidRPr="00FD2484" w:rsidRDefault="00DB79FA" w:rsidP="00F73D3B">
            <w:pPr>
              <w:pStyle w:val="Tabletext"/>
              <w:jc w:val="right"/>
            </w:pPr>
            <w:r w:rsidRPr="00FD2484">
              <w:t xml:space="preserve">87,804 </w:t>
            </w:r>
          </w:p>
        </w:tc>
        <w:tc>
          <w:tcPr>
            <w:tcW w:w="1603" w:type="dxa"/>
            <w:tcBorders>
              <w:top w:val="single" w:sz="4" w:space="0" w:color="auto"/>
              <w:left w:val="single" w:sz="4" w:space="0" w:color="auto"/>
              <w:bottom w:val="single" w:sz="4" w:space="0" w:color="auto"/>
            </w:tcBorders>
            <w:shd w:val="clear" w:color="auto" w:fill="auto"/>
          </w:tcPr>
          <w:p w14:paraId="55BC5491" w14:textId="77777777" w:rsidR="00DB79FA" w:rsidRPr="00FD2484" w:rsidRDefault="00DB79FA" w:rsidP="00F73D3B">
            <w:pPr>
              <w:pStyle w:val="Tabletext"/>
              <w:jc w:val="right"/>
            </w:pPr>
            <w:r w:rsidRPr="00FD2484">
              <w:t>0</w:t>
            </w:r>
          </w:p>
        </w:tc>
      </w:tr>
      <w:tr w:rsidR="00DB79FA" w:rsidRPr="0009156E" w14:paraId="2FDDD726" w14:textId="77777777" w:rsidTr="00562EFA">
        <w:tc>
          <w:tcPr>
            <w:tcW w:w="2422" w:type="dxa"/>
            <w:tcBorders>
              <w:top w:val="single" w:sz="4" w:space="0" w:color="auto"/>
              <w:bottom w:val="single" w:sz="4" w:space="0" w:color="auto"/>
              <w:right w:val="single" w:sz="4" w:space="0" w:color="auto"/>
            </w:tcBorders>
            <w:shd w:val="clear" w:color="auto" w:fill="auto"/>
          </w:tcPr>
          <w:p w14:paraId="22982E73" w14:textId="622E10C9" w:rsidR="00DB79FA" w:rsidRPr="00FD2484" w:rsidRDefault="001B0757" w:rsidP="00DB79FA">
            <w:pPr>
              <w:pStyle w:val="Tabletext"/>
            </w:pPr>
            <w:r w:rsidRPr="00FD2484">
              <w:t>R</w:t>
            </w:r>
            <w:r>
              <w:t>MIT</w:t>
            </w:r>
            <w:r w:rsidRPr="00FD2484">
              <w:t xml:space="preserve"> University</w:t>
            </w:r>
          </w:p>
        </w:tc>
        <w:tc>
          <w:tcPr>
            <w:tcW w:w="2509" w:type="dxa"/>
            <w:tcBorders>
              <w:top w:val="single" w:sz="4" w:space="0" w:color="auto"/>
              <w:left w:val="single" w:sz="4" w:space="0" w:color="auto"/>
              <w:bottom w:val="single" w:sz="4" w:space="0" w:color="auto"/>
              <w:right w:val="single" w:sz="4" w:space="0" w:color="auto"/>
            </w:tcBorders>
            <w:shd w:val="clear" w:color="auto" w:fill="auto"/>
          </w:tcPr>
          <w:p w14:paraId="433AC2C6" w14:textId="1C46DEE4" w:rsidR="00DB79FA" w:rsidRPr="00FD2484" w:rsidRDefault="008C4DAE" w:rsidP="00DB79FA">
            <w:pPr>
              <w:pStyle w:val="Tabletext"/>
            </w:pPr>
            <w:r>
              <w:t xml:space="preserve">Children’s Court - </w:t>
            </w:r>
            <w:r w:rsidR="00DB79FA" w:rsidRPr="00FD2484">
              <w:t>Evaluation of the Youth Diversion Pilot Program by Prof</w:t>
            </w:r>
            <w:r>
              <w:t>essor</w:t>
            </w:r>
            <w:r w:rsidR="00DB79FA" w:rsidRPr="00FD2484">
              <w:t xml:space="preserve"> Stuart Thomas</w:t>
            </w:r>
          </w:p>
        </w:tc>
        <w:tc>
          <w:tcPr>
            <w:tcW w:w="1544" w:type="dxa"/>
            <w:tcBorders>
              <w:top w:val="single" w:sz="4" w:space="0" w:color="auto"/>
              <w:left w:val="single" w:sz="4" w:space="0" w:color="auto"/>
              <w:bottom w:val="single" w:sz="4" w:space="0" w:color="auto"/>
              <w:right w:val="single" w:sz="4" w:space="0" w:color="auto"/>
            </w:tcBorders>
            <w:shd w:val="clear" w:color="auto" w:fill="auto"/>
          </w:tcPr>
          <w:p w14:paraId="404F0D55" w14:textId="725D4303" w:rsidR="00DB79FA" w:rsidRPr="00FD2484" w:rsidRDefault="00485CC7" w:rsidP="00F73D3B">
            <w:pPr>
              <w:pStyle w:val="Tabletext"/>
              <w:jc w:val="right"/>
            </w:pPr>
            <w:r>
              <w:t>81,669</w:t>
            </w:r>
            <w:r w:rsidR="00DB79FA" w:rsidRPr="00FD2484">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3BF42D5" w14:textId="77777777" w:rsidR="00DB79FA" w:rsidRPr="00FD2484" w:rsidRDefault="00DB79FA" w:rsidP="00F73D3B">
            <w:pPr>
              <w:pStyle w:val="Tabletext"/>
              <w:jc w:val="right"/>
            </w:pPr>
            <w:r w:rsidRPr="00FD2484">
              <w:t xml:space="preserve">41,360 </w:t>
            </w:r>
          </w:p>
        </w:tc>
        <w:tc>
          <w:tcPr>
            <w:tcW w:w="1603" w:type="dxa"/>
            <w:tcBorders>
              <w:top w:val="single" w:sz="4" w:space="0" w:color="auto"/>
              <w:left w:val="single" w:sz="4" w:space="0" w:color="auto"/>
              <w:bottom w:val="single" w:sz="4" w:space="0" w:color="auto"/>
            </w:tcBorders>
            <w:shd w:val="clear" w:color="auto" w:fill="auto"/>
          </w:tcPr>
          <w:p w14:paraId="4B73ADC2" w14:textId="77777777" w:rsidR="00DB79FA" w:rsidRPr="00FD2484" w:rsidRDefault="00DB79FA" w:rsidP="00F73D3B">
            <w:pPr>
              <w:pStyle w:val="Tabletext"/>
              <w:jc w:val="right"/>
            </w:pPr>
            <w:r w:rsidRPr="00FD2484">
              <w:t xml:space="preserve">40,309 </w:t>
            </w:r>
          </w:p>
        </w:tc>
      </w:tr>
      <w:tr w:rsidR="00DB79FA" w:rsidRPr="0009156E" w14:paraId="76BF7C02" w14:textId="77777777" w:rsidTr="00562EFA">
        <w:tc>
          <w:tcPr>
            <w:tcW w:w="2422" w:type="dxa"/>
            <w:tcBorders>
              <w:top w:val="single" w:sz="4" w:space="0" w:color="auto"/>
              <w:bottom w:val="single" w:sz="4" w:space="0" w:color="auto"/>
              <w:right w:val="single" w:sz="4" w:space="0" w:color="auto"/>
            </w:tcBorders>
            <w:shd w:val="clear" w:color="auto" w:fill="auto"/>
          </w:tcPr>
          <w:p w14:paraId="6C93A751" w14:textId="5C2A2715" w:rsidR="00DB79FA" w:rsidRPr="00FD2484" w:rsidRDefault="001B0757" w:rsidP="00DB79FA">
            <w:pPr>
              <w:pStyle w:val="Tabletext"/>
            </w:pPr>
            <w:r w:rsidRPr="00FD2484">
              <w:t>The Boston Consulting Group Pty Ltd</w:t>
            </w:r>
          </w:p>
        </w:tc>
        <w:tc>
          <w:tcPr>
            <w:tcW w:w="2509" w:type="dxa"/>
            <w:tcBorders>
              <w:top w:val="single" w:sz="4" w:space="0" w:color="auto"/>
              <w:left w:val="single" w:sz="4" w:space="0" w:color="auto"/>
              <w:bottom w:val="single" w:sz="4" w:space="0" w:color="auto"/>
              <w:right w:val="single" w:sz="4" w:space="0" w:color="auto"/>
            </w:tcBorders>
            <w:shd w:val="clear" w:color="auto" w:fill="auto"/>
          </w:tcPr>
          <w:p w14:paraId="7786B872" w14:textId="77777777" w:rsidR="00DB79FA" w:rsidRPr="00FD2484" w:rsidRDefault="00DB79FA" w:rsidP="00DB79FA">
            <w:pPr>
              <w:pStyle w:val="Tabletext"/>
            </w:pPr>
            <w:r w:rsidRPr="00FD2484">
              <w:t>Magistrates' Court of Victoria Major Strategic Review to modernise the Court's processes &amp; structures</w:t>
            </w:r>
          </w:p>
        </w:tc>
        <w:tc>
          <w:tcPr>
            <w:tcW w:w="1544" w:type="dxa"/>
            <w:tcBorders>
              <w:top w:val="single" w:sz="4" w:space="0" w:color="auto"/>
              <w:left w:val="single" w:sz="4" w:space="0" w:color="auto"/>
              <w:bottom w:val="single" w:sz="4" w:space="0" w:color="auto"/>
              <w:right w:val="single" w:sz="4" w:space="0" w:color="auto"/>
            </w:tcBorders>
            <w:shd w:val="clear" w:color="auto" w:fill="auto"/>
          </w:tcPr>
          <w:p w14:paraId="065EEE85" w14:textId="40D25894" w:rsidR="00DB79FA" w:rsidRPr="00FD2484" w:rsidRDefault="00DB79FA" w:rsidP="00F73D3B">
            <w:pPr>
              <w:pStyle w:val="Tabletext"/>
              <w:jc w:val="right"/>
            </w:pPr>
            <w:r w:rsidRPr="00FD2484">
              <w:t xml:space="preserve">1,375,000 </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2F11699" w14:textId="77777777" w:rsidR="00DB79FA" w:rsidRPr="00FD2484" w:rsidRDefault="00DB79FA" w:rsidP="00F73D3B">
            <w:pPr>
              <w:pStyle w:val="Tabletext"/>
              <w:jc w:val="right"/>
            </w:pPr>
            <w:r w:rsidRPr="00FD2484">
              <w:t xml:space="preserve">1,375,000 </w:t>
            </w:r>
          </w:p>
        </w:tc>
        <w:tc>
          <w:tcPr>
            <w:tcW w:w="1603" w:type="dxa"/>
            <w:tcBorders>
              <w:top w:val="single" w:sz="4" w:space="0" w:color="auto"/>
              <w:left w:val="single" w:sz="4" w:space="0" w:color="auto"/>
              <w:bottom w:val="single" w:sz="4" w:space="0" w:color="auto"/>
            </w:tcBorders>
            <w:shd w:val="clear" w:color="auto" w:fill="auto"/>
          </w:tcPr>
          <w:p w14:paraId="75FC9A7C" w14:textId="77777777" w:rsidR="00DB79FA" w:rsidRPr="00FD2484" w:rsidRDefault="00DB79FA" w:rsidP="00F73D3B">
            <w:pPr>
              <w:pStyle w:val="Tabletext"/>
              <w:jc w:val="right"/>
            </w:pPr>
            <w:r w:rsidRPr="00FD2484">
              <w:t>0</w:t>
            </w:r>
          </w:p>
        </w:tc>
      </w:tr>
      <w:tr w:rsidR="00DB79FA" w:rsidRPr="0009156E" w14:paraId="61C5B9F9" w14:textId="77777777" w:rsidTr="00562EFA">
        <w:tc>
          <w:tcPr>
            <w:tcW w:w="2422" w:type="dxa"/>
            <w:tcBorders>
              <w:top w:val="single" w:sz="4" w:space="0" w:color="auto"/>
              <w:bottom w:val="single" w:sz="4" w:space="0" w:color="auto"/>
              <w:right w:val="single" w:sz="4" w:space="0" w:color="auto"/>
            </w:tcBorders>
            <w:shd w:val="clear" w:color="auto" w:fill="auto"/>
          </w:tcPr>
          <w:p w14:paraId="2B055E53" w14:textId="733333AF" w:rsidR="00DB79FA" w:rsidRPr="00FD2484" w:rsidRDefault="001B0757" w:rsidP="00DB79FA">
            <w:pPr>
              <w:pStyle w:val="Tabletext"/>
            </w:pPr>
            <w:r w:rsidRPr="00FD2484">
              <w:t>The University Of Melbourne</w:t>
            </w:r>
          </w:p>
        </w:tc>
        <w:tc>
          <w:tcPr>
            <w:tcW w:w="2509" w:type="dxa"/>
            <w:tcBorders>
              <w:top w:val="single" w:sz="4" w:space="0" w:color="auto"/>
              <w:left w:val="single" w:sz="4" w:space="0" w:color="auto"/>
              <w:bottom w:val="single" w:sz="4" w:space="0" w:color="auto"/>
              <w:right w:val="single" w:sz="4" w:space="0" w:color="auto"/>
            </w:tcBorders>
            <w:shd w:val="clear" w:color="auto" w:fill="auto"/>
          </w:tcPr>
          <w:p w14:paraId="08006AE6" w14:textId="77777777" w:rsidR="00DB79FA" w:rsidRPr="00FD2484" w:rsidRDefault="00DB79FA" w:rsidP="00DB79FA">
            <w:pPr>
              <w:pStyle w:val="Tabletext"/>
            </w:pPr>
            <w:r w:rsidRPr="00FD2484">
              <w:t>Consultancy for a Magistrates' Court of Victoria Learning Strategy</w:t>
            </w:r>
          </w:p>
        </w:tc>
        <w:tc>
          <w:tcPr>
            <w:tcW w:w="1544" w:type="dxa"/>
            <w:tcBorders>
              <w:top w:val="single" w:sz="4" w:space="0" w:color="auto"/>
              <w:left w:val="single" w:sz="4" w:space="0" w:color="auto"/>
              <w:bottom w:val="single" w:sz="4" w:space="0" w:color="auto"/>
              <w:right w:val="single" w:sz="4" w:space="0" w:color="auto"/>
            </w:tcBorders>
            <w:shd w:val="clear" w:color="auto" w:fill="auto"/>
          </w:tcPr>
          <w:p w14:paraId="1311BDBE" w14:textId="0384FDC9" w:rsidR="00DB79FA" w:rsidRPr="00FD2484" w:rsidRDefault="00DB79FA" w:rsidP="00F73D3B">
            <w:pPr>
              <w:pStyle w:val="Tabletext"/>
              <w:jc w:val="right"/>
            </w:pPr>
            <w:r w:rsidRPr="00FD2484">
              <w:t xml:space="preserve">17,538 </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AA8E0BD" w14:textId="77777777" w:rsidR="00DB79FA" w:rsidRPr="00FD2484" w:rsidRDefault="00DB79FA" w:rsidP="00F73D3B">
            <w:pPr>
              <w:pStyle w:val="Tabletext"/>
              <w:jc w:val="right"/>
            </w:pPr>
            <w:r w:rsidRPr="00FD2484">
              <w:t xml:space="preserve">17,538 </w:t>
            </w:r>
          </w:p>
        </w:tc>
        <w:tc>
          <w:tcPr>
            <w:tcW w:w="1603" w:type="dxa"/>
            <w:tcBorders>
              <w:top w:val="single" w:sz="4" w:space="0" w:color="auto"/>
              <w:left w:val="single" w:sz="4" w:space="0" w:color="auto"/>
              <w:bottom w:val="single" w:sz="4" w:space="0" w:color="auto"/>
            </w:tcBorders>
            <w:shd w:val="clear" w:color="auto" w:fill="auto"/>
          </w:tcPr>
          <w:p w14:paraId="2BC28DC6" w14:textId="77777777" w:rsidR="00DB79FA" w:rsidRPr="00FD2484" w:rsidRDefault="00DB79FA" w:rsidP="00F73D3B">
            <w:pPr>
              <w:pStyle w:val="Tabletext"/>
              <w:jc w:val="right"/>
            </w:pPr>
            <w:r w:rsidRPr="00FD2484">
              <w:t>0</w:t>
            </w:r>
          </w:p>
        </w:tc>
      </w:tr>
      <w:tr w:rsidR="00DB79FA" w:rsidRPr="0009156E" w14:paraId="4E2226E2" w14:textId="77777777" w:rsidTr="00562EFA">
        <w:tc>
          <w:tcPr>
            <w:tcW w:w="2422" w:type="dxa"/>
            <w:tcBorders>
              <w:top w:val="single" w:sz="4" w:space="0" w:color="auto"/>
              <w:bottom w:val="single" w:sz="4" w:space="0" w:color="auto"/>
              <w:right w:val="single" w:sz="4" w:space="0" w:color="auto"/>
            </w:tcBorders>
            <w:shd w:val="clear" w:color="auto" w:fill="auto"/>
          </w:tcPr>
          <w:p w14:paraId="173D3ADC" w14:textId="77777777" w:rsidR="00DB79FA" w:rsidRPr="00FD2484" w:rsidRDefault="00DB79FA" w:rsidP="00DB79FA">
            <w:pPr>
              <w:pStyle w:val="Tabletext"/>
            </w:pPr>
          </w:p>
        </w:tc>
        <w:tc>
          <w:tcPr>
            <w:tcW w:w="2509" w:type="dxa"/>
            <w:tcBorders>
              <w:top w:val="single" w:sz="4" w:space="0" w:color="auto"/>
              <w:left w:val="single" w:sz="4" w:space="0" w:color="auto"/>
              <w:bottom w:val="single" w:sz="4" w:space="0" w:color="auto"/>
              <w:right w:val="single" w:sz="4" w:space="0" w:color="auto"/>
            </w:tcBorders>
            <w:shd w:val="clear" w:color="auto" w:fill="auto"/>
          </w:tcPr>
          <w:p w14:paraId="2307C62B" w14:textId="77777777" w:rsidR="00DB79FA" w:rsidRPr="00C60580" w:rsidRDefault="00DB79FA" w:rsidP="00DB79FA">
            <w:pPr>
              <w:pStyle w:val="Tabletext"/>
              <w:rPr>
                <w:b/>
              </w:rPr>
            </w:pPr>
            <w:r w:rsidRPr="00C60580">
              <w:rPr>
                <w:b/>
              </w:rPr>
              <w:t>TOTAL</w:t>
            </w:r>
          </w:p>
        </w:tc>
        <w:tc>
          <w:tcPr>
            <w:tcW w:w="1544" w:type="dxa"/>
            <w:tcBorders>
              <w:top w:val="single" w:sz="4" w:space="0" w:color="auto"/>
              <w:left w:val="single" w:sz="4" w:space="0" w:color="auto"/>
              <w:bottom w:val="single" w:sz="4" w:space="0" w:color="auto"/>
              <w:right w:val="single" w:sz="4" w:space="0" w:color="auto"/>
            </w:tcBorders>
            <w:shd w:val="clear" w:color="auto" w:fill="auto"/>
          </w:tcPr>
          <w:p w14:paraId="602B660C" w14:textId="77777777" w:rsidR="0049528C" w:rsidRPr="0049528C" w:rsidRDefault="0049528C" w:rsidP="0049528C">
            <w:pPr>
              <w:jc w:val="right"/>
              <w:rPr>
                <w:b/>
                <w:color w:val="000000"/>
                <w:sz w:val="20"/>
                <w:szCs w:val="20"/>
              </w:rPr>
            </w:pPr>
            <w:r w:rsidRPr="0049528C">
              <w:rPr>
                <w:b/>
                <w:color w:val="000000"/>
                <w:sz w:val="20"/>
                <w:szCs w:val="20"/>
              </w:rPr>
              <w:t>2,223,425</w:t>
            </w:r>
          </w:p>
          <w:p w14:paraId="7C4A1498" w14:textId="3FE1A850" w:rsidR="00DB79FA" w:rsidRPr="00C60580" w:rsidRDefault="00DB79FA" w:rsidP="00F73D3B">
            <w:pPr>
              <w:pStyle w:val="Tabletext"/>
              <w:jc w:val="right"/>
              <w:rPr>
                <w:b/>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104F52B" w14:textId="4F02D9CE" w:rsidR="00DB79FA" w:rsidRPr="00C60580" w:rsidRDefault="0049528C" w:rsidP="00F73D3B">
            <w:pPr>
              <w:pStyle w:val="Tabletext"/>
              <w:jc w:val="right"/>
              <w:rPr>
                <w:b/>
              </w:rPr>
            </w:pPr>
            <w:r w:rsidRPr="0049528C">
              <w:rPr>
                <w:b/>
              </w:rPr>
              <w:t>2</w:t>
            </w:r>
            <w:r>
              <w:rPr>
                <w:b/>
              </w:rPr>
              <w:t>,</w:t>
            </w:r>
            <w:r w:rsidRPr="0049528C">
              <w:rPr>
                <w:b/>
              </w:rPr>
              <w:t>056</w:t>
            </w:r>
            <w:r>
              <w:rPr>
                <w:b/>
              </w:rPr>
              <w:t>,</w:t>
            </w:r>
            <w:r w:rsidRPr="0049528C">
              <w:rPr>
                <w:b/>
              </w:rPr>
              <w:t>403</w:t>
            </w:r>
            <w:r>
              <w:rPr>
                <w:b/>
              </w:rPr>
              <w:t xml:space="preserve"> </w:t>
            </w:r>
          </w:p>
        </w:tc>
        <w:tc>
          <w:tcPr>
            <w:tcW w:w="1603" w:type="dxa"/>
            <w:tcBorders>
              <w:top w:val="single" w:sz="4" w:space="0" w:color="auto"/>
              <w:left w:val="single" w:sz="4" w:space="0" w:color="auto"/>
              <w:bottom w:val="single" w:sz="4" w:space="0" w:color="auto"/>
            </w:tcBorders>
            <w:shd w:val="clear" w:color="auto" w:fill="auto"/>
          </w:tcPr>
          <w:p w14:paraId="763E4676" w14:textId="0C65D9EC" w:rsidR="00DB79FA" w:rsidRPr="00C60580" w:rsidRDefault="00DB79FA" w:rsidP="00F73D3B">
            <w:pPr>
              <w:pStyle w:val="Tabletext"/>
              <w:jc w:val="right"/>
              <w:rPr>
                <w:b/>
              </w:rPr>
            </w:pPr>
            <w:r w:rsidRPr="00C60580">
              <w:rPr>
                <w:b/>
              </w:rPr>
              <w:t xml:space="preserve">67,598 </w:t>
            </w:r>
          </w:p>
        </w:tc>
      </w:tr>
      <w:bookmarkEnd w:id="26"/>
    </w:tbl>
    <w:p w14:paraId="736DAF10" w14:textId="77777777" w:rsidR="006A67F1" w:rsidRPr="00FD2484" w:rsidRDefault="006A67F1" w:rsidP="006A67F1"/>
    <w:p w14:paraId="51E1ECF3" w14:textId="77777777" w:rsidR="002341C4" w:rsidRPr="00FD2484" w:rsidRDefault="001A27C9" w:rsidP="001A27C9">
      <w:pPr>
        <w:pStyle w:val="Heading3"/>
      </w:pPr>
      <w:r w:rsidRPr="00FD2484">
        <w:t>Details of Consultancies U</w:t>
      </w:r>
      <w:r w:rsidR="002341C4" w:rsidRPr="00FD2484">
        <w:t>nder $10,000</w:t>
      </w:r>
    </w:p>
    <w:p w14:paraId="213CE823" w14:textId="106AE3F6" w:rsidR="00DB79FA" w:rsidRDefault="00DB79FA" w:rsidP="00FD2484">
      <w:r w:rsidRPr="00FD2484">
        <w:t>CSV entered into two consultancies under $10,000</w:t>
      </w:r>
      <w:r w:rsidR="003102AC">
        <w:t>.</w:t>
      </w:r>
    </w:p>
    <w:p w14:paraId="3A0E36BA" w14:textId="77777777" w:rsidR="005F300A" w:rsidRDefault="005F300A" w:rsidP="00FD2484"/>
    <w:p w14:paraId="4B9E628F" w14:textId="26FFAFF6" w:rsidR="005F300A" w:rsidRPr="00FD2484" w:rsidRDefault="005F300A" w:rsidP="002D3822">
      <w:pPr>
        <w:pStyle w:val="Caption"/>
      </w:pPr>
      <w:r>
        <w:t>Table 13:</w:t>
      </w:r>
      <w:r>
        <w:tab/>
      </w:r>
      <w:r w:rsidRPr="00FD2484">
        <w:t xml:space="preserve">Consultancies valued </w:t>
      </w:r>
      <w:r>
        <w:t>under</w:t>
      </w:r>
      <w:r w:rsidRPr="00FD2484">
        <w:t xml:space="preserve"> $10,000</w:t>
      </w:r>
    </w:p>
    <w:tbl>
      <w:tblPr>
        <w:tblStyle w:val="TableGrid"/>
        <w:tblW w:w="0" w:type="auto"/>
        <w:tblInd w:w="-5" w:type="dxa"/>
        <w:tblCellMar>
          <w:top w:w="28" w:type="dxa"/>
          <w:left w:w="57" w:type="dxa"/>
          <w:bottom w:w="28" w:type="dxa"/>
          <w:right w:w="57" w:type="dxa"/>
        </w:tblCellMar>
        <w:tblLook w:val="04A0" w:firstRow="1" w:lastRow="0" w:firstColumn="1" w:lastColumn="0" w:noHBand="0" w:noVBand="1"/>
      </w:tblPr>
      <w:tblGrid>
        <w:gridCol w:w="1940"/>
        <w:gridCol w:w="3559"/>
        <w:gridCol w:w="1421"/>
        <w:gridCol w:w="1421"/>
        <w:gridCol w:w="1292"/>
      </w:tblGrid>
      <w:tr w:rsidR="00DB79FA" w:rsidRPr="0009156E" w14:paraId="774A394D" w14:textId="77777777" w:rsidTr="00F73D3B">
        <w:trPr>
          <w:trHeight w:val="945"/>
        </w:trPr>
        <w:tc>
          <w:tcPr>
            <w:tcW w:w="1940" w:type="dxa"/>
            <w:hideMark/>
          </w:tcPr>
          <w:p w14:paraId="77317422" w14:textId="77777777" w:rsidR="00DB79FA" w:rsidRPr="00FD2484" w:rsidRDefault="00DB79FA" w:rsidP="00DB79FA">
            <w:pPr>
              <w:rPr>
                <w:b/>
                <w:sz w:val="20"/>
                <w:szCs w:val="20"/>
              </w:rPr>
            </w:pPr>
            <w:r w:rsidRPr="00FD2484">
              <w:rPr>
                <w:b/>
                <w:sz w:val="20"/>
                <w:szCs w:val="20"/>
              </w:rPr>
              <w:t>Consultant (under $10,000)</w:t>
            </w:r>
          </w:p>
        </w:tc>
        <w:tc>
          <w:tcPr>
            <w:tcW w:w="3559" w:type="dxa"/>
            <w:hideMark/>
          </w:tcPr>
          <w:p w14:paraId="3F414326" w14:textId="77777777" w:rsidR="00DB79FA" w:rsidRPr="00FD2484" w:rsidRDefault="00DB79FA" w:rsidP="00DB79FA">
            <w:pPr>
              <w:rPr>
                <w:b/>
                <w:sz w:val="20"/>
                <w:szCs w:val="20"/>
              </w:rPr>
            </w:pPr>
            <w:r w:rsidRPr="00FD2484">
              <w:rPr>
                <w:b/>
                <w:sz w:val="20"/>
                <w:szCs w:val="20"/>
              </w:rPr>
              <w:t>Purpose of consultancy</w:t>
            </w:r>
          </w:p>
        </w:tc>
        <w:tc>
          <w:tcPr>
            <w:tcW w:w="1421" w:type="dxa"/>
            <w:hideMark/>
          </w:tcPr>
          <w:p w14:paraId="45B9D9F4" w14:textId="77777777" w:rsidR="00DB79FA" w:rsidRPr="00FD2484" w:rsidRDefault="00DB79FA" w:rsidP="00DB79FA">
            <w:pPr>
              <w:rPr>
                <w:b/>
                <w:sz w:val="20"/>
                <w:szCs w:val="20"/>
              </w:rPr>
            </w:pPr>
            <w:r w:rsidRPr="00FD2484">
              <w:rPr>
                <w:b/>
                <w:sz w:val="20"/>
                <w:szCs w:val="20"/>
              </w:rPr>
              <w:t>Total approved project fee (excl GST)</w:t>
            </w:r>
          </w:p>
        </w:tc>
        <w:tc>
          <w:tcPr>
            <w:tcW w:w="1421" w:type="dxa"/>
            <w:hideMark/>
          </w:tcPr>
          <w:p w14:paraId="05EB349E" w14:textId="77777777" w:rsidR="00DB79FA" w:rsidRPr="00FD2484" w:rsidRDefault="00DB79FA" w:rsidP="00DB79FA">
            <w:pPr>
              <w:rPr>
                <w:b/>
                <w:sz w:val="20"/>
                <w:szCs w:val="20"/>
              </w:rPr>
            </w:pPr>
            <w:r w:rsidRPr="00FD2484">
              <w:rPr>
                <w:b/>
                <w:sz w:val="20"/>
                <w:szCs w:val="20"/>
              </w:rPr>
              <w:t>Expenditure 2015-16 (excl GST)</w:t>
            </w:r>
          </w:p>
        </w:tc>
        <w:tc>
          <w:tcPr>
            <w:tcW w:w="1292" w:type="dxa"/>
            <w:hideMark/>
          </w:tcPr>
          <w:p w14:paraId="2B4E561C" w14:textId="77777777" w:rsidR="00DB79FA" w:rsidRPr="00FD2484" w:rsidRDefault="00DB79FA" w:rsidP="00DB79FA">
            <w:pPr>
              <w:rPr>
                <w:b/>
                <w:sz w:val="20"/>
                <w:szCs w:val="20"/>
              </w:rPr>
            </w:pPr>
            <w:r w:rsidRPr="00FD2484">
              <w:rPr>
                <w:b/>
                <w:sz w:val="20"/>
                <w:szCs w:val="20"/>
              </w:rPr>
              <w:t>Future expenditure (excl GST)</w:t>
            </w:r>
          </w:p>
        </w:tc>
      </w:tr>
      <w:tr w:rsidR="00DB79FA" w:rsidRPr="0009156E" w14:paraId="58A53768" w14:textId="77777777" w:rsidTr="00F73D3B">
        <w:trPr>
          <w:trHeight w:val="510"/>
        </w:trPr>
        <w:tc>
          <w:tcPr>
            <w:tcW w:w="1940" w:type="dxa"/>
            <w:hideMark/>
          </w:tcPr>
          <w:p w14:paraId="75852399" w14:textId="24CAAA7E" w:rsidR="00DB79FA" w:rsidRPr="00FD2484" w:rsidRDefault="001B0757">
            <w:pPr>
              <w:rPr>
                <w:sz w:val="20"/>
                <w:szCs w:val="20"/>
              </w:rPr>
            </w:pPr>
            <w:r w:rsidRPr="00FD2484">
              <w:rPr>
                <w:sz w:val="20"/>
                <w:szCs w:val="20"/>
              </w:rPr>
              <w:t>Boccalatte Pty Ltd</w:t>
            </w:r>
          </w:p>
        </w:tc>
        <w:tc>
          <w:tcPr>
            <w:tcW w:w="3559" w:type="dxa"/>
            <w:hideMark/>
          </w:tcPr>
          <w:p w14:paraId="0FB3A2B1" w14:textId="77777777" w:rsidR="00DB79FA" w:rsidRPr="00FD2484" w:rsidRDefault="00DB79FA">
            <w:pPr>
              <w:rPr>
                <w:sz w:val="20"/>
                <w:szCs w:val="20"/>
              </w:rPr>
            </w:pPr>
            <w:r w:rsidRPr="00FD2484">
              <w:rPr>
                <w:sz w:val="20"/>
                <w:szCs w:val="20"/>
              </w:rPr>
              <w:t>Development of branding and communication strategy for the Neighbourhood Justice Centre</w:t>
            </w:r>
          </w:p>
        </w:tc>
        <w:tc>
          <w:tcPr>
            <w:tcW w:w="1421" w:type="dxa"/>
            <w:noWrap/>
            <w:hideMark/>
          </w:tcPr>
          <w:p w14:paraId="79750862" w14:textId="0855FC99" w:rsidR="00DB79FA" w:rsidRPr="00FD2484" w:rsidRDefault="00DB79FA" w:rsidP="00F73D3B">
            <w:pPr>
              <w:jc w:val="right"/>
              <w:rPr>
                <w:sz w:val="20"/>
                <w:szCs w:val="20"/>
              </w:rPr>
            </w:pPr>
            <w:r w:rsidRPr="00FD2484">
              <w:rPr>
                <w:sz w:val="20"/>
                <w:szCs w:val="20"/>
              </w:rPr>
              <w:t xml:space="preserve">20,000 </w:t>
            </w:r>
          </w:p>
        </w:tc>
        <w:tc>
          <w:tcPr>
            <w:tcW w:w="1421" w:type="dxa"/>
            <w:noWrap/>
            <w:hideMark/>
          </w:tcPr>
          <w:p w14:paraId="19CF9EA0" w14:textId="77777777" w:rsidR="00DB79FA" w:rsidRPr="00FD2484" w:rsidRDefault="00DB79FA" w:rsidP="00F73D3B">
            <w:pPr>
              <w:jc w:val="right"/>
              <w:rPr>
                <w:sz w:val="20"/>
                <w:szCs w:val="20"/>
              </w:rPr>
            </w:pPr>
            <w:r w:rsidRPr="00FD2484">
              <w:rPr>
                <w:sz w:val="20"/>
                <w:szCs w:val="20"/>
              </w:rPr>
              <w:t xml:space="preserve">5,000 </w:t>
            </w:r>
          </w:p>
        </w:tc>
        <w:tc>
          <w:tcPr>
            <w:tcW w:w="1292" w:type="dxa"/>
            <w:noWrap/>
            <w:hideMark/>
          </w:tcPr>
          <w:p w14:paraId="4D051FE3" w14:textId="77777777" w:rsidR="00DB79FA" w:rsidRPr="00FD2484" w:rsidRDefault="00DB79FA" w:rsidP="00F73D3B">
            <w:pPr>
              <w:jc w:val="right"/>
              <w:rPr>
                <w:sz w:val="20"/>
                <w:szCs w:val="20"/>
              </w:rPr>
            </w:pPr>
            <w:r w:rsidRPr="00FD2484">
              <w:rPr>
                <w:sz w:val="20"/>
                <w:szCs w:val="20"/>
              </w:rPr>
              <w:t>0</w:t>
            </w:r>
          </w:p>
        </w:tc>
      </w:tr>
      <w:tr w:rsidR="00DB79FA" w:rsidRPr="0009156E" w14:paraId="4977D62B" w14:textId="77777777" w:rsidTr="00F73D3B">
        <w:trPr>
          <w:trHeight w:val="765"/>
        </w:trPr>
        <w:tc>
          <w:tcPr>
            <w:tcW w:w="1940" w:type="dxa"/>
            <w:hideMark/>
          </w:tcPr>
          <w:p w14:paraId="554B78DB" w14:textId="64F5CEBA" w:rsidR="00DB79FA" w:rsidRPr="00FD2484" w:rsidRDefault="001B0757">
            <w:pPr>
              <w:rPr>
                <w:sz w:val="20"/>
                <w:szCs w:val="20"/>
              </w:rPr>
            </w:pPr>
            <w:r w:rsidRPr="00FD2484">
              <w:rPr>
                <w:sz w:val="20"/>
                <w:szCs w:val="20"/>
              </w:rPr>
              <w:t>Perrott Strategic Pty Ltd</w:t>
            </w:r>
          </w:p>
        </w:tc>
        <w:tc>
          <w:tcPr>
            <w:tcW w:w="3559" w:type="dxa"/>
            <w:hideMark/>
          </w:tcPr>
          <w:p w14:paraId="4B684EDC" w14:textId="57732382" w:rsidR="00DB79FA" w:rsidRPr="00FD2484" w:rsidRDefault="00DB79FA">
            <w:pPr>
              <w:rPr>
                <w:sz w:val="20"/>
                <w:szCs w:val="20"/>
              </w:rPr>
            </w:pPr>
            <w:r w:rsidRPr="00FD2484">
              <w:rPr>
                <w:sz w:val="20"/>
                <w:szCs w:val="20"/>
              </w:rPr>
              <w:t>Development of Communications Strategy and provision of communications services to the</w:t>
            </w:r>
            <w:r w:rsidR="001B0757">
              <w:rPr>
                <w:sz w:val="20"/>
                <w:szCs w:val="20"/>
              </w:rPr>
              <w:t xml:space="preserve"> </w:t>
            </w:r>
            <w:r w:rsidRPr="00FD2484">
              <w:rPr>
                <w:sz w:val="20"/>
                <w:szCs w:val="20"/>
              </w:rPr>
              <w:t xml:space="preserve">Asset </w:t>
            </w:r>
            <w:r w:rsidR="001B0757">
              <w:rPr>
                <w:sz w:val="20"/>
                <w:szCs w:val="20"/>
              </w:rPr>
              <w:t>and Security Division</w:t>
            </w:r>
          </w:p>
        </w:tc>
        <w:tc>
          <w:tcPr>
            <w:tcW w:w="1421" w:type="dxa"/>
            <w:noWrap/>
            <w:hideMark/>
          </w:tcPr>
          <w:p w14:paraId="7BA63DF0" w14:textId="336FDB77" w:rsidR="00DB79FA" w:rsidRPr="00FD2484" w:rsidRDefault="00DB79FA" w:rsidP="00F73D3B">
            <w:pPr>
              <w:jc w:val="right"/>
              <w:rPr>
                <w:sz w:val="20"/>
                <w:szCs w:val="20"/>
              </w:rPr>
            </w:pPr>
            <w:r w:rsidRPr="00FD2484">
              <w:rPr>
                <w:sz w:val="20"/>
                <w:szCs w:val="20"/>
              </w:rPr>
              <w:t xml:space="preserve">8,600 </w:t>
            </w:r>
          </w:p>
        </w:tc>
        <w:tc>
          <w:tcPr>
            <w:tcW w:w="1421" w:type="dxa"/>
            <w:noWrap/>
            <w:hideMark/>
          </w:tcPr>
          <w:p w14:paraId="33A30F3B" w14:textId="77777777" w:rsidR="00DB79FA" w:rsidRPr="00FD2484" w:rsidRDefault="00DB79FA" w:rsidP="00F73D3B">
            <w:pPr>
              <w:jc w:val="right"/>
              <w:rPr>
                <w:sz w:val="20"/>
                <w:szCs w:val="20"/>
              </w:rPr>
            </w:pPr>
            <w:r w:rsidRPr="00FD2484">
              <w:rPr>
                <w:sz w:val="20"/>
                <w:szCs w:val="20"/>
              </w:rPr>
              <w:t xml:space="preserve">8,600 </w:t>
            </w:r>
          </w:p>
        </w:tc>
        <w:tc>
          <w:tcPr>
            <w:tcW w:w="1292" w:type="dxa"/>
            <w:noWrap/>
            <w:hideMark/>
          </w:tcPr>
          <w:p w14:paraId="118C2BC5" w14:textId="77777777" w:rsidR="00DB79FA" w:rsidRPr="00FD2484" w:rsidRDefault="00DB79FA" w:rsidP="00F73D3B">
            <w:pPr>
              <w:jc w:val="right"/>
              <w:rPr>
                <w:sz w:val="20"/>
                <w:szCs w:val="20"/>
              </w:rPr>
            </w:pPr>
            <w:r w:rsidRPr="00FD2484">
              <w:rPr>
                <w:sz w:val="20"/>
                <w:szCs w:val="20"/>
              </w:rPr>
              <w:t>0</w:t>
            </w:r>
          </w:p>
        </w:tc>
      </w:tr>
      <w:tr w:rsidR="00DB79FA" w:rsidRPr="0009156E" w14:paraId="03921963" w14:textId="77777777" w:rsidTr="00F73D3B">
        <w:trPr>
          <w:trHeight w:val="255"/>
        </w:trPr>
        <w:tc>
          <w:tcPr>
            <w:tcW w:w="1940" w:type="dxa"/>
            <w:hideMark/>
          </w:tcPr>
          <w:p w14:paraId="5068683B" w14:textId="77777777" w:rsidR="00DB79FA" w:rsidRPr="00FD2484" w:rsidRDefault="00DB79FA">
            <w:pPr>
              <w:rPr>
                <w:sz w:val="20"/>
                <w:szCs w:val="20"/>
              </w:rPr>
            </w:pPr>
          </w:p>
        </w:tc>
        <w:tc>
          <w:tcPr>
            <w:tcW w:w="3559" w:type="dxa"/>
            <w:hideMark/>
          </w:tcPr>
          <w:p w14:paraId="50737A65" w14:textId="77777777" w:rsidR="00DB79FA" w:rsidRPr="00FD2484" w:rsidRDefault="00DB79FA">
            <w:pPr>
              <w:rPr>
                <w:b/>
                <w:bCs/>
                <w:sz w:val="20"/>
                <w:szCs w:val="20"/>
              </w:rPr>
            </w:pPr>
            <w:r w:rsidRPr="00FD2484">
              <w:rPr>
                <w:b/>
                <w:bCs/>
                <w:sz w:val="20"/>
                <w:szCs w:val="20"/>
              </w:rPr>
              <w:t>TOTAL</w:t>
            </w:r>
          </w:p>
        </w:tc>
        <w:tc>
          <w:tcPr>
            <w:tcW w:w="1421" w:type="dxa"/>
            <w:noWrap/>
            <w:hideMark/>
          </w:tcPr>
          <w:p w14:paraId="792B6229" w14:textId="41E3EBBC" w:rsidR="00DB79FA" w:rsidRPr="00FD2484" w:rsidRDefault="00DB79FA" w:rsidP="00F73D3B">
            <w:pPr>
              <w:jc w:val="right"/>
              <w:rPr>
                <w:b/>
                <w:bCs/>
                <w:sz w:val="20"/>
                <w:szCs w:val="20"/>
              </w:rPr>
            </w:pPr>
            <w:r w:rsidRPr="00FD2484">
              <w:rPr>
                <w:b/>
                <w:bCs/>
                <w:sz w:val="20"/>
                <w:szCs w:val="20"/>
              </w:rPr>
              <w:t xml:space="preserve">28,600 </w:t>
            </w:r>
          </w:p>
        </w:tc>
        <w:tc>
          <w:tcPr>
            <w:tcW w:w="1421" w:type="dxa"/>
            <w:noWrap/>
            <w:hideMark/>
          </w:tcPr>
          <w:p w14:paraId="1061A733" w14:textId="1059DD50" w:rsidR="00DB79FA" w:rsidRPr="00FD2484" w:rsidRDefault="00DB79FA" w:rsidP="00F73D3B">
            <w:pPr>
              <w:jc w:val="right"/>
              <w:rPr>
                <w:b/>
                <w:bCs/>
                <w:sz w:val="20"/>
                <w:szCs w:val="20"/>
              </w:rPr>
            </w:pPr>
            <w:r w:rsidRPr="00FD2484">
              <w:rPr>
                <w:b/>
                <w:bCs/>
                <w:sz w:val="20"/>
                <w:szCs w:val="20"/>
              </w:rPr>
              <w:t xml:space="preserve">13,600 </w:t>
            </w:r>
          </w:p>
        </w:tc>
        <w:tc>
          <w:tcPr>
            <w:tcW w:w="1292" w:type="dxa"/>
            <w:noWrap/>
            <w:hideMark/>
          </w:tcPr>
          <w:p w14:paraId="0D57FD03" w14:textId="4692D74E" w:rsidR="00DB79FA" w:rsidRPr="00FD2484" w:rsidRDefault="00086B4B" w:rsidP="00F73D3B">
            <w:pPr>
              <w:jc w:val="right"/>
              <w:rPr>
                <w:b/>
                <w:bCs/>
                <w:sz w:val="20"/>
                <w:szCs w:val="20"/>
              </w:rPr>
            </w:pPr>
            <w:r>
              <w:rPr>
                <w:b/>
                <w:bCs/>
                <w:sz w:val="20"/>
                <w:szCs w:val="20"/>
              </w:rPr>
              <w:t>0</w:t>
            </w:r>
          </w:p>
        </w:tc>
      </w:tr>
    </w:tbl>
    <w:p w14:paraId="1FF44782" w14:textId="77777777" w:rsidR="00CE2389" w:rsidRDefault="00CE2389" w:rsidP="00CE2389"/>
    <w:p w14:paraId="78D22C5B" w14:textId="77777777" w:rsidR="002341C4" w:rsidRPr="0091018D" w:rsidRDefault="002341C4" w:rsidP="002341C4">
      <w:pPr>
        <w:pStyle w:val="Heading3"/>
        <w:rPr>
          <w:rFonts w:ascii="Arial Bold" w:hAnsi="Arial Bold"/>
        </w:rPr>
      </w:pPr>
      <w:r w:rsidRPr="0091018D">
        <w:t xml:space="preserve">Disclosure of </w:t>
      </w:r>
      <w:r w:rsidR="001A27C9" w:rsidRPr="0091018D">
        <w:t>M</w:t>
      </w:r>
      <w:r w:rsidRPr="0091018D">
        <w:t xml:space="preserve">ajor </w:t>
      </w:r>
      <w:r w:rsidR="001A27C9" w:rsidRPr="0091018D">
        <w:t>C</w:t>
      </w:r>
      <w:r w:rsidRPr="0091018D">
        <w:t xml:space="preserve">ontracts </w:t>
      </w:r>
    </w:p>
    <w:p w14:paraId="31FC9BD1" w14:textId="3489FD71" w:rsidR="00183D28" w:rsidRDefault="00DB79FA" w:rsidP="00A7716B">
      <w:pPr>
        <w:rPr>
          <w:lang w:val="en-GB"/>
        </w:rPr>
      </w:pPr>
      <w:r>
        <w:rPr>
          <w:lang w:val="en-GB"/>
        </w:rPr>
        <w:t>CSV</w:t>
      </w:r>
      <w:r w:rsidR="00183D28" w:rsidRPr="0091018D">
        <w:rPr>
          <w:lang w:val="en-GB"/>
        </w:rPr>
        <w:t xml:space="preserve"> entered into one contract greater than $10 million in </w:t>
      </w:r>
      <w:r w:rsidR="00086B4B">
        <w:rPr>
          <w:lang w:val="en-GB"/>
        </w:rPr>
        <w:t xml:space="preserve">the </w:t>
      </w:r>
      <w:r w:rsidR="00183D28" w:rsidRPr="0091018D">
        <w:rPr>
          <w:lang w:val="en-GB"/>
        </w:rPr>
        <w:t>year ended 30 June 2016.</w:t>
      </w:r>
    </w:p>
    <w:p w14:paraId="55C4276D" w14:textId="77777777" w:rsidR="00A7716B" w:rsidRDefault="00A7716B" w:rsidP="00A7716B">
      <w:pPr>
        <w:rPr>
          <w:lang w:val="en-GB"/>
        </w:rPr>
      </w:pPr>
    </w:p>
    <w:p w14:paraId="4D7327A1" w14:textId="06D574CF" w:rsidR="00A7716B" w:rsidRPr="00A7716B" w:rsidRDefault="00A7716B" w:rsidP="00704CC7">
      <w:pPr>
        <w:pStyle w:val="Caption"/>
        <w:rPr>
          <w:lang w:val="en-GB"/>
        </w:rPr>
      </w:pPr>
      <w:r>
        <w:rPr>
          <w:lang w:val="en-GB"/>
        </w:rPr>
        <w:t>Table 14:</w:t>
      </w:r>
      <w:r>
        <w:rPr>
          <w:lang w:val="en-GB"/>
        </w:rPr>
        <w:tab/>
      </w:r>
      <w:r w:rsidR="00704CC7">
        <w:rPr>
          <w:lang w:val="en-GB"/>
        </w:rPr>
        <w:t>Contracts greater than $10 million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2122"/>
        <w:gridCol w:w="1728"/>
        <w:gridCol w:w="1926"/>
        <w:gridCol w:w="1926"/>
        <w:gridCol w:w="1926"/>
      </w:tblGrid>
      <w:tr w:rsidR="00183D28" w:rsidRPr="0033466F" w14:paraId="1B658155" w14:textId="77777777" w:rsidTr="005A52D5">
        <w:tc>
          <w:tcPr>
            <w:tcW w:w="2122" w:type="dxa"/>
            <w:shd w:val="clear" w:color="auto" w:fill="auto"/>
          </w:tcPr>
          <w:p w14:paraId="42F26509" w14:textId="77777777" w:rsidR="00183D28" w:rsidRPr="00F22CD4" w:rsidRDefault="00183D28" w:rsidP="00EC7EC2">
            <w:pPr>
              <w:pStyle w:val="Tableheading"/>
              <w:rPr>
                <w:lang w:val="en-GB"/>
              </w:rPr>
            </w:pPr>
            <w:r w:rsidRPr="00F22CD4">
              <w:rPr>
                <w:lang w:val="en-GB"/>
              </w:rPr>
              <w:t>Company</w:t>
            </w:r>
          </w:p>
        </w:tc>
        <w:tc>
          <w:tcPr>
            <w:tcW w:w="1728" w:type="dxa"/>
            <w:shd w:val="clear" w:color="auto" w:fill="auto"/>
          </w:tcPr>
          <w:p w14:paraId="681AE861" w14:textId="77777777" w:rsidR="00183D28" w:rsidRPr="00F22CD4" w:rsidRDefault="00183D28" w:rsidP="00EC7EC2">
            <w:pPr>
              <w:pStyle w:val="Tableheading"/>
              <w:rPr>
                <w:lang w:val="en-GB"/>
              </w:rPr>
            </w:pPr>
            <w:r w:rsidRPr="00F22CD4">
              <w:rPr>
                <w:lang w:val="en-GB"/>
              </w:rPr>
              <w:t>Description</w:t>
            </w:r>
          </w:p>
        </w:tc>
        <w:tc>
          <w:tcPr>
            <w:tcW w:w="1926" w:type="dxa"/>
            <w:shd w:val="clear" w:color="auto" w:fill="auto"/>
          </w:tcPr>
          <w:p w14:paraId="6B51B078" w14:textId="77777777" w:rsidR="00183D28" w:rsidRPr="00F22CD4" w:rsidRDefault="00183D28" w:rsidP="00EC7EC2">
            <w:pPr>
              <w:pStyle w:val="Tableheading"/>
              <w:rPr>
                <w:lang w:val="en-GB"/>
              </w:rPr>
            </w:pPr>
            <w:r w:rsidRPr="00F22CD4">
              <w:rPr>
                <w:lang w:val="en-GB"/>
              </w:rPr>
              <w:t>Start Date</w:t>
            </w:r>
          </w:p>
        </w:tc>
        <w:tc>
          <w:tcPr>
            <w:tcW w:w="1926" w:type="dxa"/>
            <w:shd w:val="clear" w:color="auto" w:fill="auto"/>
          </w:tcPr>
          <w:p w14:paraId="37EBE6A0" w14:textId="77777777" w:rsidR="00183D28" w:rsidRPr="00F22CD4" w:rsidRDefault="00183D28" w:rsidP="00EC7EC2">
            <w:pPr>
              <w:pStyle w:val="Tableheading"/>
              <w:rPr>
                <w:lang w:val="en-GB"/>
              </w:rPr>
            </w:pPr>
            <w:r w:rsidRPr="00F22CD4">
              <w:rPr>
                <w:lang w:val="en-GB"/>
              </w:rPr>
              <w:t>End Date</w:t>
            </w:r>
          </w:p>
        </w:tc>
        <w:tc>
          <w:tcPr>
            <w:tcW w:w="1926" w:type="dxa"/>
            <w:shd w:val="clear" w:color="auto" w:fill="auto"/>
          </w:tcPr>
          <w:p w14:paraId="6FFB6BDA" w14:textId="77777777" w:rsidR="00183D28" w:rsidRPr="00F22CD4" w:rsidRDefault="00183D28" w:rsidP="00EC7EC2">
            <w:pPr>
              <w:pStyle w:val="Tableheading"/>
              <w:rPr>
                <w:lang w:val="en-GB"/>
              </w:rPr>
            </w:pPr>
            <w:r w:rsidRPr="00F22CD4">
              <w:rPr>
                <w:lang w:val="en-GB"/>
              </w:rPr>
              <w:t>Contract Value</w:t>
            </w:r>
          </w:p>
        </w:tc>
      </w:tr>
      <w:tr w:rsidR="00183D28" w:rsidRPr="0033466F" w14:paraId="65FA7240" w14:textId="77777777" w:rsidTr="005A52D5">
        <w:tc>
          <w:tcPr>
            <w:tcW w:w="2122" w:type="dxa"/>
            <w:shd w:val="clear" w:color="auto" w:fill="auto"/>
          </w:tcPr>
          <w:p w14:paraId="201F6C87" w14:textId="77777777" w:rsidR="00183D28" w:rsidRPr="00F22CD4" w:rsidRDefault="00183D28" w:rsidP="00EC7EC2">
            <w:pPr>
              <w:pStyle w:val="Tabletext"/>
              <w:rPr>
                <w:lang w:val="en-GB"/>
              </w:rPr>
            </w:pPr>
            <w:r w:rsidRPr="00F22CD4">
              <w:rPr>
                <w:lang w:val="en-GB"/>
              </w:rPr>
              <w:t>ADCO Constructions (VIC) Pty Ltd</w:t>
            </w:r>
          </w:p>
          <w:p w14:paraId="709337EE" w14:textId="77777777" w:rsidR="00183D28" w:rsidRPr="00F22CD4" w:rsidRDefault="00183D28" w:rsidP="00EC7EC2">
            <w:pPr>
              <w:pStyle w:val="Tabletext"/>
              <w:rPr>
                <w:lang w:val="en-GB"/>
              </w:rPr>
            </w:pPr>
            <w:r w:rsidRPr="00F22CD4">
              <w:rPr>
                <w:lang w:val="en-GB"/>
              </w:rPr>
              <w:t>AB:  015 094 531 272</w:t>
            </w:r>
          </w:p>
        </w:tc>
        <w:tc>
          <w:tcPr>
            <w:tcW w:w="1728" w:type="dxa"/>
            <w:shd w:val="clear" w:color="auto" w:fill="auto"/>
          </w:tcPr>
          <w:p w14:paraId="5AD58AD6" w14:textId="77777777" w:rsidR="00183D28" w:rsidRPr="00F22CD4" w:rsidRDefault="00183D28" w:rsidP="00EC7EC2">
            <w:pPr>
              <w:pStyle w:val="Tabletext"/>
              <w:rPr>
                <w:lang w:val="en-GB"/>
              </w:rPr>
            </w:pPr>
            <w:r w:rsidRPr="00F22CD4">
              <w:rPr>
                <w:lang w:val="en-GB"/>
              </w:rPr>
              <w:t xml:space="preserve">Shepparton Law Courts Redevelopment </w:t>
            </w:r>
          </w:p>
        </w:tc>
        <w:tc>
          <w:tcPr>
            <w:tcW w:w="1926" w:type="dxa"/>
            <w:shd w:val="clear" w:color="auto" w:fill="auto"/>
          </w:tcPr>
          <w:p w14:paraId="4D3C2ACE" w14:textId="77777777" w:rsidR="00183D28" w:rsidRPr="00F22CD4" w:rsidRDefault="00183D28" w:rsidP="00EC7EC2">
            <w:pPr>
              <w:pStyle w:val="Tabletext"/>
              <w:rPr>
                <w:lang w:val="en-GB"/>
              </w:rPr>
            </w:pPr>
            <w:r w:rsidRPr="00F22CD4">
              <w:rPr>
                <w:lang w:val="en-GB"/>
              </w:rPr>
              <w:t>15/04/2016</w:t>
            </w:r>
          </w:p>
        </w:tc>
        <w:tc>
          <w:tcPr>
            <w:tcW w:w="1926" w:type="dxa"/>
            <w:shd w:val="clear" w:color="auto" w:fill="auto"/>
          </w:tcPr>
          <w:p w14:paraId="1842EC5E" w14:textId="77777777" w:rsidR="00183D28" w:rsidRPr="00F22CD4" w:rsidRDefault="00183D28" w:rsidP="00EC7EC2">
            <w:pPr>
              <w:pStyle w:val="Tabletext"/>
              <w:rPr>
                <w:lang w:val="en-GB"/>
              </w:rPr>
            </w:pPr>
            <w:r w:rsidRPr="00F22CD4">
              <w:rPr>
                <w:lang w:val="en-GB"/>
              </w:rPr>
              <w:t>31/10/2017</w:t>
            </w:r>
          </w:p>
        </w:tc>
        <w:tc>
          <w:tcPr>
            <w:tcW w:w="1926" w:type="dxa"/>
            <w:shd w:val="clear" w:color="auto" w:fill="auto"/>
          </w:tcPr>
          <w:p w14:paraId="5A728938" w14:textId="77777777" w:rsidR="00183D28" w:rsidRPr="00F22CD4" w:rsidRDefault="00183D28" w:rsidP="00EC7EC2">
            <w:pPr>
              <w:pStyle w:val="Tabletext"/>
              <w:rPr>
                <w:lang w:val="en-GB"/>
              </w:rPr>
            </w:pPr>
            <w:r w:rsidRPr="00F22CD4">
              <w:rPr>
                <w:lang w:val="en-GB"/>
              </w:rPr>
              <w:t>$51,886,799</w:t>
            </w:r>
          </w:p>
          <w:p w14:paraId="77071696" w14:textId="77777777" w:rsidR="00183D28" w:rsidRPr="00F22CD4" w:rsidRDefault="00183D28" w:rsidP="00EC7EC2">
            <w:pPr>
              <w:pStyle w:val="Tabletext"/>
              <w:rPr>
                <w:lang w:val="en-GB"/>
              </w:rPr>
            </w:pPr>
            <w:r w:rsidRPr="00F22CD4">
              <w:rPr>
                <w:lang w:val="en-GB"/>
              </w:rPr>
              <w:t>plus GST</w:t>
            </w:r>
          </w:p>
        </w:tc>
      </w:tr>
    </w:tbl>
    <w:p w14:paraId="53FDE188" w14:textId="77777777" w:rsidR="00183D28" w:rsidRDefault="00183D28" w:rsidP="00183D28">
      <w:pPr>
        <w:rPr>
          <w:lang w:val="en-GB"/>
        </w:rPr>
      </w:pPr>
    </w:p>
    <w:p w14:paraId="59C4C56E" w14:textId="778E83C5" w:rsidR="00F56723" w:rsidRPr="00CE2389" w:rsidRDefault="00F56723" w:rsidP="00CE2389">
      <w:pPr>
        <w:pStyle w:val="Heading2"/>
      </w:pPr>
      <w:bookmarkStart w:id="27" w:name="_Toc466381176"/>
      <w:r w:rsidRPr="00CE2389">
        <w:t xml:space="preserve">Information </w:t>
      </w:r>
      <w:r w:rsidR="00CE2389" w:rsidRPr="00CE2389">
        <w:t>and Communication Technology E</w:t>
      </w:r>
      <w:r w:rsidRPr="00CE2389">
        <w:t>xpenditure</w:t>
      </w:r>
      <w:bookmarkEnd w:id="27"/>
      <w:r w:rsidRPr="00CE2389">
        <w:tab/>
      </w:r>
    </w:p>
    <w:p w14:paraId="7F616767" w14:textId="670855D1" w:rsidR="00F56723" w:rsidRPr="0009156E" w:rsidRDefault="00F56723" w:rsidP="00FD2484">
      <w:pPr>
        <w:pStyle w:val="Heading3"/>
        <w:rPr>
          <w:lang w:val="en-GB"/>
        </w:rPr>
      </w:pPr>
      <w:r w:rsidRPr="00FD2484">
        <w:t>Details of Information and Communication Technology (ICT) expenditure</w:t>
      </w:r>
      <w:r w:rsidRPr="00FD2484">
        <w:tab/>
      </w:r>
      <w:r w:rsidRPr="0009156E">
        <w:rPr>
          <w:lang w:val="en-GB"/>
        </w:rPr>
        <w:tab/>
      </w:r>
    </w:p>
    <w:p w14:paraId="12437B13" w14:textId="77777777" w:rsidR="00F56723" w:rsidRPr="00FD2484" w:rsidRDefault="00F56723">
      <w:pPr>
        <w:rPr>
          <w:lang w:val="en-GB"/>
        </w:rPr>
      </w:pPr>
      <w:r w:rsidRPr="0009156E">
        <w:rPr>
          <w:lang w:val="en-GB"/>
        </w:rPr>
        <w:t xml:space="preserve">For the 2015-16 reporting period, CSV had a total ICT expenditure of </w:t>
      </w:r>
      <w:r w:rsidRPr="00D44CFD">
        <w:rPr>
          <w:lang w:val="en-GB"/>
        </w:rPr>
        <w:t>$50.6 million</w:t>
      </w:r>
      <w:r w:rsidRPr="00792936">
        <w:rPr>
          <w:lang w:val="en-GB"/>
        </w:rPr>
        <w:t>.</w:t>
      </w:r>
    </w:p>
    <w:p w14:paraId="2C48616F" w14:textId="77777777" w:rsidR="00F56723" w:rsidRPr="00FD2484" w:rsidRDefault="00F56723">
      <w:pPr>
        <w:rPr>
          <w:lang w:val="en-GB"/>
        </w:rPr>
      </w:pPr>
    </w:p>
    <w:p w14:paraId="508E1CD3" w14:textId="76101323" w:rsidR="00F56723" w:rsidRPr="0009156E" w:rsidRDefault="00F56723" w:rsidP="00FD2484">
      <w:pPr>
        <w:pStyle w:val="Caption"/>
        <w:rPr>
          <w:lang w:val="en-GB"/>
        </w:rPr>
      </w:pPr>
      <w:r w:rsidRPr="00FD2484">
        <w:rPr>
          <w:lang w:val="en-GB"/>
        </w:rPr>
        <w:t>Table 15</w:t>
      </w:r>
      <w:r w:rsidR="005F300A">
        <w:rPr>
          <w:lang w:val="en-GB"/>
        </w:rPr>
        <w:t>:</w:t>
      </w:r>
      <w:r w:rsidR="005F300A">
        <w:rPr>
          <w:lang w:val="en-GB"/>
        </w:rPr>
        <w:tab/>
        <w:t>Information and Communication Technology</w:t>
      </w:r>
      <w:r w:rsidRPr="00FD2484">
        <w:rPr>
          <w:lang w:val="en-GB"/>
        </w:rPr>
        <w:t xml:space="preserve"> </w:t>
      </w:r>
      <w:r w:rsidR="005F300A">
        <w:rPr>
          <w:lang w:val="en-GB"/>
        </w:rPr>
        <w:t>e</w:t>
      </w:r>
      <w:r w:rsidRPr="00FD2484">
        <w:rPr>
          <w:lang w:val="en-GB"/>
        </w:rPr>
        <w:t>xpenditure</w:t>
      </w:r>
      <w:r w:rsidRPr="0009156E">
        <w:rPr>
          <w:lang w:val="en-GB"/>
        </w:rPr>
        <w:tab/>
      </w:r>
    </w:p>
    <w:tbl>
      <w:tblPr>
        <w:tblStyle w:val="TableGrid"/>
        <w:tblW w:w="0" w:type="auto"/>
        <w:tblInd w:w="0" w:type="dxa"/>
        <w:tblCellMar>
          <w:top w:w="28" w:type="dxa"/>
          <w:left w:w="57" w:type="dxa"/>
          <w:bottom w:w="28" w:type="dxa"/>
          <w:right w:w="57" w:type="dxa"/>
        </w:tblCellMar>
        <w:tblLook w:val="04A0" w:firstRow="1" w:lastRow="0" w:firstColumn="1" w:lastColumn="0" w:noHBand="0" w:noVBand="1"/>
      </w:tblPr>
      <w:tblGrid>
        <w:gridCol w:w="2530"/>
        <w:gridCol w:w="3226"/>
        <w:gridCol w:w="2004"/>
        <w:gridCol w:w="1868"/>
      </w:tblGrid>
      <w:tr w:rsidR="00792936" w:rsidRPr="0009156E" w14:paraId="49EF5384" w14:textId="77777777" w:rsidTr="005A52D5">
        <w:trPr>
          <w:trHeight w:val="1602"/>
        </w:trPr>
        <w:tc>
          <w:tcPr>
            <w:tcW w:w="2530" w:type="dxa"/>
            <w:hideMark/>
          </w:tcPr>
          <w:p w14:paraId="391F7AC2" w14:textId="77777777" w:rsidR="00792936" w:rsidRPr="00FD2484" w:rsidRDefault="00792936" w:rsidP="00792936">
            <w:pPr>
              <w:rPr>
                <w:b/>
                <w:bCs/>
                <w:sz w:val="20"/>
                <w:szCs w:val="20"/>
              </w:rPr>
            </w:pPr>
            <w:r w:rsidRPr="00FD2484">
              <w:rPr>
                <w:b/>
                <w:bCs/>
                <w:sz w:val="20"/>
                <w:szCs w:val="20"/>
              </w:rPr>
              <w:t>Business As Usual (BAU) ICT expenditure</w:t>
            </w:r>
            <w:r w:rsidRPr="00FD2484">
              <w:rPr>
                <w:b/>
                <w:bCs/>
                <w:sz w:val="20"/>
                <w:szCs w:val="20"/>
              </w:rPr>
              <w:br/>
            </w:r>
            <w:r w:rsidRPr="00FD2484">
              <w:rPr>
                <w:b/>
                <w:bCs/>
                <w:sz w:val="20"/>
                <w:szCs w:val="20"/>
              </w:rPr>
              <w:br/>
              <w:t>(Total)</w:t>
            </w:r>
          </w:p>
        </w:tc>
        <w:tc>
          <w:tcPr>
            <w:tcW w:w="3226" w:type="dxa"/>
            <w:hideMark/>
          </w:tcPr>
          <w:p w14:paraId="07B54750" w14:textId="2C5EE2F6" w:rsidR="00792936" w:rsidRPr="00FD2484" w:rsidRDefault="00792936" w:rsidP="000410C9">
            <w:pPr>
              <w:rPr>
                <w:b/>
                <w:bCs/>
                <w:sz w:val="20"/>
                <w:szCs w:val="20"/>
              </w:rPr>
            </w:pPr>
            <w:r w:rsidRPr="00FD2484">
              <w:rPr>
                <w:b/>
                <w:bCs/>
                <w:sz w:val="20"/>
                <w:szCs w:val="20"/>
              </w:rPr>
              <w:t>Non-Business As Usual (non-BAU) ICT expenditure</w:t>
            </w:r>
            <w:r w:rsidRPr="00FD2484">
              <w:rPr>
                <w:b/>
                <w:bCs/>
                <w:sz w:val="20"/>
                <w:szCs w:val="20"/>
              </w:rPr>
              <w:br/>
            </w:r>
            <w:r w:rsidRPr="00FD2484">
              <w:rPr>
                <w:b/>
                <w:bCs/>
                <w:sz w:val="20"/>
                <w:szCs w:val="20"/>
              </w:rPr>
              <w:br/>
              <w:t xml:space="preserve">(Total </w:t>
            </w:r>
            <w:r w:rsidR="000410C9">
              <w:rPr>
                <w:b/>
                <w:bCs/>
                <w:sz w:val="20"/>
                <w:szCs w:val="20"/>
              </w:rPr>
              <w:t xml:space="preserve">comprises </w:t>
            </w:r>
            <w:r w:rsidR="000410C9" w:rsidRPr="000410C9">
              <w:rPr>
                <w:b/>
                <w:bCs/>
                <w:i/>
                <w:sz w:val="20"/>
                <w:szCs w:val="20"/>
              </w:rPr>
              <w:t>Operational Expenditure</w:t>
            </w:r>
            <w:r w:rsidR="000410C9">
              <w:rPr>
                <w:b/>
                <w:bCs/>
                <w:sz w:val="20"/>
                <w:szCs w:val="20"/>
              </w:rPr>
              <w:t xml:space="preserve"> and </w:t>
            </w:r>
            <w:r w:rsidR="000410C9" w:rsidRPr="000410C9">
              <w:rPr>
                <w:b/>
                <w:bCs/>
                <w:i/>
                <w:sz w:val="20"/>
                <w:szCs w:val="20"/>
              </w:rPr>
              <w:t>Capital E</w:t>
            </w:r>
            <w:r w:rsidRPr="000410C9">
              <w:rPr>
                <w:b/>
                <w:bCs/>
                <w:i/>
                <w:sz w:val="20"/>
                <w:szCs w:val="20"/>
              </w:rPr>
              <w:t>xpenditure</w:t>
            </w:r>
            <w:r w:rsidRPr="00FD2484">
              <w:rPr>
                <w:b/>
                <w:bCs/>
                <w:sz w:val="20"/>
                <w:szCs w:val="20"/>
              </w:rPr>
              <w:t>)</w:t>
            </w:r>
          </w:p>
        </w:tc>
        <w:tc>
          <w:tcPr>
            <w:tcW w:w="2004" w:type="dxa"/>
            <w:tcBorders>
              <w:top w:val="single" w:sz="4" w:space="0" w:color="auto"/>
              <w:left w:val="single" w:sz="4" w:space="0" w:color="auto"/>
              <w:bottom w:val="single" w:sz="4" w:space="0" w:color="auto"/>
              <w:right w:val="single" w:sz="4" w:space="0" w:color="auto"/>
            </w:tcBorders>
            <w:shd w:val="clear" w:color="000000" w:fill="D9D9D9"/>
            <w:vAlign w:val="bottom"/>
          </w:tcPr>
          <w:p w14:paraId="507D6B94" w14:textId="5F348996" w:rsidR="00792936" w:rsidRPr="00FD2484" w:rsidRDefault="00792936" w:rsidP="00792936">
            <w:pPr>
              <w:rPr>
                <w:b/>
                <w:bCs/>
                <w:sz w:val="20"/>
                <w:szCs w:val="20"/>
              </w:rPr>
            </w:pPr>
            <w:r>
              <w:rPr>
                <w:b/>
                <w:bCs/>
                <w:color w:val="000000"/>
                <w:sz w:val="20"/>
                <w:szCs w:val="20"/>
              </w:rPr>
              <w:t>O</w:t>
            </w:r>
            <w:r w:rsidR="000410C9">
              <w:rPr>
                <w:b/>
                <w:bCs/>
                <w:color w:val="000000"/>
                <w:sz w:val="20"/>
                <w:szCs w:val="20"/>
              </w:rPr>
              <w:t>perational E</w:t>
            </w:r>
            <w:r>
              <w:rPr>
                <w:b/>
                <w:bCs/>
                <w:color w:val="000000"/>
                <w:sz w:val="20"/>
                <w:szCs w:val="20"/>
              </w:rPr>
              <w:t>xpenditure (non-BAU)</w:t>
            </w:r>
          </w:p>
        </w:tc>
        <w:tc>
          <w:tcPr>
            <w:tcW w:w="1868" w:type="dxa"/>
            <w:tcBorders>
              <w:top w:val="single" w:sz="4" w:space="0" w:color="auto"/>
              <w:left w:val="nil"/>
              <w:bottom w:val="single" w:sz="4" w:space="0" w:color="auto"/>
              <w:right w:val="single" w:sz="4" w:space="0" w:color="auto"/>
            </w:tcBorders>
            <w:shd w:val="clear" w:color="000000" w:fill="D9D9D9"/>
            <w:vAlign w:val="bottom"/>
          </w:tcPr>
          <w:p w14:paraId="7694EA59" w14:textId="79F61391" w:rsidR="00792936" w:rsidRPr="00FD2484" w:rsidRDefault="000410C9" w:rsidP="00792936">
            <w:pPr>
              <w:rPr>
                <w:b/>
                <w:bCs/>
                <w:sz w:val="20"/>
                <w:szCs w:val="20"/>
              </w:rPr>
            </w:pPr>
            <w:r>
              <w:rPr>
                <w:b/>
                <w:bCs/>
                <w:color w:val="000000"/>
                <w:sz w:val="20"/>
                <w:szCs w:val="20"/>
              </w:rPr>
              <w:t>Capital E</w:t>
            </w:r>
            <w:r w:rsidR="00792936">
              <w:rPr>
                <w:b/>
                <w:bCs/>
                <w:color w:val="000000"/>
                <w:sz w:val="20"/>
                <w:szCs w:val="20"/>
              </w:rPr>
              <w:t>xpenditure (non-BAU)</w:t>
            </w:r>
          </w:p>
        </w:tc>
      </w:tr>
      <w:tr w:rsidR="00792936" w:rsidRPr="00792936" w14:paraId="1DABEC79" w14:textId="77777777" w:rsidTr="005A52D5">
        <w:trPr>
          <w:trHeight w:val="270"/>
        </w:trPr>
        <w:tc>
          <w:tcPr>
            <w:tcW w:w="2530" w:type="dxa"/>
            <w:noWrap/>
            <w:hideMark/>
          </w:tcPr>
          <w:p w14:paraId="51AADBED" w14:textId="77777777" w:rsidR="00792936" w:rsidRPr="00792936" w:rsidRDefault="00792936" w:rsidP="00792936">
            <w:pPr>
              <w:jc w:val="right"/>
              <w:rPr>
                <w:rFonts w:eastAsia="Times New Roman"/>
                <w:color w:val="000000"/>
                <w:sz w:val="20"/>
                <w:szCs w:val="20"/>
              </w:rPr>
            </w:pPr>
            <w:r w:rsidRPr="00792936">
              <w:rPr>
                <w:rFonts w:eastAsia="Times New Roman"/>
                <w:color w:val="000000"/>
                <w:sz w:val="20"/>
                <w:szCs w:val="20"/>
              </w:rPr>
              <w:t>38,046,538</w:t>
            </w:r>
          </w:p>
        </w:tc>
        <w:tc>
          <w:tcPr>
            <w:tcW w:w="3226" w:type="dxa"/>
            <w:noWrap/>
            <w:hideMark/>
          </w:tcPr>
          <w:p w14:paraId="22C3E718" w14:textId="77777777" w:rsidR="00792936" w:rsidRPr="00792936" w:rsidRDefault="00792936" w:rsidP="00792936">
            <w:pPr>
              <w:jc w:val="right"/>
              <w:rPr>
                <w:rFonts w:eastAsia="Times New Roman"/>
                <w:color w:val="000000"/>
                <w:sz w:val="20"/>
                <w:szCs w:val="20"/>
              </w:rPr>
            </w:pPr>
            <w:r w:rsidRPr="00792936">
              <w:rPr>
                <w:rFonts w:eastAsia="Times New Roman"/>
                <w:color w:val="000000"/>
                <w:sz w:val="20"/>
                <w:szCs w:val="20"/>
              </w:rPr>
              <w:t>12,572,424</w:t>
            </w:r>
          </w:p>
        </w:tc>
        <w:tc>
          <w:tcPr>
            <w:tcW w:w="2004" w:type="dxa"/>
            <w:tcBorders>
              <w:top w:val="single" w:sz="4" w:space="0" w:color="auto"/>
              <w:left w:val="single" w:sz="4" w:space="0" w:color="auto"/>
              <w:bottom w:val="single" w:sz="8" w:space="0" w:color="auto"/>
              <w:right w:val="single" w:sz="4" w:space="0" w:color="auto"/>
            </w:tcBorders>
            <w:shd w:val="clear" w:color="000000" w:fill="D9D9D9"/>
            <w:noWrap/>
            <w:vAlign w:val="bottom"/>
          </w:tcPr>
          <w:p w14:paraId="50854EF2" w14:textId="53AAB399" w:rsidR="00792936" w:rsidRPr="00792936" w:rsidRDefault="00792936" w:rsidP="00792936">
            <w:pPr>
              <w:jc w:val="right"/>
              <w:rPr>
                <w:rFonts w:eastAsia="Times New Roman"/>
                <w:color w:val="000000"/>
                <w:sz w:val="20"/>
                <w:szCs w:val="20"/>
              </w:rPr>
            </w:pPr>
            <w:r>
              <w:rPr>
                <w:color w:val="000000"/>
                <w:sz w:val="20"/>
                <w:szCs w:val="20"/>
              </w:rPr>
              <w:t>8,473,161</w:t>
            </w:r>
          </w:p>
        </w:tc>
        <w:tc>
          <w:tcPr>
            <w:tcW w:w="1868" w:type="dxa"/>
            <w:tcBorders>
              <w:top w:val="single" w:sz="4" w:space="0" w:color="auto"/>
              <w:left w:val="nil"/>
              <w:bottom w:val="single" w:sz="8" w:space="0" w:color="auto"/>
              <w:right w:val="single" w:sz="4" w:space="0" w:color="auto"/>
            </w:tcBorders>
            <w:shd w:val="clear" w:color="000000" w:fill="D9D9D9"/>
            <w:noWrap/>
            <w:vAlign w:val="bottom"/>
          </w:tcPr>
          <w:p w14:paraId="253281D7" w14:textId="0A77DB0C" w:rsidR="00792936" w:rsidRPr="00792936" w:rsidRDefault="00792936" w:rsidP="00792936">
            <w:pPr>
              <w:jc w:val="right"/>
              <w:rPr>
                <w:rFonts w:eastAsia="Times New Roman"/>
                <w:color w:val="000000"/>
                <w:sz w:val="20"/>
                <w:szCs w:val="20"/>
              </w:rPr>
            </w:pPr>
            <w:r>
              <w:rPr>
                <w:color w:val="000000"/>
                <w:sz w:val="20"/>
                <w:szCs w:val="20"/>
              </w:rPr>
              <w:t>4,099,263</w:t>
            </w:r>
          </w:p>
        </w:tc>
      </w:tr>
    </w:tbl>
    <w:p w14:paraId="23DC5B9C" w14:textId="66D452C1" w:rsidR="00F56723" w:rsidRPr="0009156E" w:rsidRDefault="00F56723" w:rsidP="00FD2484">
      <w:pPr>
        <w:pStyle w:val="Notesheading"/>
      </w:pPr>
      <w:r w:rsidRPr="0009156E">
        <w:t>Note</w:t>
      </w:r>
      <w:r w:rsidR="00A13C20">
        <w:t>s</w:t>
      </w:r>
      <w:r w:rsidRPr="0009156E">
        <w:t>:</w:t>
      </w:r>
    </w:p>
    <w:p w14:paraId="6597BA3F" w14:textId="05BFD592" w:rsidR="00F56723" w:rsidRPr="00C60580" w:rsidRDefault="00F56723" w:rsidP="00FD2484">
      <w:pPr>
        <w:pStyle w:val="Notesheading"/>
        <w:numPr>
          <w:ilvl w:val="0"/>
          <w:numId w:val="36"/>
        </w:numPr>
        <w:rPr>
          <w:b w:val="0"/>
          <w:i w:val="0"/>
        </w:rPr>
      </w:pPr>
      <w:r w:rsidRPr="00C60580">
        <w:rPr>
          <w:b w:val="0"/>
          <w:i w:val="0"/>
        </w:rPr>
        <w:t xml:space="preserve">ICT expenditure refers to CSV's costs in providing business-enabling ICT services. It comprises </w:t>
      </w:r>
      <w:r w:rsidR="005F300A">
        <w:rPr>
          <w:b w:val="0"/>
          <w:i w:val="0"/>
        </w:rPr>
        <w:t>b</w:t>
      </w:r>
      <w:r w:rsidRPr="00C60580">
        <w:rPr>
          <w:b w:val="0"/>
          <w:i w:val="0"/>
        </w:rPr>
        <w:t>usiness</w:t>
      </w:r>
      <w:r w:rsidR="005F300A">
        <w:rPr>
          <w:b w:val="0"/>
          <w:i w:val="0"/>
        </w:rPr>
        <w:t>-a</w:t>
      </w:r>
      <w:r w:rsidRPr="00C60580">
        <w:rPr>
          <w:b w:val="0"/>
          <w:i w:val="0"/>
        </w:rPr>
        <w:t>s</w:t>
      </w:r>
      <w:r w:rsidR="005F300A">
        <w:rPr>
          <w:b w:val="0"/>
          <w:i w:val="0"/>
        </w:rPr>
        <w:t>-u</w:t>
      </w:r>
      <w:r w:rsidRPr="00C60580">
        <w:rPr>
          <w:b w:val="0"/>
          <w:i w:val="0"/>
        </w:rPr>
        <w:t xml:space="preserve">sual (BAU) ICT expenditure and </w:t>
      </w:r>
      <w:r w:rsidR="005F300A">
        <w:rPr>
          <w:b w:val="0"/>
          <w:i w:val="0"/>
        </w:rPr>
        <w:t>n</w:t>
      </w:r>
      <w:r w:rsidRPr="00C60580">
        <w:rPr>
          <w:b w:val="0"/>
          <w:i w:val="0"/>
        </w:rPr>
        <w:t>on-</w:t>
      </w:r>
      <w:r w:rsidR="005F300A">
        <w:rPr>
          <w:b w:val="0"/>
          <w:i w:val="0"/>
        </w:rPr>
        <w:t>b</w:t>
      </w:r>
      <w:r w:rsidRPr="00C60580">
        <w:rPr>
          <w:b w:val="0"/>
          <w:i w:val="0"/>
        </w:rPr>
        <w:t>usiness</w:t>
      </w:r>
      <w:r w:rsidR="005F300A">
        <w:rPr>
          <w:b w:val="0"/>
          <w:i w:val="0"/>
        </w:rPr>
        <w:t>-a</w:t>
      </w:r>
      <w:r w:rsidRPr="00C60580">
        <w:rPr>
          <w:b w:val="0"/>
          <w:i w:val="0"/>
        </w:rPr>
        <w:t>s</w:t>
      </w:r>
      <w:r w:rsidR="005F300A">
        <w:rPr>
          <w:b w:val="0"/>
          <w:i w:val="0"/>
        </w:rPr>
        <w:t>-u</w:t>
      </w:r>
      <w:r w:rsidRPr="00C60580">
        <w:rPr>
          <w:b w:val="0"/>
          <w:i w:val="0"/>
        </w:rPr>
        <w:t>sual (Non-BAU) ICT expenditure.</w:t>
      </w:r>
    </w:p>
    <w:p w14:paraId="535C92F4" w14:textId="2B70ED59" w:rsidR="00F56723" w:rsidRPr="00C60580" w:rsidRDefault="00F56723" w:rsidP="00FD2484">
      <w:pPr>
        <w:pStyle w:val="Notesheading"/>
        <w:numPr>
          <w:ilvl w:val="0"/>
          <w:numId w:val="36"/>
        </w:numPr>
        <w:rPr>
          <w:b w:val="0"/>
          <w:i w:val="0"/>
        </w:rPr>
      </w:pPr>
      <w:r w:rsidRPr="00C60580">
        <w:rPr>
          <w:b w:val="0"/>
          <w:i w:val="0"/>
        </w:rPr>
        <w:t>Non-BA</w:t>
      </w:r>
      <w:r w:rsidR="005F300A">
        <w:rPr>
          <w:b w:val="0"/>
          <w:i w:val="0"/>
        </w:rPr>
        <w:t>U</w:t>
      </w:r>
      <w:r w:rsidRPr="00C60580">
        <w:rPr>
          <w:b w:val="0"/>
          <w:i w:val="0"/>
        </w:rPr>
        <w:t xml:space="preserve"> ICT expenditure relates to extending or enhancing CSV</w:t>
      </w:r>
      <w:r w:rsidR="005F300A">
        <w:rPr>
          <w:b w:val="0"/>
          <w:i w:val="0"/>
        </w:rPr>
        <w:t>’s</w:t>
      </w:r>
      <w:r w:rsidRPr="00C60580">
        <w:rPr>
          <w:b w:val="0"/>
          <w:i w:val="0"/>
        </w:rPr>
        <w:t xml:space="preserve"> current ICT capabilities</w:t>
      </w:r>
      <w:r w:rsidR="005F300A">
        <w:rPr>
          <w:b w:val="0"/>
          <w:i w:val="0"/>
        </w:rPr>
        <w:t>,</w:t>
      </w:r>
      <w:r w:rsidRPr="00C60580">
        <w:rPr>
          <w:b w:val="0"/>
          <w:i w:val="0"/>
        </w:rPr>
        <w:t xml:space="preserve"> and consists of project expenditure and ICT government funded initiatives.</w:t>
      </w:r>
    </w:p>
    <w:p w14:paraId="77B24BB7" w14:textId="264E48B9" w:rsidR="00F56723" w:rsidRPr="00C60580" w:rsidRDefault="00F56723" w:rsidP="00FD2484">
      <w:pPr>
        <w:pStyle w:val="Notesheading"/>
        <w:numPr>
          <w:ilvl w:val="0"/>
          <w:numId w:val="36"/>
        </w:numPr>
        <w:rPr>
          <w:b w:val="0"/>
          <w:i w:val="0"/>
        </w:rPr>
      </w:pPr>
      <w:r w:rsidRPr="00C60580">
        <w:rPr>
          <w:b w:val="0"/>
          <w:i w:val="0"/>
        </w:rPr>
        <w:t>BA</w:t>
      </w:r>
      <w:r w:rsidR="005F300A">
        <w:rPr>
          <w:b w:val="0"/>
          <w:i w:val="0"/>
        </w:rPr>
        <w:t>U</w:t>
      </w:r>
      <w:r w:rsidRPr="00C60580">
        <w:rPr>
          <w:b w:val="0"/>
          <w:i w:val="0"/>
        </w:rPr>
        <w:t xml:space="preserve"> ICT expenditure is all remaining ICT expenditure which primarily relates to ongoing activities to operate and maintain the current ICT capability.</w:t>
      </w:r>
    </w:p>
    <w:p w14:paraId="27B61F88" w14:textId="77777777" w:rsidR="002341C4" w:rsidRPr="006E1897" w:rsidRDefault="002341C4" w:rsidP="003507CC">
      <w:pPr>
        <w:pStyle w:val="Heading2"/>
      </w:pPr>
      <w:bookmarkStart w:id="28" w:name="_Toc466381177"/>
      <w:r w:rsidRPr="006E1897">
        <w:t xml:space="preserve">Government </w:t>
      </w:r>
      <w:r w:rsidR="001A27C9">
        <w:t>A</w:t>
      </w:r>
      <w:r>
        <w:t xml:space="preserve">dvertising </w:t>
      </w:r>
      <w:r w:rsidR="001A27C9">
        <w:t>E</w:t>
      </w:r>
      <w:r w:rsidRPr="006E1897">
        <w:t>xpenditure</w:t>
      </w:r>
      <w:bookmarkEnd w:id="28"/>
      <w:r w:rsidRPr="006E1897">
        <w:t xml:space="preserve"> </w:t>
      </w:r>
    </w:p>
    <w:p w14:paraId="07B9AE94" w14:textId="2448AF6F" w:rsidR="0091018D" w:rsidRDefault="009D7DEF" w:rsidP="0091018D">
      <w:pPr>
        <w:rPr>
          <w:sz w:val="20"/>
          <w:lang w:val="en-GB"/>
        </w:rPr>
      </w:pPr>
      <w:r w:rsidRPr="00D54E09">
        <w:rPr>
          <w:lang w:val="en-GB"/>
        </w:rPr>
        <w:t xml:space="preserve">CSV did not conduct any </w:t>
      </w:r>
      <w:r w:rsidR="005F300A">
        <w:rPr>
          <w:lang w:val="en-GB"/>
        </w:rPr>
        <w:t xml:space="preserve">advertising </w:t>
      </w:r>
      <w:r w:rsidR="0091018D" w:rsidRPr="00D54E09">
        <w:rPr>
          <w:lang w:val="en-GB"/>
        </w:rPr>
        <w:t>campaigns.</w:t>
      </w:r>
      <w:r w:rsidR="0091018D">
        <w:rPr>
          <w:lang w:val="en-GB"/>
        </w:rPr>
        <w:t xml:space="preserve"> </w:t>
      </w:r>
    </w:p>
    <w:p w14:paraId="2622C736" w14:textId="77777777" w:rsidR="002341C4" w:rsidRDefault="002341C4" w:rsidP="003507CC">
      <w:pPr>
        <w:pStyle w:val="Heading2"/>
      </w:pPr>
      <w:bookmarkStart w:id="29" w:name="_Toc466381178"/>
      <w:r w:rsidRPr="006E1897">
        <w:t>Freedom of Information</w:t>
      </w:r>
      <w:bookmarkEnd w:id="29"/>
      <w:r w:rsidRPr="006E1897">
        <w:t xml:space="preserve"> </w:t>
      </w:r>
    </w:p>
    <w:p w14:paraId="26D78365" w14:textId="77777777" w:rsidR="003507CC" w:rsidRPr="00F22A5D" w:rsidRDefault="003507CC" w:rsidP="003507CC">
      <w:r w:rsidRPr="00F22A5D">
        <w:t xml:space="preserve">The </w:t>
      </w:r>
      <w:r w:rsidRPr="003507CC">
        <w:rPr>
          <w:i/>
        </w:rPr>
        <w:t>Freedom of Information Act 1982</w:t>
      </w:r>
      <w:r w:rsidRPr="00F22A5D">
        <w:t xml:space="preserve"> (Vic) (FOI Act) allows the public a right of access to documents held by CSV. </w:t>
      </w:r>
    </w:p>
    <w:p w14:paraId="34D893FB" w14:textId="77777777" w:rsidR="003507CC" w:rsidRPr="00F22A5D" w:rsidRDefault="003507CC" w:rsidP="003507CC"/>
    <w:p w14:paraId="08EA4601" w14:textId="0214497D" w:rsidR="003507CC" w:rsidRDefault="003507CC" w:rsidP="003507CC">
      <w:r w:rsidRPr="00F22A5D">
        <w:t>In 201</w:t>
      </w:r>
      <w:r>
        <w:t>5-16, CSV received 5</w:t>
      </w:r>
      <w:r w:rsidR="00E32931">
        <w:t>8</w:t>
      </w:r>
      <w:r w:rsidRPr="00F22A5D">
        <w:t xml:space="preserve"> Freedom of Information (FOI) app</w:t>
      </w:r>
      <w:r w:rsidR="001E6435">
        <w:t>lications:</w:t>
      </w:r>
    </w:p>
    <w:p w14:paraId="6DC453C9" w14:textId="77777777" w:rsidR="001E6435" w:rsidRDefault="001E6435" w:rsidP="003507CC"/>
    <w:p w14:paraId="1E8C3E8D" w14:textId="3E2342B1" w:rsidR="003507CC" w:rsidRDefault="003507CC" w:rsidP="001E6435">
      <w:pPr>
        <w:pStyle w:val="ListBullet"/>
      </w:pPr>
      <w:r>
        <w:t>ten</w:t>
      </w:r>
      <w:r w:rsidRPr="00F22A5D">
        <w:t xml:space="preserve"> were from the media</w:t>
      </w:r>
    </w:p>
    <w:p w14:paraId="054864D1" w14:textId="5F5401DC" w:rsidR="003507CC" w:rsidRDefault="003507CC" w:rsidP="001E6435">
      <w:pPr>
        <w:pStyle w:val="ListBullet"/>
      </w:pPr>
      <w:r>
        <w:t xml:space="preserve">two </w:t>
      </w:r>
      <w:r w:rsidRPr="00F22A5D">
        <w:t xml:space="preserve">were from </w:t>
      </w:r>
      <w:r w:rsidR="00E32931">
        <w:t>Members of Parliament</w:t>
      </w:r>
    </w:p>
    <w:p w14:paraId="4550653D" w14:textId="3B2F0D54" w:rsidR="003507CC" w:rsidRDefault="003507CC" w:rsidP="001E6435">
      <w:pPr>
        <w:pStyle w:val="ListBullet"/>
      </w:pPr>
      <w:r>
        <w:t>46 were from the general public</w:t>
      </w:r>
      <w:r w:rsidR="001E6435">
        <w:t>.</w:t>
      </w:r>
    </w:p>
    <w:p w14:paraId="3848C1A8" w14:textId="77777777" w:rsidR="003507CC" w:rsidRDefault="003507CC" w:rsidP="003507CC"/>
    <w:p w14:paraId="6DBE3B0B" w14:textId="77777777" w:rsidR="000941A1" w:rsidRDefault="003507CC" w:rsidP="003507CC">
      <w:r w:rsidRPr="00F22A5D">
        <w:t xml:space="preserve">Of the total requests received by CSV, </w:t>
      </w:r>
      <w:r w:rsidR="00DD7624">
        <w:t>the majority were for documents excluded from the FOI process or were invalid requests. S</w:t>
      </w:r>
      <w:r>
        <w:t>ix</w:t>
      </w:r>
      <w:r w:rsidRPr="00F22A5D">
        <w:t xml:space="preserve"> </w:t>
      </w:r>
      <w:r w:rsidR="00DD7624">
        <w:t xml:space="preserve">applicants applied </w:t>
      </w:r>
      <w:r w:rsidRPr="00F22A5D">
        <w:t>to the FOI Commissioner</w:t>
      </w:r>
      <w:r>
        <w:t xml:space="preserve"> for review</w:t>
      </w:r>
      <w:r w:rsidR="00DD7624">
        <w:t xml:space="preserve"> of a determination by CSV</w:t>
      </w:r>
      <w:r>
        <w:t xml:space="preserve">. </w:t>
      </w:r>
    </w:p>
    <w:p w14:paraId="7317D082" w14:textId="77777777" w:rsidR="000941A1" w:rsidRDefault="000941A1" w:rsidP="003507CC"/>
    <w:p w14:paraId="0395F2A7" w14:textId="69269B73" w:rsidR="003507CC" w:rsidRDefault="000941A1" w:rsidP="003507CC">
      <w:r>
        <w:t>Of these requests:</w:t>
      </w:r>
    </w:p>
    <w:p w14:paraId="2A8AA917" w14:textId="1DD7365C" w:rsidR="003507CC" w:rsidRDefault="003507CC" w:rsidP="001E6435">
      <w:pPr>
        <w:pStyle w:val="ListBullet"/>
      </w:pPr>
      <w:r>
        <w:t>four are pending</w:t>
      </w:r>
    </w:p>
    <w:p w14:paraId="2485A894" w14:textId="00D1321D" w:rsidR="003507CC" w:rsidRPr="00F22A5D" w:rsidRDefault="003507CC" w:rsidP="001E6435">
      <w:pPr>
        <w:pStyle w:val="ListBullet"/>
      </w:pPr>
      <w:r>
        <w:t xml:space="preserve">two were affirmed, of which, one </w:t>
      </w:r>
      <w:r w:rsidR="00DD7624">
        <w:t xml:space="preserve">was the subject of </w:t>
      </w:r>
      <w:r>
        <w:t xml:space="preserve">appeal </w:t>
      </w:r>
      <w:r w:rsidR="00DD7624">
        <w:t xml:space="preserve">to </w:t>
      </w:r>
      <w:r>
        <w:t>VCAT</w:t>
      </w:r>
      <w:r w:rsidR="001E6435">
        <w:t>.</w:t>
      </w:r>
    </w:p>
    <w:p w14:paraId="36A10BB6" w14:textId="77777777" w:rsidR="003507CC" w:rsidRPr="00F22A5D" w:rsidRDefault="003507CC" w:rsidP="003507CC"/>
    <w:p w14:paraId="5B4B05B4" w14:textId="77777777" w:rsidR="003507CC" w:rsidRDefault="003507CC" w:rsidP="003507CC">
      <w:r>
        <w:t>CSV processed 100</w:t>
      </w:r>
      <w:r w:rsidRPr="00F22A5D">
        <w:t>% per cent of the requests within the statutory requirements.</w:t>
      </w:r>
    </w:p>
    <w:p w14:paraId="350138E5" w14:textId="77777777" w:rsidR="005F300A" w:rsidRDefault="005F300A" w:rsidP="003507CC"/>
    <w:p w14:paraId="0AF0709A" w14:textId="451C7B64" w:rsidR="005F300A" w:rsidRPr="001A27C9" w:rsidRDefault="005F300A" w:rsidP="002D3822">
      <w:pPr>
        <w:pStyle w:val="Caption"/>
      </w:pPr>
      <w:r>
        <w:t>Table 16:</w:t>
      </w:r>
      <w:r>
        <w:tab/>
        <w:t>Freedom of Information Outcomes</w:t>
      </w:r>
    </w:p>
    <w:tbl>
      <w:tblPr>
        <w:tblW w:w="0" w:type="auto"/>
        <w:tblBorders>
          <w:bottom w:val="single" w:sz="2" w:space="0" w:color="808080"/>
          <w:insideH w:val="single" w:sz="2" w:space="0" w:color="808080"/>
        </w:tblBorders>
        <w:tblCellMar>
          <w:top w:w="28" w:type="dxa"/>
          <w:left w:w="57" w:type="dxa"/>
          <w:right w:w="57" w:type="dxa"/>
        </w:tblCellMar>
        <w:tblLook w:val="01E0" w:firstRow="1" w:lastRow="1" w:firstColumn="1" w:lastColumn="1" w:noHBand="0" w:noVBand="0"/>
      </w:tblPr>
      <w:tblGrid>
        <w:gridCol w:w="8285"/>
        <w:gridCol w:w="1353"/>
      </w:tblGrid>
      <w:tr w:rsidR="003507CC" w:rsidRPr="008F4DB4" w14:paraId="7981A45D" w14:textId="77777777" w:rsidTr="003507CC">
        <w:trPr>
          <w:cantSplit/>
          <w:trHeight w:val="579"/>
        </w:trPr>
        <w:tc>
          <w:tcPr>
            <w:tcW w:w="0" w:type="auto"/>
            <w:shd w:val="clear" w:color="auto" w:fill="auto"/>
          </w:tcPr>
          <w:p w14:paraId="30C45716" w14:textId="77777777" w:rsidR="003507CC" w:rsidRPr="008F4DB4" w:rsidRDefault="003507CC" w:rsidP="003507CC">
            <w:pPr>
              <w:pStyle w:val="Tabletext"/>
              <w:rPr>
                <w:b/>
              </w:rPr>
            </w:pPr>
            <w:r w:rsidRPr="008F4DB4">
              <w:rPr>
                <w:b/>
              </w:rPr>
              <w:t>FOI Outcome</w:t>
            </w:r>
          </w:p>
        </w:tc>
        <w:tc>
          <w:tcPr>
            <w:tcW w:w="0" w:type="auto"/>
            <w:shd w:val="clear" w:color="auto" w:fill="auto"/>
          </w:tcPr>
          <w:p w14:paraId="774DAA0D" w14:textId="77777777" w:rsidR="003507CC" w:rsidRPr="008F4DB4" w:rsidRDefault="003507CC" w:rsidP="003507CC">
            <w:pPr>
              <w:pStyle w:val="Tabletext"/>
              <w:jc w:val="center"/>
              <w:rPr>
                <w:b/>
              </w:rPr>
            </w:pPr>
            <w:r w:rsidRPr="008F4DB4">
              <w:rPr>
                <w:b/>
              </w:rPr>
              <w:t>Number of requests</w:t>
            </w:r>
          </w:p>
        </w:tc>
      </w:tr>
      <w:tr w:rsidR="003507CC" w:rsidRPr="009D29A7" w14:paraId="4A146325" w14:textId="77777777" w:rsidTr="003507CC">
        <w:trPr>
          <w:cantSplit/>
          <w:trHeight w:val="794"/>
        </w:trPr>
        <w:tc>
          <w:tcPr>
            <w:tcW w:w="0" w:type="auto"/>
            <w:shd w:val="clear" w:color="auto" w:fill="auto"/>
          </w:tcPr>
          <w:p w14:paraId="7D8B767F" w14:textId="77777777" w:rsidR="003507CC" w:rsidRPr="00532385" w:rsidRDefault="003507CC" w:rsidP="003507CC">
            <w:pPr>
              <w:pStyle w:val="Tabletext"/>
              <w:rPr>
                <w:b/>
              </w:rPr>
            </w:pPr>
            <w:r w:rsidRPr="00532385">
              <w:rPr>
                <w:b/>
              </w:rPr>
              <w:t>Court documents excluded from the FOI process (section 6 of the FOI Act) or documents that are publicly available or available to the public for a fee (sections 14(1)(a) and 14(1)(b) of the FOI Act)</w:t>
            </w:r>
          </w:p>
        </w:tc>
        <w:tc>
          <w:tcPr>
            <w:tcW w:w="0" w:type="auto"/>
            <w:shd w:val="clear" w:color="auto" w:fill="auto"/>
          </w:tcPr>
          <w:p w14:paraId="6A4DE9EF" w14:textId="77777777" w:rsidR="003507CC" w:rsidRPr="00532385" w:rsidRDefault="003507CC" w:rsidP="003507CC">
            <w:pPr>
              <w:pStyle w:val="Tabletext"/>
              <w:jc w:val="center"/>
              <w:rPr>
                <w:b/>
              </w:rPr>
            </w:pPr>
            <w:r w:rsidRPr="00532385">
              <w:rPr>
                <w:b/>
              </w:rPr>
              <w:t>23</w:t>
            </w:r>
          </w:p>
        </w:tc>
      </w:tr>
      <w:tr w:rsidR="003507CC" w:rsidRPr="009D29A7" w14:paraId="216F0EA4" w14:textId="77777777" w:rsidTr="003507CC">
        <w:trPr>
          <w:cantSplit/>
        </w:trPr>
        <w:tc>
          <w:tcPr>
            <w:tcW w:w="0" w:type="auto"/>
            <w:shd w:val="clear" w:color="auto" w:fill="auto"/>
          </w:tcPr>
          <w:p w14:paraId="0B2C5CCF" w14:textId="77777777" w:rsidR="003507CC" w:rsidRPr="009D29A7" w:rsidRDefault="003507CC" w:rsidP="003507CC">
            <w:pPr>
              <w:pStyle w:val="Tabletext"/>
              <w:rPr>
                <w:b/>
              </w:rPr>
            </w:pPr>
            <w:r w:rsidRPr="009D29A7">
              <w:rPr>
                <w:b/>
              </w:rPr>
              <w:t>Invalid requests (application fee not paid or not waived)</w:t>
            </w:r>
            <w:r>
              <w:rPr>
                <w:b/>
              </w:rPr>
              <w:t xml:space="preserve"> </w:t>
            </w:r>
          </w:p>
        </w:tc>
        <w:tc>
          <w:tcPr>
            <w:tcW w:w="0" w:type="auto"/>
            <w:shd w:val="clear" w:color="auto" w:fill="auto"/>
          </w:tcPr>
          <w:p w14:paraId="3FF126EC" w14:textId="77777777" w:rsidR="003507CC" w:rsidRPr="009D29A7" w:rsidRDefault="003507CC" w:rsidP="003507CC">
            <w:pPr>
              <w:pStyle w:val="Tabletext"/>
              <w:jc w:val="center"/>
              <w:rPr>
                <w:b/>
              </w:rPr>
            </w:pPr>
            <w:r>
              <w:rPr>
                <w:b/>
              </w:rPr>
              <w:t>15</w:t>
            </w:r>
          </w:p>
        </w:tc>
      </w:tr>
      <w:tr w:rsidR="003507CC" w:rsidRPr="008F4DB4" w14:paraId="44EE1802" w14:textId="77777777" w:rsidTr="003507CC">
        <w:trPr>
          <w:cantSplit/>
        </w:trPr>
        <w:tc>
          <w:tcPr>
            <w:tcW w:w="0" w:type="auto"/>
            <w:shd w:val="clear" w:color="auto" w:fill="auto"/>
          </w:tcPr>
          <w:p w14:paraId="3C917A6D" w14:textId="77777777" w:rsidR="003507CC" w:rsidRPr="008F4DB4" w:rsidRDefault="003507CC" w:rsidP="003507CC">
            <w:pPr>
              <w:pStyle w:val="Tabletext"/>
              <w:rPr>
                <w:b/>
              </w:rPr>
            </w:pPr>
            <w:r>
              <w:rPr>
                <w:b/>
              </w:rPr>
              <w:t>Valid requests (application fee paid or waived) - total</w:t>
            </w:r>
          </w:p>
        </w:tc>
        <w:tc>
          <w:tcPr>
            <w:tcW w:w="0" w:type="auto"/>
            <w:shd w:val="clear" w:color="auto" w:fill="auto"/>
          </w:tcPr>
          <w:p w14:paraId="34128110" w14:textId="77777777" w:rsidR="003507CC" w:rsidRPr="008F4DB4" w:rsidRDefault="003507CC" w:rsidP="003507CC">
            <w:pPr>
              <w:pStyle w:val="Tabletext"/>
              <w:jc w:val="center"/>
              <w:rPr>
                <w:b/>
              </w:rPr>
            </w:pPr>
            <w:r>
              <w:rPr>
                <w:b/>
              </w:rPr>
              <w:t>20</w:t>
            </w:r>
          </w:p>
        </w:tc>
      </w:tr>
      <w:tr w:rsidR="003507CC" w:rsidRPr="008F4DB4" w14:paraId="5A5FD65D" w14:textId="77777777" w:rsidTr="003507CC">
        <w:trPr>
          <w:cantSplit/>
        </w:trPr>
        <w:tc>
          <w:tcPr>
            <w:tcW w:w="0" w:type="auto"/>
          </w:tcPr>
          <w:p w14:paraId="7D1BCC5B" w14:textId="0BCFB2D3" w:rsidR="003507CC" w:rsidRPr="008F4DB4" w:rsidRDefault="001E6435" w:rsidP="001E6435">
            <w:pPr>
              <w:pStyle w:val="Tabletext"/>
              <w:ind w:left="720"/>
            </w:pPr>
            <w:r>
              <w:t xml:space="preserve">- </w:t>
            </w:r>
            <w:r w:rsidR="003507CC" w:rsidRPr="008F4DB4">
              <w:t>Access granted in full</w:t>
            </w:r>
          </w:p>
        </w:tc>
        <w:tc>
          <w:tcPr>
            <w:tcW w:w="0" w:type="auto"/>
          </w:tcPr>
          <w:p w14:paraId="2E7BB1C6" w14:textId="77777777" w:rsidR="003507CC" w:rsidRPr="008F4DB4" w:rsidRDefault="003507CC" w:rsidP="003507CC">
            <w:pPr>
              <w:pStyle w:val="Tabletext"/>
              <w:jc w:val="center"/>
            </w:pPr>
            <w:r>
              <w:t>5</w:t>
            </w:r>
          </w:p>
        </w:tc>
      </w:tr>
      <w:tr w:rsidR="003507CC" w:rsidRPr="008F4DB4" w14:paraId="09644B2F" w14:textId="77777777" w:rsidTr="003507CC">
        <w:trPr>
          <w:cantSplit/>
        </w:trPr>
        <w:tc>
          <w:tcPr>
            <w:tcW w:w="0" w:type="auto"/>
          </w:tcPr>
          <w:p w14:paraId="29AF9B08" w14:textId="3A0C0199" w:rsidR="003507CC" w:rsidRPr="008F4DB4" w:rsidRDefault="001E6435" w:rsidP="001E6435">
            <w:pPr>
              <w:pStyle w:val="Tabletext"/>
              <w:ind w:left="720"/>
            </w:pPr>
            <w:r>
              <w:t xml:space="preserve">- </w:t>
            </w:r>
            <w:r w:rsidR="003507CC" w:rsidRPr="008F4DB4">
              <w:t>Access granted in part</w:t>
            </w:r>
          </w:p>
        </w:tc>
        <w:tc>
          <w:tcPr>
            <w:tcW w:w="0" w:type="auto"/>
          </w:tcPr>
          <w:p w14:paraId="50DB554D" w14:textId="77777777" w:rsidR="003507CC" w:rsidRPr="008F4DB4" w:rsidRDefault="003507CC" w:rsidP="003507CC">
            <w:pPr>
              <w:pStyle w:val="Tabletext"/>
              <w:jc w:val="center"/>
            </w:pPr>
            <w:r>
              <w:t>4</w:t>
            </w:r>
          </w:p>
        </w:tc>
      </w:tr>
      <w:tr w:rsidR="003507CC" w:rsidRPr="008F4DB4" w14:paraId="6AABB4E5" w14:textId="77777777" w:rsidTr="003507CC">
        <w:trPr>
          <w:cantSplit/>
        </w:trPr>
        <w:tc>
          <w:tcPr>
            <w:tcW w:w="0" w:type="auto"/>
          </w:tcPr>
          <w:p w14:paraId="67A5063D" w14:textId="79A62637" w:rsidR="003507CC" w:rsidRPr="008F4DB4" w:rsidRDefault="001E6435" w:rsidP="001E6435">
            <w:pPr>
              <w:pStyle w:val="Tabletext"/>
              <w:ind w:left="720"/>
            </w:pPr>
            <w:r>
              <w:t xml:space="preserve">- </w:t>
            </w:r>
            <w:r w:rsidR="003507CC" w:rsidRPr="008F4DB4">
              <w:t xml:space="preserve">Access denied </w:t>
            </w:r>
          </w:p>
        </w:tc>
        <w:tc>
          <w:tcPr>
            <w:tcW w:w="0" w:type="auto"/>
          </w:tcPr>
          <w:p w14:paraId="40ED4CE5" w14:textId="77777777" w:rsidR="003507CC" w:rsidRPr="008F4DB4" w:rsidRDefault="003507CC" w:rsidP="003507CC">
            <w:pPr>
              <w:pStyle w:val="Tabletext"/>
              <w:jc w:val="center"/>
            </w:pPr>
            <w:r>
              <w:t>5</w:t>
            </w:r>
          </w:p>
        </w:tc>
      </w:tr>
      <w:tr w:rsidR="003507CC" w:rsidRPr="008F4DB4" w14:paraId="6C7A8DAF" w14:textId="77777777" w:rsidTr="003507CC">
        <w:trPr>
          <w:cantSplit/>
        </w:trPr>
        <w:tc>
          <w:tcPr>
            <w:tcW w:w="0" w:type="auto"/>
          </w:tcPr>
          <w:p w14:paraId="5847AEE0" w14:textId="761511CD" w:rsidR="003507CC" w:rsidRPr="008F4DB4" w:rsidRDefault="001E6435" w:rsidP="001E6435">
            <w:pPr>
              <w:pStyle w:val="Tabletext"/>
              <w:ind w:left="720"/>
            </w:pPr>
            <w:r>
              <w:t xml:space="preserve">- </w:t>
            </w:r>
            <w:r w:rsidR="003507CC" w:rsidRPr="008F4DB4">
              <w:t>No document exists/ No document located</w:t>
            </w:r>
          </w:p>
        </w:tc>
        <w:tc>
          <w:tcPr>
            <w:tcW w:w="0" w:type="auto"/>
          </w:tcPr>
          <w:p w14:paraId="510CA09D" w14:textId="77777777" w:rsidR="003507CC" w:rsidRPr="008F4DB4" w:rsidRDefault="003507CC" w:rsidP="003507CC">
            <w:pPr>
              <w:pStyle w:val="Tabletext"/>
              <w:jc w:val="center"/>
            </w:pPr>
            <w:r>
              <w:t>2</w:t>
            </w:r>
          </w:p>
        </w:tc>
      </w:tr>
      <w:tr w:rsidR="003507CC" w:rsidRPr="008F4DB4" w14:paraId="15DD3286" w14:textId="77777777" w:rsidTr="003507CC">
        <w:trPr>
          <w:cantSplit/>
        </w:trPr>
        <w:tc>
          <w:tcPr>
            <w:tcW w:w="0" w:type="auto"/>
          </w:tcPr>
          <w:p w14:paraId="349A6CEF" w14:textId="2158CF33" w:rsidR="003507CC" w:rsidRPr="008F4DB4" w:rsidRDefault="001E6435" w:rsidP="001E6435">
            <w:pPr>
              <w:pStyle w:val="Tabletext"/>
              <w:ind w:left="720"/>
            </w:pPr>
            <w:r>
              <w:t xml:space="preserve">- </w:t>
            </w:r>
            <w:r w:rsidR="003507CC" w:rsidRPr="008F4DB4">
              <w:t>Transferred to other agency</w:t>
            </w:r>
          </w:p>
        </w:tc>
        <w:tc>
          <w:tcPr>
            <w:tcW w:w="0" w:type="auto"/>
          </w:tcPr>
          <w:p w14:paraId="2351D821" w14:textId="77777777" w:rsidR="003507CC" w:rsidRPr="008F4DB4" w:rsidRDefault="003507CC" w:rsidP="003507CC">
            <w:pPr>
              <w:pStyle w:val="Tabletext"/>
              <w:jc w:val="center"/>
            </w:pPr>
            <w:r>
              <w:t>3</w:t>
            </w:r>
          </w:p>
        </w:tc>
      </w:tr>
      <w:tr w:rsidR="003507CC" w:rsidRPr="008F4DB4" w14:paraId="7E5CCFE6" w14:textId="77777777" w:rsidTr="003507CC">
        <w:trPr>
          <w:cantSplit/>
        </w:trPr>
        <w:tc>
          <w:tcPr>
            <w:tcW w:w="0" w:type="auto"/>
          </w:tcPr>
          <w:p w14:paraId="61E7EB8F" w14:textId="67119664" w:rsidR="003507CC" w:rsidRPr="008F4DB4" w:rsidRDefault="001E6435" w:rsidP="001E6435">
            <w:pPr>
              <w:pStyle w:val="Tabletext"/>
              <w:ind w:left="720"/>
            </w:pPr>
            <w:r>
              <w:t xml:space="preserve">- </w:t>
            </w:r>
            <w:r w:rsidR="003507CC" w:rsidRPr="008F4DB4">
              <w:t>Not proceeded with</w:t>
            </w:r>
          </w:p>
        </w:tc>
        <w:tc>
          <w:tcPr>
            <w:tcW w:w="0" w:type="auto"/>
          </w:tcPr>
          <w:p w14:paraId="1944C596" w14:textId="77777777" w:rsidR="003507CC" w:rsidRPr="008F4DB4" w:rsidRDefault="003507CC" w:rsidP="003507CC">
            <w:pPr>
              <w:pStyle w:val="Tabletext"/>
              <w:jc w:val="center"/>
            </w:pPr>
            <w:r>
              <w:t>1</w:t>
            </w:r>
          </w:p>
        </w:tc>
      </w:tr>
      <w:tr w:rsidR="003507CC" w:rsidRPr="008F4DB4" w14:paraId="32F58445" w14:textId="77777777" w:rsidTr="003507CC">
        <w:trPr>
          <w:cantSplit/>
        </w:trPr>
        <w:tc>
          <w:tcPr>
            <w:tcW w:w="0" w:type="auto"/>
          </w:tcPr>
          <w:p w14:paraId="49A0A48A" w14:textId="747C449E" w:rsidR="003507CC" w:rsidRPr="008F4DB4" w:rsidRDefault="001E6435" w:rsidP="001E6435">
            <w:pPr>
              <w:pStyle w:val="Tabletext"/>
              <w:ind w:left="720"/>
            </w:pPr>
            <w:r>
              <w:t xml:space="preserve">- </w:t>
            </w:r>
            <w:r w:rsidR="00DD7624">
              <w:t>I</w:t>
            </w:r>
            <w:r w:rsidR="003507CC" w:rsidRPr="008F4DB4">
              <w:t>n process</w:t>
            </w:r>
          </w:p>
        </w:tc>
        <w:tc>
          <w:tcPr>
            <w:tcW w:w="0" w:type="auto"/>
          </w:tcPr>
          <w:p w14:paraId="32D510E2" w14:textId="77777777" w:rsidR="003507CC" w:rsidRPr="008F4DB4" w:rsidRDefault="003507CC" w:rsidP="003507CC">
            <w:pPr>
              <w:pStyle w:val="Tabletext"/>
              <w:jc w:val="center"/>
            </w:pPr>
            <w:r>
              <w:t>0</w:t>
            </w:r>
          </w:p>
        </w:tc>
      </w:tr>
      <w:tr w:rsidR="003507CC" w:rsidRPr="00532385" w14:paraId="5D34D15F" w14:textId="77777777" w:rsidTr="003507CC">
        <w:trPr>
          <w:cantSplit/>
          <w:trHeight w:val="317"/>
        </w:trPr>
        <w:tc>
          <w:tcPr>
            <w:tcW w:w="0" w:type="auto"/>
            <w:shd w:val="clear" w:color="auto" w:fill="auto"/>
          </w:tcPr>
          <w:p w14:paraId="0FE02090" w14:textId="77777777" w:rsidR="003507CC" w:rsidRPr="001E6435" w:rsidRDefault="003507CC" w:rsidP="003507CC">
            <w:pPr>
              <w:pStyle w:val="Tabletext"/>
              <w:rPr>
                <w:b/>
              </w:rPr>
            </w:pPr>
            <w:r w:rsidRPr="001E6435">
              <w:rPr>
                <w:b/>
              </w:rPr>
              <w:t>Total requests received</w:t>
            </w:r>
          </w:p>
        </w:tc>
        <w:tc>
          <w:tcPr>
            <w:tcW w:w="0" w:type="auto"/>
            <w:shd w:val="clear" w:color="auto" w:fill="auto"/>
          </w:tcPr>
          <w:p w14:paraId="244DF175" w14:textId="77777777" w:rsidR="003507CC" w:rsidRPr="001E6435" w:rsidRDefault="003507CC" w:rsidP="003507CC">
            <w:pPr>
              <w:pStyle w:val="Tabletext"/>
              <w:jc w:val="center"/>
              <w:rPr>
                <w:b/>
              </w:rPr>
            </w:pPr>
            <w:r w:rsidRPr="001E6435">
              <w:rPr>
                <w:b/>
              </w:rPr>
              <w:t>58</w:t>
            </w:r>
          </w:p>
        </w:tc>
      </w:tr>
    </w:tbl>
    <w:p w14:paraId="4E51085F" w14:textId="4750FB5B" w:rsidR="003507CC" w:rsidRPr="00A7441B" w:rsidRDefault="003507CC" w:rsidP="003507CC">
      <w:pPr>
        <w:pStyle w:val="Heading4"/>
      </w:pPr>
      <w:r>
        <w:t>C</w:t>
      </w:r>
      <w:r w:rsidR="00013DB0">
        <w:t>ourt D</w:t>
      </w:r>
      <w:r w:rsidRPr="00A7441B">
        <w:t>ocuments</w:t>
      </w:r>
    </w:p>
    <w:p w14:paraId="15BAFCB5" w14:textId="77777777" w:rsidR="003507CC" w:rsidRPr="00A7441B" w:rsidRDefault="003507CC" w:rsidP="003507CC">
      <w:r w:rsidRPr="00A7441B">
        <w:rPr>
          <w:iCs/>
        </w:rPr>
        <w:t>The FOI Act</w:t>
      </w:r>
      <w:r w:rsidRPr="00A7441B">
        <w:rPr>
          <w:i/>
          <w:iCs/>
        </w:rPr>
        <w:t xml:space="preserve"> </w:t>
      </w:r>
      <w:r w:rsidRPr="00A7441B">
        <w:t>does not apply to documents held by courts in respect of their judicial functions (section 6 of the FOI Act). Each court or tribunal has its own arrangements for accessing such documents.</w:t>
      </w:r>
    </w:p>
    <w:p w14:paraId="417D5736" w14:textId="2E85BE15" w:rsidR="003507CC" w:rsidRPr="00A7441B" w:rsidRDefault="00013DB0" w:rsidP="003507CC">
      <w:pPr>
        <w:pStyle w:val="Heading4"/>
      </w:pPr>
      <w:r>
        <w:t>Making a R</w:t>
      </w:r>
      <w:r w:rsidR="003507CC" w:rsidRPr="00A7441B">
        <w:t>equest</w:t>
      </w:r>
    </w:p>
    <w:p w14:paraId="008799F3" w14:textId="77777777" w:rsidR="003507CC" w:rsidRPr="00A7441B" w:rsidRDefault="003507CC" w:rsidP="003507CC">
      <w:r w:rsidRPr="00A7441B">
        <w:t xml:space="preserve">Access to documents may be obtained through written request to CSV FOI, as detailed in section 17 of the </w:t>
      </w:r>
      <w:r w:rsidRPr="00A7441B">
        <w:rPr>
          <w:iCs/>
        </w:rPr>
        <w:t>FOI Act.</w:t>
      </w:r>
      <w:r w:rsidRPr="00A7441B">
        <w:t xml:space="preserve"> </w:t>
      </w:r>
    </w:p>
    <w:p w14:paraId="6D299EE5" w14:textId="77777777" w:rsidR="003507CC" w:rsidRPr="00A7441B" w:rsidRDefault="003507CC" w:rsidP="003507CC"/>
    <w:p w14:paraId="70C1AA0E" w14:textId="77777777" w:rsidR="003507CC" w:rsidRPr="00A7441B" w:rsidRDefault="003507CC" w:rsidP="003507CC">
      <w:r w:rsidRPr="00A7441B">
        <w:t>Requests for documents in the possession of CSV should be made in writing, accompanied by the application fee or request for a fee waiver, and be addressed to:</w:t>
      </w:r>
    </w:p>
    <w:p w14:paraId="50A5D1FF" w14:textId="77777777" w:rsidR="003507CC" w:rsidRPr="00A7441B" w:rsidRDefault="003507CC" w:rsidP="003507CC"/>
    <w:p w14:paraId="047607AC" w14:textId="77777777" w:rsidR="003507CC" w:rsidRPr="00A7441B" w:rsidRDefault="003507CC" w:rsidP="003507CC">
      <w:r w:rsidRPr="00A7441B">
        <w:t>Court Services Victoria</w:t>
      </w:r>
    </w:p>
    <w:p w14:paraId="3F10F167" w14:textId="77777777" w:rsidR="003507CC" w:rsidRPr="00A7441B" w:rsidRDefault="003507CC" w:rsidP="003507CC">
      <w:r w:rsidRPr="00A7441B">
        <w:t>Freedom of Information</w:t>
      </w:r>
    </w:p>
    <w:p w14:paraId="0809E4CC" w14:textId="77777777" w:rsidR="003507CC" w:rsidRPr="00A7441B" w:rsidRDefault="003507CC" w:rsidP="003507CC">
      <w:r w:rsidRPr="00A7441B">
        <w:t>PO Box 13193</w:t>
      </w:r>
    </w:p>
    <w:p w14:paraId="7E9B1A8E" w14:textId="77777777" w:rsidR="003507CC" w:rsidRPr="00A7441B" w:rsidRDefault="003507CC" w:rsidP="003507CC">
      <w:r w:rsidRPr="00A7441B">
        <w:t>Law Courts  Vic  8010</w:t>
      </w:r>
    </w:p>
    <w:p w14:paraId="1F56BF7C" w14:textId="77777777" w:rsidR="003507CC" w:rsidRPr="00A7441B" w:rsidRDefault="003507CC" w:rsidP="003507CC">
      <w:r w:rsidRPr="00A7441B">
        <w:t>Email: foi@courts.vic.gov.au</w:t>
      </w:r>
    </w:p>
    <w:p w14:paraId="5DFCC24D" w14:textId="77777777" w:rsidR="003507CC" w:rsidRPr="00A7441B" w:rsidRDefault="003507CC" w:rsidP="003507CC"/>
    <w:p w14:paraId="44B6DE09" w14:textId="77777777" w:rsidR="003507CC" w:rsidRPr="00A7441B" w:rsidRDefault="003507CC" w:rsidP="003507CC">
      <w:r w:rsidRPr="00A7441B">
        <w:t xml:space="preserve">Requests can also be lodged online at </w:t>
      </w:r>
      <w:hyperlink r:id="rId9" w:history="1">
        <w:r w:rsidRPr="00A7441B">
          <w:t>www.foi.vic.gov.au</w:t>
        </w:r>
      </w:hyperlink>
      <w:r w:rsidRPr="00A7441B">
        <w:t>.</w:t>
      </w:r>
    </w:p>
    <w:p w14:paraId="3670E5D9" w14:textId="77777777" w:rsidR="003507CC" w:rsidRPr="00A7441B" w:rsidRDefault="003507CC" w:rsidP="003507CC"/>
    <w:p w14:paraId="242E82DC" w14:textId="77777777" w:rsidR="003507CC" w:rsidRPr="00A7441B" w:rsidRDefault="003507CC" w:rsidP="003507CC">
      <w:r w:rsidRPr="00A7441B">
        <w:t xml:space="preserve">Access charges may also apply once documents have been processed and a decision on access is made, for example photocopying and search and retrieval charges. </w:t>
      </w:r>
    </w:p>
    <w:p w14:paraId="275F0146" w14:textId="77777777" w:rsidR="003507CC" w:rsidRPr="00A7441B" w:rsidRDefault="003507CC" w:rsidP="003507CC"/>
    <w:p w14:paraId="19E87E3B" w14:textId="2355F766" w:rsidR="00DD7624" w:rsidRDefault="003507CC" w:rsidP="003507CC">
      <w:r w:rsidRPr="00A7441B">
        <w:t xml:space="preserve">Further information regarding Freedom of Information can be found at </w:t>
      </w:r>
      <w:hyperlink r:id="rId10" w:history="1">
        <w:r w:rsidRPr="00A7441B">
          <w:t>www.foi.vic.gov.au</w:t>
        </w:r>
      </w:hyperlink>
      <w:r w:rsidRPr="00A7441B">
        <w:t>.</w:t>
      </w:r>
      <w:r w:rsidR="000941A1">
        <w:t xml:space="preserve"> </w:t>
      </w:r>
      <w:r w:rsidR="00DD7624">
        <w:t xml:space="preserve">CSV’s Part II Information Statement can be found at www.courts.vic.gov.au. </w:t>
      </w:r>
    </w:p>
    <w:p w14:paraId="2C2DFC75" w14:textId="77777777" w:rsidR="00156C26" w:rsidRDefault="00156C26" w:rsidP="00156C26">
      <w:pPr>
        <w:pStyle w:val="Heading2"/>
      </w:pPr>
      <w:bookmarkStart w:id="30" w:name="_Toc466381179"/>
      <w:r w:rsidRPr="00156C26">
        <w:t>Compliance with Building Act 1993 (Vic)</w:t>
      </w:r>
      <w:bookmarkEnd w:id="30"/>
    </w:p>
    <w:p w14:paraId="7B3AE2A7" w14:textId="77777777" w:rsidR="002469C3" w:rsidRPr="00DD2E4C" w:rsidRDefault="002469C3" w:rsidP="002469C3">
      <w:r w:rsidRPr="00DD2E4C">
        <w:t>CSV is responsible for a significant built environment and asset base of courts characterised by numerous and aged facilities dispersed throughout the State. Consequently, some of these buildings were constructed during period when current regulations did not apply and hold exemptions for specific elements of non-compliance.</w:t>
      </w:r>
    </w:p>
    <w:p w14:paraId="1D160BD1" w14:textId="77777777" w:rsidR="002469C3" w:rsidRPr="00DD2E4C" w:rsidRDefault="002469C3" w:rsidP="002469C3"/>
    <w:p w14:paraId="71D0212C" w14:textId="77777777" w:rsidR="002469C3" w:rsidRPr="00DD2E4C" w:rsidRDefault="002469C3" w:rsidP="002469C3">
      <w:r w:rsidRPr="00DD2E4C">
        <w:t>Courts meet statutory obligations required under Essential Safety Measures with respect to maintenance and building provisions as under Building Regulations 2006, Schedule 9.</w:t>
      </w:r>
    </w:p>
    <w:p w14:paraId="7ADFE2E8" w14:textId="77777777" w:rsidR="00156C26" w:rsidRPr="006E1897" w:rsidRDefault="00156C26" w:rsidP="00156C26">
      <w:pPr>
        <w:pStyle w:val="Heading2"/>
      </w:pPr>
      <w:bookmarkStart w:id="31" w:name="_Toc466381180"/>
      <w:r w:rsidRPr="006E1897">
        <w:t>National Competition Policy</w:t>
      </w:r>
      <w:bookmarkEnd w:id="31"/>
      <w:r w:rsidRPr="006E1897">
        <w:t xml:space="preserve"> </w:t>
      </w:r>
    </w:p>
    <w:p w14:paraId="7A10D736" w14:textId="77777777" w:rsidR="00156C26" w:rsidRDefault="00156C26" w:rsidP="00156C26">
      <w:r w:rsidRPr="002B6462">
        <w:t>Under the National Competition Policy, the guiding legislative principle is that legislation, including future legislative proposals, should not restrict competition unless it can be demonstrated that:</w:t>
      </w:r>
    </w:p>
    <w:p w14:paraId="731D3969" w14:textId="77777777" w:rsidR="00156C26" w:rsidRPr="002B6462" w:rsidRDefault="00156C26" w:rsidP="00156C26"/>
    <w:p w14:paraId="433068A8" w14:textId="0FD2C1F6" w:rsidR="00156C26" w:rsidRPr="00067488" w:rsidRDefault="00156C26" w:rsidP="00156C26">
      <w:pPr>
        <w:pStyle w:val="ListBullet"/>
      </w:pPr>
      <w:r>
        <w:t>T</w:t>
      </w:r>
      <w:r w:rsidRPr="00067488">
        <w:t>he benefits of the restriction to the community as a whole outweigh the costs</w:t>
      </w:r>
      <w:r w:rsidR="00420888">
        <w:t>.</w:t>
      </w:r>
    </w:p>
    <w:p w14:paraId="332BC415" w14:textId="77777777" w:rsidR="00156C26" w:rsidRDefault="00156C26" w:rsidP="00156C26">
      <w:pPr>
        <w:pStyle w:val="ListBullet"/>
      </w:pPr>
      <w:r>
        <w:t>T</w:t>
      </w:r>
      <w:r w:rsidRPr="00067488">
        <w:t>he objectives of the legislation can only be achieved by restricting competition</w:t>
      </w:r>
      <w:r w:rsidRPr="002B6462">
        <w:t>.</w:t>
      </w:r>
    </w:p>
    <w:p w14:paraId="310E254F" w14:textId="77777777" w:rsidR="00156C26" w:rsidRPr="002B6462" w:rsidRDefault="00156C26" w:rsidP="00156C26"/>
    <w:p w14:paraId="06BA0CB6" w14:textId="77777777" w:rsidR="00156C26" w:rsidRPr="002B6462" w:rsidRDefault="00156C26" w:rsidP="00156C26">
      <w:r>
        <w:t>CSV</w:t>
      </w:r>
      <w:r w:rsidRPr="002B6462">
        <w:t xml:space="preserve"> complies with the requirements of the National Competition Policy.</w:t>
      </w:r>
    </w:p>
    <w:p w14:paraId="69E29AED" w14:textId="148CC3BD" w:rsidR="00D83BC0" w:rsidRPr="00D83BC0" w:rsidRDefault="00156C26" w:rsidP="00A644E0">
      <w:pPr>
        <w:pStyle w:val="Heading2"/>
      </w:pPr>
      <w:bookmarkStart w:id="32" w:name="_Toc466381181"/>
      <w:r w:rsidRPr="00156C26">
        <w:t>Compliance with the Protected Disclosure Act 2012 (Vic)</w:t>
      </w:r>
      <w:bookmarkEnd w:id="32"/>
    </w:p>
    <w:p w14:paraId="355E55C9" w14:textId="77777777" w:rsidR="00156C26" w:rsidRPr="00A644E0" w:rsidRDefault="00156C26" w:rsidP="00156C26">
      <w:r w:rsidRPr="00A644E0">
        <w:t>The Protected Disclosure Act 2012 (Vic) (PD Act) encourages and assists people in making disclosures of improper conduct by public officers and public bodies. The PD Act</w:t>
      </w:r>
      <w:r w:rsidRPr="00A644E0" w:rsidDel="00D25366">
        <w:t xml:space="preserve"> </w:t>
      </w:r>
      <w:r w:rsidRPr="00A644E0">
        <w:t>provides certain protection to people who make disclosures in accordance with the PD Act</w:t>
      </w:r>
      <w:r w:rsidRPr="00A644E0" w:rsidDel="00D25366">
        <w:t xml:space="preserve"> </w:t>
      </w:r>
      <w:r w:rsidRPr="00A644E0">
        <w:t>and establishes a system for the matters disclosed to be investigated and rectifying action to be taken.</w:t>
      </w:r>
    </w:p>
    <w:p w14:paraId="7F0DC028" w14:textId="77777777" w:rsidR="00156C26" w:rsidRPr="00A644E0" w:rsidRDefault="00156C26" w:rsidP="00156C26"/>
    <w:p w14:paraId="4D91AAF4" w14:textId="77777777" w:rsidR="00156C26" w:rsidRPr="00A644E0" w:rsidRDefault="00156C26" w:rsidP="00156C26">
      <w:r w:rsidRPr="00A644E0">
        <w:t xml:space="preserve">CSV does not tolerate improper conduct by employees, nor the taking of reprisals against those who come forward to disclose such conduct. CSV is committed to ensuring transparency and accountability in administrative and management practices, and supports the making of disclosures that reveal corrupt conduct, conduct involving a substantial mismanagement of public resources, or conduct involving a substantial risk to public health and safety or the environment. </w:t>
      </w:r>
    </w:p>
    <w:p w14:paraId="6858262F" w14:textId="77777777" w:rsidR="00B6510D" w:rsidRPr="00A644E0" w:rsidRDefault="00B6510D" w:rsidP="00156C26"/>
    <w:p w14:paraId="18BDC739" w14:textId="77777777" w:rsidR="00156C26" w:rsidRPr="00A644E0" w:rsidRDefault="00156C26" w:rsidP="00156C26">
      <w:r w:rsidRPr="00A644E0">
        <w:t>CSV will take all reasonable steps to protect people who make such disclosures from any detrimental action in reprisal for making the disclosure. CSV will also afford natural justice to the person who is the subject of the disclosure to the extent it is legally possible.</w:t>
      </w:r>
    </w:p>
    <w:p w14:paraId="439089A2" w14:textId="77777777" w:rsidR="00156C26" w:rsidRPr="00A644E0" w:rsidRDefault="00B6510D" w:rsidP="00B6510D">
      <w:pPr>
        <w:pStyle w:val="Heading3"/>
      </w:pPr>
      <w:r w:rsidRPr="00A644E0">
        <w:t>Reporting P</w:t>
      </w:r>
      <w:r w:rsidR="00156C26" w:rsidRPr="00A644E0">
        <w:t>rocedures</w:t>
      </w:r>
    </w:p>
    <w:p w14:paraId="1AFCE0F9" w14:textId="77777777" w:rsidR="00156C26" w:rsidRPr="00A644E0" w:rsidRDefault="00156C26" w:rsidP="00B6510D">
      <w:r w:rsidRPr="00A644E0">
        <w:t>Disclosure of improper conduct or detrimental action by CSV or any of its employees or officers may be made to:</w:t>
      </w:r>
    </w:p>
    <w:p w14:paraId="724F711E" w14:textId="77777777" w:rsidR="00B6510D" w:rsidRPr="00A644E0" w:rsidRDefault="00B6510D" w:rsidP="00B6510D"/>
    <w:p w14:paraId="6CB382BB" w14:textId="77777777" w:rsidR="00156C26" w:rsidRPr="00A644E0" w:rsidRDefault="00156C26" w:rsidP="00B6510D">
      <w:r w:rsidRPr="00A644E0">
        <w:t>The Independent Broad-based Anti-corruption Commission (IBAC)</w:t>
      </w:r>
    </w:p>
    <w:p w14:paraId="3DAB436F" w14:textId="77777777" w:rsidR="00156C26" w:rsidRPr="00A644E0" w:rsidRDefault="00156C26" w:rsidP="00B6510D">
      <w:r w:rsidRPr="00A644E0">
        <w:t>Level 1, North Tower, 459 Collins Street</w:t>
      </w:r>
    </w:p>
    <w:p w14:paraId="6E46CAC5" w14:textId="77777777" w:rsidR="00156C26" w:rsidRPr="00A644E0" w:rsidRDefault="00156C26" w:rsidP="00B6510D">
      <w:r w:rsidRPr="00A644E0">
        <w:t>Melbourne  Vic  3000</w:t>
      </w:r>
    </w:p>
    <w:p w14:paraId="2CDDD26A" w14:textId="77777777" w:rsidR="00156C26" w:rsidRPr="00A644E0" w:rsidRDefault="00156C26" w:rsidP="00B6510D">
      <w:r w:rsidRPr="00A644E0">
        <w:t>Telephone: 1300 735 135</w:t>
      </w:r>
    </w:p>
    <w:p w14:paraId="54DE073F" w14:textId="77777777" w:rsidR="00156C26" w:rsidRPr="00A644E0" w:rsidRDefault="00156C26" w:rsidP="00B6510D">
      <w:r w:rsidRPr="00A644E0">
        <w:t xml:space="preserve">Website: </w:t>
      </w:r>
      <w:hyperlink r:id="rId11" w:history="1">
        <w:r w:rsidRPr="00A644E0">
          <w:t>www.ibac.vic.gov.au</w:t>
        </w:r>
      </w:hyperlink>
    </w:p>
    <w:p w14:paraId="64C8D473" w14:textId="77777777" w:rsidR="00156C26" w:rsidRPr="00A644E0" w:rsidRDefault="00156C26" w:rsidP="00156C26">
      <w:pPr>
        <w:pStyle w:val="Heading3"/>
      </w:pPr>
      <w:r w:rsidRPr="00A644E0">
        <w:t>Further information</w:t>
      </w:r>
    </w:p>
    <w:p w14:paraId="078B3472" w14:textId="77777777" w:rsidR="00156C26" w:rsidRPr="00A644E0" w:rsidRDefault="00156C26" w:rsidP="00B6510D">
      <w:r w:rsidRPr="00A644E0">
        <w:t>Information about what constitutes corrupt and specified conduct, how to make a disclosure, what happens when a disclosure is made, the protections and support available to disclosers, and the support available to a CSV employee who is being investigated can be found in the Making and Handling Protected Disclosures Procedures.</w:t>
      </w:r>
    </w:p>
    <w:p w14:paraId="0267A5C7" w14:textId="77777777" w:rsidR="00B6510D" w:rsidRPr="00A644E0" w:rsidRDefault="00B6510D" w:rsidP="00B6510D"/>
    <w:p w14:paraId="5D4F64C9" w14:textId="77777777" w:rsidR="00156C26" w:rsidRPr="00B6510D" w:rsidRDefault="00156C26" w:rsidP="00B6510D">
      <w:r w:rsidRPr="00A644E0">
        <w:t xml:space="preserve">To request a copy of the Making and Handling Protected Disclosures Procedures, please contact </w:t>
      </w:r>
      <w:hyperlink r:id="rId12" w:history="1">
        <w:r w:rsidRPr="00A644E0">
          <w:t>feedback@courts.vic.gov.au</w:t>
        </w:r>
      </w:hyperlink>
      <w:r w:rsidRPr="00A644E0">
        <w:t>.</w:t>
      </w:r>
    </w:p>
    <w:p w14:paraId="49DA5447" w14:textId="77777777" w:rsidR="00156C26" w:rsidRPr="00156C26" w:rsidRDefault="00156C26" w:rsidP="00156C26">
      <w:pPr>
        <w:pStyle w:val="Heading2"/>
      </w:pPr>
      <w:bookmarkStart w:id="33" w:name="_Toc466381182"/>
      <w:r w:rsidRPr="00156C26">
        <w:t>Compliance with the Carers Recognition Act 2012 (Vic)</w:t>
      </w:r>
      <w:bookmarkEnd w:id="33"/>
      <w:r w:rsidRPr="00156C26">
        <w:t xml:space="preserve"> </w:t>
      </w:r>
    </w:p>
    <w:p w14:paraId="57E00FCB" w14:textId="77777777" w:rsidR="00EA63DD" w:rsidRDefault="00EA63DD" w:rsidP="00EA63DD">
      <w:r w:rsidRPr="00B6510D">
        <w:t xml:space="preserve">CSV complies with its obligations under the </w:t>
      </w:r>
      <w:r w:rsidRPr="00715045">
        <w:rPr>
          <w:i/>
        </w:rPr>
        <w:t>Carers Recognition Act 2012</w:t>
      </w:r>
      <w:r w:rsidRPr="00B6510D">
        <w:t xml:space="preserve"> (Vic) </w:t>
      </w:r>
      <w:r w:rsidRPr="006034D4">
        <w:t>by making all new employees aware of their rights under this legislation and ensuring that existing</w:t>
      </w:r>
      <w:r w:rsidRPr="00B6510D">
        <w:t xml:space="preserve"> employees, who have carer responsibilities, are supported to balance work hours and their role as a carer in accordance with </w:t>
      </w:r>
      <w:r w:rsidRPr="0014634C">
        <w:t>the Victorian Public Service Workplace Determination 2012 and</w:t>
      </w:r>
      <w:r>
        <w:t xml:space="preserve"> subsequent </w:t>
      </w:r>
      <w:r w:rsidRPr="00D95ED8">
        <w:t>Victori</w:t>
      </w:r>
      <w:r>
        <w:t>an Public Service Enterprise Agreement 2016</w:t>
      </w:r>
      <w:r w:rsidRPr="00B6510D">
        <w:t>.</w:t>
      </w:r>
    </w:p>
    <w:p w14:paraId="49CABD15" w14:textId="77777777" w:rsidR="00EA63DD" w:rsidRDefault="00EA63DD" w:rsidP="00EA63DD"/>
    <w:p w14:paraId="01C49C69" w14:textId="77777777" w:rsidR="00EA63DD" w:rsidRDefault="00EA63DD" w:rsidP="00EA63DD">
      <w:r>
        <w:t>CSV also has people management policies</w:t>
      </w:r>
      <w:r w:rsidRPr="00B6510D">
        <w:t xml:space="preserve"> </w:t>
      </w:r>
      <w:r>
        <w:t xml:space="preserve">that support the guiding principles of the </w:t>
      </w:r>
      <w:r w:rsidRPr="00715045">
        <w:rPr>
          <w:i/>
        </w:rPr>
        <w:t>Carers Recognition Act 2012</w:t>
      </w:r>
      <w:r>
        <w:t xml:space="preserve"> including:</w:t>
      </w:r>
    </w:p>
    <w:p w14:paraId="70DC4918" w14:textId="77777777" w:rsidR="00E2240C" w:rsidRDefault="00E2240C" w:rsidP="00EA63DD"/>
    <w:p w14:paraId="6EB10A16" w14:textId="2367BC4E" w:rsidR="00EA63DD" w:rsidRDefault="00EA63DD" w:rsidP="00EA63DD">
      <w:pPr>
        <w:pStyle w:val="ListBullet"/>
      </w:pPr>
      <w:r>
        <w:t>Personal/Carer’s Leave Policy</w:t>
      </w:r>
    </w:p>
    <w:p w14:paraId="18DCD2B3" w14:textId="5DAFD02E" w:rsidR="00EA63DD" w:rsidRDefault="00EA63DD" w:rsidP="00EA63DD">
      <w:pPr>
        <w:pStyle w:val="ListBullet"/>
      </w:pPr>
      <w:r>
        <w:t>Flexible Working Arrangements Policy</w:t>
      </w:r>
    </w:p>
    <w:p w14:paraId="6A8BEC60" w14:textId="230E9840" w:rsidR="00EA63DD" w:rsidRPr="00451CC4" w:rsidRDefault="002D5DEA" w:rsidP="00EA63DD">
      <w:pPr>
        <w:pStyle w:val="ListBullet"/>
      </w:pPr>
      <w:r>
        <w:t>Respect in the Workplace Policy.</w:t>
      </w:r>
    </w:p>
    <w:p w14:paraId="14F8066E" w14:textId="77777777" w:rsidR="00156C26" w:rsidRDefault="00156C26" w:rsidP="00156C26">
      <w:pPr>
        <w:pStyle w:val="Heading2"/>
      </w:pPr>
      <w:bookmarkStart w:id="34" w:name="_Toc466381183"/>
      <w:r w:rsidRPr="00156C26">
        <w:t>Office-based environmental impacts</w:t>
      </w:r>
      <w:bookmarkEnd w:id="34"/>
      <w:r w:rsidRPr="00156C26">
        <w:t xml:space="preserve"> </w:t>
      </w:r>
    </w:p>
    <w:p w14:paraId="0A1B5E7D" w14:textId="77777777" w:rsidR="002469C3" w:rsidRDefault="002469C3" w:rsidP="002469C3">
      <w:r w:rsidRPr="00DD2E4C">
        <w:t>CSV is continuing to take a proactive approach in relation to Environmental Management with an aim to reduce its environmental impacts and to increase the efficient use of resources. These activities include:</w:t>
      </w:r>
    </w:p>
    <w:p w14:paraId="5704A18C" w14:textId="77777777" w:rsidR="002469C3" w:rsidRPr="00DD2E4C" w:rsidRDefault="002469C3" w:rsidP="002469C3"/>
    <w:p w14:paraId="67B66447" w14:textId="77777777" w:rsidR="002469C3" w:rsidRPr="00DD2E4C" w:rsidRDefault="002469C3" w:rsidP="002469C3">
      <w:pPr>
        <w:pStyle w:val="ListBullet"/>
      </w:pPr>
      <w:r w:rsidRPr="00DD2E4C">
        <w:t>Preparing an information paper entitled 'creating a green and sustainable organisation.' The purpose of the paper is to explore the key environmental issues relevant to office operations, the legislative and policy context and steps required to develop an environment management system. The steps required include creation of an environmental policy, governance, strategies for implementation and reporting mechanisms.</w:t>
      </w:r>
    </w:p>
    <w:p w14:paraId="5B31F1A0" w14:textId="77777777" w:rsidR="002469C3" w:rsidRPr="00DD2E4C" w:rsidRDefault="002469C3" w:rsidP="002469C3">
      <w:pPr>
        <w:pStyle w:val="ListBullet"/>
      </w:pPr>
      <w:r w:rsidRPr="00DD2E4C">
        <w:t>Establishment of Environmental Management Committees and the Jurisdiction Services Green Group.</w:t>
      </w:r>
    </w:p>
    <w:p w14:paraId="260F6E4E" w14:textId="77777777" w:rsidR="002469C3" w:rsidRPr="00DD2E4C" w:rsidRDefault="002469C3" w:rsidP="002469C3">
      <w:pPr>
        <w:pStyle w:val="ListBullet"/>
      </w:pPr>
      <w:r w:rsidRPr="00DD2E4C">
        <w:t xml:space="preserve">Promoting ‘green issues’ through flyers posted in communal building areas such as lift wells, staff areas and intranet pages. </w:t>
      </w:r>
    </w:p>
    <w:p w14:paraId="39075E62" w14:textId="77777777" w:rsidR="002469C3" w:rsidRPr="00DD2E4C" w:rsidRDefault="002469C3" w:rsidP="002469C3">
      <w:pPr>
        <w:pStyle w:val="ListBullet"/>
      </w:pPr>
      <w:r w:rsidRPr="00DD2E4C">
        <w:t>Promoting events, such as ‘Earth Hour’ and ‘Ride to Work Day’.</w:t>
      </w:r>
    </w:p>
    <w:p w14:paraId="6ABCAA58" w14:textId="77777777" w:rsidR="002469C3" w:rsidRPr="00DD2E4C" w:rsidRDefault="002469C3" w:rsidP="002469C3">
      <w:pPr>
        <w:pStyle w:val="ListBullet"/>
      </w:pPr>
      <w:r w:rsidRPr="00DD2E4C">
        <w:t>Reviewing and replacement of building plant equipment with energy efficient alternatives.</w:t>
      </w:r>
    </w:p>
    <w:p w14:paraId="62DFDC84" w14:textId="2C10BE4E" w:rsidR="002469C3" w:rsidRPr="00DD2E4C" w:rsidRDefault="002469C3" w:rsidP="002469C3">
      <w:pPr>
        <w:pStyle w:val="ListBullet"/>
      </w:pPr>
      <w:r w:rsidRPr="00DD2E4C">
        <w:t>Reviewing induction programs to include environmental information for new staff</w:t>
      </w:r>
      <w:r w:rsidR="00E2240C">
        <w:t>.</w:t>
      </w:r>
    </w:p>
    <w:p w14:paraId="411B9908" w14:textId="19617D25" w:rsidR="002469C3" w:rsidRPr="00DD2E4C" w:rsidRDefault="002469C3" w:rsidP="002469C3">
      <w:pPr>
        <w:pStyle w:val="ListBullet"/>
      </w:pPr>
      <w:r w:rsidRPr="00DD2E4C">
        <w:t>New commercial leases must met green star energy rating standards to be considered</w:t>
      </w:r>
      <w:r w:rsidR="00E2240C">
        <w:t>.</w:t>
      </w:r>
    </w:p>
    <w:p w14:paraId="5ACAA305" w14:textId="77777777" w:rsidR="002469C3" w:rsidRPr="00DD2E4C" w:rsidRDefault="002469C3" w:rsidP="002469C3">
      <w:pPr>
        <w:pStyle w:val="ListBullet"/>
      </w:pPr>
      <w:r w:rsidRPr="00DD2E4C">
        <w:t>Engaging with the Department of Treasury and Finance in relation to its Green Building initiative.</w:t>
      </w:r>
    </w:p>
    <w:p w14:paraId="2ADCCBDD" w14:textId="77777777" w:rsidR="002469C3" w:rsidRPr="00DD2E4C" w:rsidRDefault="002469C3" w:rsidP="002469C3"/>
    <w:p w14:paraId="738596FA" w14:textId="77777777" w:rsidR="002469C3" w:rsidRPr="00DD2E4C" w:rsidRDefault="002469C3" w:rsidP="002469C3">
      <w:r w:rsidRPr="00DD2E4C">
        <w:t>CSV continues to be guided by environmental policies developed by the Department of Justice and Regulation and reported in accordance with Financial Reporting Direction 24C: Reporting of Office-based Environmental Data by Government Entities [FRD 24C]. Courts deliver a range of services to the community from different building types, offices, complexes and courts across 66 sites geographically dispersed across Victoria.</w:t>
      </w:r>
    </w:p>
    <w:p w14:paraId="66FDEFC7" w14:textId="77777777" w:rsidR="002469C3" w:rsidRPr="00DD2E4C" w:rsidRDefault="002469C3" w:rsidP="002469C3">
      <w:pPr>
        <w:pStyle w:val="Heading3"/>
      </w:pPr>
      <w:bookmarkStart w:id="35" w:name="_Toc321747211"/>
      <w:r w:rsidRPr="00DD2E4C">
        <w:t>Energy</w:t>
      </w:r>
      <w:bookmarkEnd w:id="35"/>
    </w:p>
    <w:p w14:paraId="36E481FB" w14:textId="77777777" w:rsidR="002469C3" w:rsidRPr="00DD2E4C" w:rsidRDefault="002469C3" w:rsidP="002469C3">
      <w:r w:rsidRPr="00DD2E4C">
        <w:t>For offices, complexes and courts, energy is predominantly used for lighting, heating and cooling. Projects reducing energy use have included installation of solar panels, retrofitting of incandescent lights with halogen and light-emitting diode (LED) lights, behavioural change programs including communicating to staff a ‘switch off’ message’</w:t>
      </w:r>
      <w:r w:rsidRPr="00DD2E4C">
        <w:rPr>
          <w:lang w:val="en-GB"/>
        </w:rPr>
        <w:t xml:space="preserve">, and </w:t>
      </w:r>
      <w:r w:rsidRPr="00DD2E4C">
        <w:t xml:space="preserve">sites participating in Earth Hour (a 24-hour global energy awareness campaign). </w:t>
      </w:r>
    </w:p>
    <w:p w14:paraId="775B481B" w14:textId="77777777" w:rsidR="002469C3" w:rsidRPr="00DD2E4C" w:rsidRDefault="002469C3" w:rsidP="002469C3">
      <w:pPr>
        <w:pStyle w:val="Heading3"/>
        <w:rPr>
          <w:lang w:val="en-GB"/>
        </w:rPr>
      </w:pPr>
      <w:bookmarkStart w:id="36" w:name="_Toc321747212"/>
      <w:r w:rsidRPr="00DD2E4C">
        <w:rPr>
          <w:lang w:val="en-GB"/>
        </w:rPr>
        <w:t>Water</w:t>
      </w:r>
      <w:bookmarkEnd w:id="36"/>
    </w:p>
    <w:p w14:paraId="03EA306B" w14:textId="77777777" w:rsidR="002469C3" w:rsidRPr="00DD2E4C" w:rsidRDefault="002469C3" w:rsidP="002469C3">
      <w:r w:rsidRPr="00DD2E4C">
        <w:t>For courts, offices, and complexes, water is used for cooling towers, bathrooms, kitchen amenities and general consumption. Some buildings have flow restrictors on taps and dual flush toilets to reduce potable water use.</w:t>
      </w:r>
    </w:p>
    <w:p w14:paraId="4A502F0B" w14:textId="77777777" w:rsidR="002469C3" w:rsidRPr="00DD2E4C" w:rsidRDefault="002469C3" w:rsidP="002469C3"/>
    <w:p w14:paraId="01299F5A" w14:textId="77777777" w:rsidR="002469C3" w:rsidRPr="00DD2E4C" w:rsidRDefault="002469C3" w:rsidP="002469C3">
      <w:r w:rsidRPr="00DD2E4C">
        <w:t xml:space="preserve">Water reduction activities include use of rainwater tanks for flushing toilets and an infrastructure focus on using ecologically sustainable design principles. </w:t>
      </w:r>
    </w:p>
    <w:p w14:paraId="34D2F7D1" w14:textId="77777777" w:rsidR="002469C3" w:rsidRPr="00DD2E4C" w:rsidRDefault="002469C3" w:rsidP="002469C3">
      <w:pPr>
        <w:pStyle w:val="Heading3"/>
        <w:rPr>
          <w:lang w:val="en-GB"/>
        </w:rPr>
      </w:pPr>
      <w:bookmarkStart w:id="37" w:name="_Toc321747213"/>
      <w:r w:rsidRPr="00DD2E4C">
        <w:rPr>
          <w:lang w:val="en-GB"/>
        </w:rPr>
        <w:t>Paper</w:t>
      </w:r>
      <w:bookmarkEnd w:id="37"/>
    </w:p>
    <w:p w14:paraId="1C79E8A4" w14:textId="77777777" w:rsidR="002469C3" w:rsidRPr="00DD2E4C" w:rsidRDefault="002469C3" w:rsidP="002469C3">
      <w:r w:rsidRPr="00DD2E4C">
        <w:t xml:space="preserve">Courts and offices consume paper to meet operational requirements. Paper reduction activities include the use of secure PIN printing, the expansion of eLodgement projects, reducing paper-based notifications of court events, and the use of recycled paper. </w:t>
      </w:r>
    </w:p>
    <w:p w14:paraId="0BDEA726" w14:textId="77777777" w:rsidR="002469C3" w:rsidRPr="00DD2E4C" w:rsidRDefault="002469C3" w:rsidP="002469C3">
      <w:pPr>
        <w:pStyle w:val="Heading3"/>
        <w:rPr>
          <w:lang w:val="en-GB"/>
        </w:rPr>
      </w:pPr>
      <w:bookmarkStart w:id="38" w:name="_Toc321747214"/>
      <w:r w:rsidRPr="00DD2E4C">
        <w:rPr>
          <w:lang w:val="en-GB"/>
        </w:rPr>
        <w:t>Procurement</w:t>
      </w:r>
      <w:bookmarkEnd w:id="38"/>
    </w:p>
    <w:p w14:paraId="77BF042D" w14:textId="77777777" w:rsidR="002469C3" w:rsidRPr="00DD2E4C" w:rsidRDefault="002469C3" w:rsidP="002469C3">
      <w:r w:rsidRPr="00DD2E4C">
        <w:t>CSV is a consumer of goods and services and plays an influential role in ensuring sustainable procurement, creating a new central procurement office with the establishment of CSV. Projects have included re-use of office furniture, development of guidelines to assist staff in adopting PIN printing, use of fair trade products and changing paper-based business processes to digital.</w:t>
      </w:r>
    </w:p>
    <w:p w14:paraId="761030B6" w14:textId="77777777" w:rsidR="002469C3" w:rsidRPr="00DD2E4C" w:rsidRDefault="002469C3" w:rsidP="002469C3">
      <w:pPr>
        <w:pStyle w:val="Heading3"/>
        <w:rPr>
          <w:lang w:val="en-GB"/>
        </w:rPr>
      </w:pPr>
      <w:bookmarkStart w:id="39" w:name="_Toc321747215"/>
      <w:r w:rsidRPr="00DD2E4C">
        <w:rPr>
          <w:lang w:val="en-GB"/>
        </w:rPr>
        <w:t>Transport</w:t>
      </w:r>
      <w:bookmarkEnd w:id="39"/>
    </w:p>
    <w:p w14:paraId="6629B02C" w14:textId="77777777" w:rsidR="002469C3" w:rsidRPr="00DD2E4C" w:rsidRDefault="002469C3" w:rsidP="002469C3">
      <w:r w:rsidRPr="00DD2E4C">
        <w:t>Courts deliver services through a range of facilities dispersed across the state, requiring staff to travel between locations and other work sites.</w:t>
      </w:r>
    </w:p>
    <w:p w14:paraId="68588423" w14:textId="77777777" w:rsidR="002469C3" w:rsidRPr="00DD2E4C" w:rsidRDefault="002469C3" w:rsidP="002469C3"/>
    <w:p w14:paraId="26D23218" w14:textId="77777777" w:rsidR="002469C3" w:rsidRPr="00DD2E4C" w:rsidRDefault="002469C3" w:rsidP="002469C3">
      <w:r w:rsidRPr="00DD2E4C">
        <w:t>To address this issue, many courts have increased the use of video-conferencing facilities where feasible.</w:t>
      </w:r>
    </w:p>
    <w:p w14:paraId="68D89477" w14:textId="77777777" w:rsidR="002469C3" w:rsidRPr="00DD2E4C" w:rsidRDefault="002469C3" w:rsidP="002469C3"/>
    <w:p w14:paraId="57C47996" w14:textId="77777777" w:rsidR="002469C3" w:rsidRPr="00DD2E4C" w:rsidRDefault="002469C3" w:rsidP="002469C3">
      <w:r w:rsidRPr="00DD2E4C">
        <w:t>Sustainable travel has also been promoted by activities including staff ride to work days and the use of environmentally friendly, fuel-efficient and hybrid vehicles.</w:t>
      </w:r>
    </w:p>
    <w:p w14:paraId="27795FF6" w14:textId="77777777" w:rsidR="002469C3" w:rsidRPr="00DD2E4C" w:rsidRDefault="002469C3" w:rsidP="002469C3">
      <w:pPr>
        <w:pStyle w:val="Heading3"/>
        <w:rPr>
          <w:lang w:val="en-GB"/>
        </w:rPr>
      </w:pPr>
      <w:bookmarkStart w:id="40" w:name="_Toc321747216"/>
      <w:r w:rsidRPr="00DD2E4C">
        <w:rPr>
          <w:lang w:val="en-GB"/>
        </w:rPr>
        <w:t>Waste</w:t>
      </w:r>
      <w:bookmarkEnd w:id="40"/>
    </w:p>
    <w:p w14:paraId="76632C7E" w14:textId="77777777" w:rsidR="002469C3" w:rsidRPr="00B6510D" w:rsidRDefault="002469C3" w:rsidP="002469C3">
      <w:r w:rsidRPr="00DD2E4C">
        <w:t>Waste from courts, offices, and complexes are typically paper, cardboard, toner cartridges, and food waste. All facilities have standard office paper recycling arrangements. Some facilities have co-mingled recycling arrangements in place. Community action has included tree planting days with staff and community groups to offset our waste</w:t>
      </w:r>
      <w:r w:rsidRPr="00B6510D">
        <w:t>.</w:t>
      </w:r>
    </w:p>
    <w:p w14:paraId="2DEBAF92" w14:textId="77777777" w:rsidR="00156C26" w:rsidRPr="00840889" w:rsidRDefault="00156C26" w:rsidP="00156C26">
      <w:pPr>
        <w:pStyle w:val="Heading2"/>
      </w:pPr>
      <w:bookmarkStart w:id="41" w:name="_Toc466381184"/>
      <w:r w:rsidRPr="00840889">
        <w:t>Compliance with the DataVic Access Policy</w:t>
      </w:r>
      <w:bookmarkEnd w:id="41"/>
      <w:r w:rsidRPr="00840889">
        <w:t xml:space="preserve"> </w:t>
      </w:r>
    </w:p>
    <w:p w14:paraId="45BB5166" w14:textId="77777777" w:rsidR="00156C26" w:rsidRPr="00B6510D" w:rsidRDefault="00156C26" w:rsidP="00B6510D">
      <w:r w:rsidRPr="00B6510D">
        <w:t>Consistent with the DataVic Access Policy issued by the Victorian Government in 2012, the information included in this Annual Report will be available at www.</w:t>
      </w:r>
      <w:r w:rsidR="00D83BC0">
        <w:t>courts</w:t>
      </w:r>
      <w:r w:rsidRPr="00B6510D">
        <w:t>.vic.gov.</w:t>
      </w:r>
      <w:r w:rsidR="00041A46">
        <w:t>au</w:t>
      </w:r>
      <w:r w:rsidRPr="00B6510D">
        <w:t xml:space="preserve"> in machine-readable format.</w:t>
      </w:r>
      <w:r w:rsidRPr="00B6510D" w:rsidDel="00734B47">
        <w:t xml:space="preserve"> </w:t>
      </w:r>
    </w:p>
    <w:p w14:paraId="3E2E9C55" w14:textId="77777777" w:rsidR="00CA218E" w:rsidRDefault="00CA218E" w:rsidP="00CA218E"/>
    <w:p w14:paraId="1D304066" w14:textId="3AD61427" w:rsidR="005A47D0" w:rsidRPr="006E1897" w:rsidRDefault="005A47D0" w:rsidP="005A47D0">
      <w:pPr>
        <w:pStyle w:val="Heading2"/>
      </w:pPr>
      <w:bookmarkStart w:id="42" w:name="_Toc466381185"/>
      <w:r w:rsidRPr="006E1897">
        <w:t>Risk Management</w:t>
      </w:r>
      <w:r>
        <w:t xml:space="preserve"> Attestation</w:t>
      </w:r>
      <w:bookmarkEnd w:id="42"/>
      <w:r w:rsidRPr="006E1897">
        <w:t xml:space="preserve"> </w:t>
      </w:r>
    </w:p>
    <w:p w14:paraId="21618BF5" w14:textId="77777777" w:rsidR="00463EC2" w:rsidRDefault="00463EC2" w:rsidP="00463EC2">
      <w:r>
        <w:t xml:space="preserve">Standing Direction 4.5.5 made under the </w:t>
      </w:r>
      <w:r w:rsidRPr="00A95762">
        <w:rPr>
          <w:i/>
        </w:rPr>
        <w:t>Financial Management Act 1994</w:t>
      </w:r>
      <w:r>
        <w:t xml:space="preserve"> requires public sector agencies to provide a statement of attestation of compliance with the mandatory requirements of the </w:t>
      </w:r>
      <w:r w:rsidRPr="00A95762">
        <w:rPr>
          <w:i/>
        </w:rPr>
        <w:t>Victorian Government Management Framework</w:t>
      </w:r>
      <w:r>
        <w:rPr>
          <w:i/>
        </w:rPr>
        <w:t xml:space="preserve"> </w:t>
      </w:r>
      <w:r>
        <w:t xml:space="preserve">which is verified by its Audit Committee. </w:t>
      </w:r>
    </w:p>
    <w:p w14:paraId="38F5027A" w14:textId="77777777" w:rsidR="00463EC2" w:rsidRDefault="00463EC2" w:rsidP="00463EC2"/>
    <w:p w14:paraId="36430B93" w14:textId="77777777" w:rsidR="00463EC2" w:rsidRDefault="00463EC2" w:rsidP="00463EC2">
      <w:r>
        <w:t xml:space="preserve">The Audit and Risk Portfolio Committee of CSV has considered the Statement by the Chief Executive Officer on compliance with the </w:t>
      </w:r>
      <w:r w:rsidRPr="00CB4CFF">
        <w:rPr>
          <w:i/>
        </w:rPr>
        <w:t>Victorian Government Risk Management Framework</w:t>
      </w:r>
      <w:r>
        <w:t>, the internal attestation process and independent assessments from Internal Audit. The Chief Executive Officer has indicated that for the 2015/16 financial year CSV has partially complied with the risk management requirements and fully complied with the insurance requirements</w:t>
      </w:r>
      <w:r w:rsidRPr="00CB4CFF">
        <w:t xml:space="preserve"> </w:t>
      </w:r>
      <w:r>
        <w:t xml:space="preserve">of the </w:t>
      </w:r>
      <w:r w:rsidRPr="00CB4CFF">
        <w:rPr>
          <w:i/>
        </w:rPr>
        <w:t>Victorian Government Risk Management Framework</w:t>
      </w:r>
      <w:r>
        <w:rPr>
          <w:i/>
        </w:rPr>
        <w:t>.</w:t>
      </w:r>
      <w:r>
        <w:t xml:space="preserve"> The Audit and Risk Portfolio Committee has assessed this attestation and has also concluded that there has been partial compliance with the risk management requirements. </w:t>
      </w:r>
    </w:p>
    <w:p w14:paraId="2A6CD185" w14:textId="77777777" w:rsidR="00463EC2" w:rsidRDefault="00463EC2" w:rsidP="00463EC2"/>
    <w:p w14:paraId="451FCA83" w14:textId="77777777" w:rsidR="00463EC2" w:rsidRDefault="00463EC2" w:rsidP="00463EC2">
      <w:r>
        <w:t xml:space="preserve">CSV is in the process of reviewing and updating its risk management framework and is working towards full compliance. </w:t>
      </w:r>
    </w:p>
    <w:p w14:paraId="2BAEB4EF" w14:textId="77777777" w:rsidR="00463EC2" w:rsidRPr="00F87A65" w:rsidRDefault="00463EC2" w:rsidP="00463EC2"/>
    <w:p w14:paraId="66BBF4BB" w14:textId="1969B369" w:rsidR="005A47D0" w:rsidRPr="005A47D0" w:rsidRDefault="00463EC2">
      <w:r>
        <w:t xml:space="preserve">On this basis I certify that CSV has partially </w:t>
      </w:r>
      <w:r w:rsidRPr="00F87A65">
        <w:t>complie</w:t>
      </w:r>
      <w:r>
        <w:t>d</w:t>
      </w:r>
      <w:r w:rsidRPr="00F87A65">
        <w:t xml:space="preserve"> with the Ministerial Standing Direction 4.5.5 – Risk Management Framework and Processes. The Audit and Risk Portfolio Committee </w:t>
      </w:r>
      <w:r>
        <w:t xml:space="preserve">has </w:t>
      </w:r>
      <w:r w:rsidRPr="00F87A65">
        <w:t>verif</w:t>
      </w:r>
      <w:r>
        <w:t>ied</w:t>
      </w:r>
      <w:r w:rsidRPr="00F87A65">
        <w:t xml:space="preserve"> this.</w:t>
      </w:r>
    </w:p>
    <w:p w14:paraId="53A892E8" w14:textId="77777777" w:rsidR="005A47D0" w:rsidRPr="005A47D0" w:rsidRDefault="005A47D0" w:rsidP="005A47D0"/>
    <w:p w14:paraId="0518BA7B" w14:textId="77777777" w:rsidR="005A47D0" w:rsidRPr="005A47D0" w:rsidRDefault="005A47D0" w:rsidP="005A47D0">
      <w:pPr>
        <w:rPr>
          <w:b/>
        </w:rPr>
      </w:pPr>
      <w:r w:rsidRPr="005A47D0">
        <w:rPr>
          <w:b/>
        </w:rPr>
        <w:t>The Hon. Marilyn Warren AC</w:t>
      </w:r>
    </w:p>
    <w:p w14:paraId="20B6BF40" w14:textId="77777777" w:rsidR="005A47D0" w:rsidRPr="005A47D0" w:rsidRDefault="005A47D0" w:rsidP="005A47D0">
      <w:pPr>
        <w:rPr>
          <w:b/>
        </w:rPr>
      </w:pPr>
      <w:r w:rsidRPr="005A47D0">
        <w:rPr>
          <w:b/>
        </w:rPr>
        <w:t>Chair of the Courts Council</w:t>
      </w:r>
    </w:p>
    <w:p w14:paraId="1DD3C76E" w14:textId="77777777" w:rsidR="005A47D0" w:rsidRPr="005A47D0" w:rsidRDefault="005A47D0" w:rsidP="005A47D0">
      <w:pPr>
        <w:rPr>
          <w:b/>
        </w:rPr>
      </w:pPr>
      <w:r w:rsidRPr="005A47D0">
        <w:rPr>
          <w:b/>
        </w:rPr>
        <w:t>Court Services Victoria</w:t>
      </w:r>
    </w:p>
    <w:p w14:paraId="60967DE2" w14:textId="47C380A8" w:rsidR="005459C6" w:rsidRPr="005A47D0" w:rsidRDefault="005A52D5" w:rsidP="005A47D0">
      <w:r>
        <w:t>5 October 2016</w:t>
      </w:r>
    </w:p>
    <w:p w14:paraId="1AA713F4" w14:textId="31620817" w:rsidR="002D3822" w:rsidRDefault="002D3822" w:rsidP="00CE2389">
      <w:pPr>
        <w:rPr>
          <w:highlight w:val="yellow"/>
        </w:rPr>
      </w:pPr>
    </w:p>
    <w:p w14:paraId="0868266A" w14:textId="48A5C5EE" w:rsidR="00EB4C3C" w:rsidRDefault="00EB4C3C" w:rsidP="00EB4C3C">
      <w:pPr>
        <w:pStyle w:val="Heading2"/>
      </w:pPr>
      <w:bookmarkStart w:id="43" w:name="_Toc466381186"/>
      <w:r w:rsidRPr="00D44CFD">
        <w:t>Statement of availability of other information</w:t>
      </w:r>
      <w:bookmarkEnd w:id="43"/>
      <w:r w:rsidRPr="006E1897">
        <w:t xml:space="preserve"> </w:t>
      </w:r>
    </w:p>
    <w:p w14:paraId="5A8BB7FE" w14:textId="0714714E" w:rsidR="00493ADA" w:rsidRPr="00456361" w:rsidRDefault="00493ADA" w:rsidP="00493ADA">
      <w:pPr>
        <w:rPr>
          <w:sz w:val="20"/>
        </w:rPr>
      </w:pPr>
      <w:r w:rsidRPr="00456361">
        <w:t xml:space="preserve">Under Financial Reporting Direction (FRD) </w:t>
      </w:r>
      <w:r w:rsidR="00616655" w:rsidRPr="00456361">
        <w:t>22</w:t>
      </w:r>
      <w:r w:rsidR="00616655">
        <w:t>G</w:t>
      </w:r>
      <w:r w:rsidR="00616655" w:rsidRPr="00456361">
        <w:t xml:space="preserve"> </w:t>
      </w:r>
      <w:r w:rsidRPr="00456361">
        <w:t>Standard Disclosures in the Report of Operations, CSV is required to retain the fo</w:t>
      </w:r>
      <w:r w:rsidR="00A0189C" w:rsidRPr="00456361">
        <w:t>llowing information for the 201</w:t>
      </w:r>
      <w:r w:rsidR="00505EE1">
        <w:t>5</w:t>
      </w:r>
      <w:r w:rsidR="00A0189C" w:rsidRPr="00456361">
        <w:t>-16</w:t>
      </w:r>
      <w:r w:rsidRPr="00456361">
        <w:t xml:space="preserve"> financial year and make it available upon request (subject to freedom of information requirements, if applicable):</w:t>
      </w:r>
    </w:p>
    <w:p w14:paraId="3D1E7167" w14:textId="08E89609" w:rsidR="00493ADA" w:rsidRPr="00456361" w:rsidRDefault="00493ADA" w:rsidP="00493ADA">
      <w:pPr>
        <w:pStyle w:val="BodyText"/>
        <w:numPr>
          <w:ilvl w:val="0"/>
          <w:numId w:val="30"/>
        </w:numPr>
        <w:spacing w:before="240" w:after="240"/>
        <w:ind w:left="709"/>
      </w:pPr>
      <w:r w:rsidRPr="00456361">
        <w:t>a statement that declarations of pecuniary interests have been duly com</w:t>
      </w:r>
      <w:r w:rsidR="002D5DEA">
        <w:t>pleted by all relevant officers</w:t>
      </w:r>
      <w:r w:rsidR="00441D08">
        <w:t>,</w:t>
      </w:r>
    </w:p>
    <w:p w14:paraId="53F145FF" w14:textId="5DD07E75" w:rsidR="00493ADA" w:rsidRPr="00456361" w:rsidRDefault="00493ADA" w:rsidP="00493ADA">
      <w:pPr>
        <w:pStyle w:val="BodyText"/>
        <w:numPr>
          <w:ilvl w:val="0"/>
          <w:numId w:val="30"/>
        </w:numPr>
        <w:spacing w:before="240" w:after="240"/>
        <w:ind w:left="709"/>
      </w:pPr>
      <w:r w:rsidRPr="00456361">
        <w:t>details of shares held by a senior officer as nominee or held beneficially in a st</w:t>
      </w:r>
      <w:r w:rsidR="002D5DEA">
        <w:t>atutory authority or subsidiary</w:t>
      </w:r>
      <w:r w:rsidR="00441D08">
        <w:t>,</w:t>
      </w:r>
    </w:p>
    <w:p w14:paraId="6A172FB6" w14:textId="22902845" w:rsidR="00493ADA" w:rsidRPr="00456361" w:rsidRDefault="00493ADA" w:rsidP="00493ADA">
      <w:pPr>
        <w:pStyle w:val="BodyText"/>
        <w:numPr>
          <w:ilvl w:val="0"/>
          <w:numId w:val="30"/>
        </w:numPr>
        <w:spacing w:before="240" w:after="240"/>
        <w:ind w:left="709"/>
      </w:pPr>
      <w:r w:rsidRPr="00456361">
        <w:t>details of publications produced by CSV about itself</w:t>
      </w:r>
      <w:r w:rsidR="002D5DEA">
        <w:t>, and how these can be obtained</w:t>
      </w:r>
      <w:r w:rsidR="00441D08">
        <w:t>,</w:t>
      </w:r>
    </w:p>
    <w:p w14:paraId="168E3E6C" w14:textId="0F65A9C6" w:rsidR="00493ADA" w:rsidRPr="00456361" w:rsidRDefault="00493ADA" w:rsidP="00493ADA">
      <w:pPr>
        <w:pStyle w:val="BodyText"/>
        <w:numPr>
          <w:ilvl w:val="0"/>
          <w:numId w:val="30"/>
        </w:numPr>
        <w:spacing w:before="240" w:after="240"/>
        <w:ind w:left="709"/>
      </w:pPr>
      <w:r w:rsidRPr="00456361">
        <w:t xml:space="preserve">details of changes in prices, fees, charges, </w:t>
      </w:r>
      <w:r w:rsidR="002D5DEA">
        <w:t>rates and levies charged by CSV</w:t>
      </w:r>
      <w:r w:rsidR="00441D08">
        <w:t>,</w:t>
      </w:r>
    </w:p>
    <w:p w14:paraId="69FD7EE3" w14:textId="4A2EC814" w:rsidR="00493ADA" w:rsidRPr="00456361" w:rsidRDefault="00493ADA" w:rsidP="00493ADA">
      <w:pPr>
        <w:pStyle w:val="BodyText"/>
        <w:numPr>
          <w:ilvl w:val="0"/>
          <w:numId w:val="30"/>
        </w:numPr>
        <w:spacing w:before="240" w:after="240"/>
        <w:ind w:left="709"/>
      </w:pPr>
      <w:r w:rsidRPr="00456361">
        <w:t>details of any major exte</w:t>
      </w:r>
      <w:r w:rsidR="002D5DEA">
        <w:t>rnal reviews carried out on CSV</w:t>
      </w:r>
      <w:r w:rsidR="00441D08">
        <w:t>,</w:t>
      </w:r>
    </w:p>
    <w:p w14:paraId="3CF9B982" w14:textId="7FBE751D" w:rsidR="00493ADA" w:rsidRPr="00456361" w:rsidRDefault="00493ADA" w:rsidP="00493ADA">
      <w:pPr>
        <w:pStyle w:val="BodyText"/>
        <w:numPr>
          <w:ilvl w:val="0"/>
          <w:numId w:val="30"/>
        </w:numPr>
        <w:spacing w:before="240" w:after="240"/>
        <w:ind w:left="709"/>
      </w:pPr>
      <w:r w:rsidRPr="00456361">
        <w:t xml:space="preserve">details of major research and development </w:t>
      </w:r>
      <w:r w:rsidR="002D5DEA">
        <w:t>activities undertaken by CSV</w:t>
      </w:r>
      <w:r w:rsidR="00441D08">
        <w:t>,</w:t>
      </w:r>
    </w:p>
    <w:p w14:paraId="534E9168" w14:textId="489FCF2C" w:rsidR="00493ADA" w:rsidRPr="00456361" w:rsidRDefault="00493ADA" w:rsidP="00493ADA">
      <w:pPr>
        <w:pStyle w:val="BodyText"/>
        <w:numPr>
          <w:ilvl w:val="0"/>
          <w:numId w:val="30"/>
        </w:numPr>
        <w:spacing w:before="240" w:after="240"/>
        <w:ind w:left="709"/>
      </w:pPr>
      <w:r w:rsidRPr="00456361">
        <w:t>details of overseas visits undertaken including a summary of the object</w:t>
      </w:r>
      <w:r w:rsidR="002D5DEA">
        <w:t>ives and outcomes of each visit</w:t>
      </w:r>
      <w:r w:rsidR="00441D08">
        <w:t>,</w:t>
      </w:r>
    </w:p>
    <w:p w14:paraId="082D332D" w14:textId="35DBABB8" w:rsidR="00493ADA" w:rsidRPr="00456361" w:rsidRDefault="00493ADA" w:rsidP="00493ADA">
      <w:pPr>
        <w:pStyle w:val="BodyText"/>
        <w:numPr>
          <w:ilvl w:val="0"/>
          <w:numId w:val="30"/>
        </w:numPr>
        <w:spacing w:before="240" w:after="240"/>
        <w:ind w:left="709"/>
      </w:pPr>
      <w:r w:rsidRPr="00456361">
        <w:t>details of major promotional, public relations and marketing activities undertaken by CSV to develop community aw</w:t>
      </w:r>
      <w:r w:rsidR="002D5DEA">
        <w:t>areness of CSV and its services</w:t>
      </w:r>
      <w:r w:rsidR="00441D08">
        <w:t>,</w:t>
      </w:r>
    </w:p>
    <w:p w14:paraId="49110A82" w14:textId="4757786D" w:rsidR="00493ADA" w:rsidRPr="00456361" w:rsidRDefault="00493ADA" w:rsidP="00493ADA">
      <w:pPr>
        <w:pStyle w:val="BodyText"/>
        <w:numPr>
          <w:ilvl w:val="0"/>
          <w:numId w:val="30"/>
        </w:numPr>
        <w:spacing w:before="240" w:after="240"/>
        <w:ind w:left="709"/>
      </w:pPr>
      <w:r w:rsidRPr="00456361">
        <w:t>details of assessments and measures undertaken to improve the occupational</w:t>
      </w:r>
      <w:r w:rsidR="002D5DEA">
        <w:t xml:space="preserve"> health and safety of employees</w:t>
      </w:r>
      <w:r w:rsidR="00441D08">
        <w:t>,</w:t>
      </w:r>
    </w:p>
    <w:p w14:paraId="2DCCE9CE" w14:textId="01B3CB7D" w:rsidR="00493ADA" w:rsidRPr="00456361" w:rsidRDefault="00493ADA" w:rsidP="00493ADA">
      <w:pPr>
        <w:pStyle w:val="BodyText"/>
        <w:numPr>
          <w:ilvl w:val="0"/>
          <w:numId w:val="30"/>
        </w:numPr>
        <w:spacing w:before="240" w:after="240"/>
        <w:ind w:left="709"/>
      </w:pPr>
      <w:r w:rsidRPr="00456361">
        <w:t>a general statement on industrial relations within CSV and details of time lost through in</w:t>
      </w:r>
      <w:r w:rsidR="002D5DEA">
        <w:t>dustrial accidents and disputes</w:t>
      </w:r>
      <w:r w:rsidR="00441D08">
        <w:t>,</w:t>
      </w:r>
    </w:p>
    <w:p w14:paraId="29324FBD" w14:textId="69921E60" w:rsidR="00493ADA" w:rsidRPr="00456361" w:rsidRDefault="00493ADA" w:rsidP="00493ADA">
      <w:pPr>
        <w:pStyle w:val="BodyText"/>
        <w:numPr>
          <w:ilvl w:val="0"/>
          <w:numId w:val="30"/>
        </w:numPr>
        <w:spacing w:before="240" w:after="240"/>
        <w:ind w:left="709"/>
      </w:pPr>
      <w:r w:rsidRPr="00456361">
        <w:t xml:space="preserve">a list of major committees sponsored by CSV, the purposes of each committee and the extent to which </w:t>
      </w:r>
      <w:r w:rsidR="002D5DEA">
        <w:t>the purposes have been achieved</w:t>
      </w:r>
      <w:r w:rsidR="00441D08">
        <w:t>,</w:t>
      </w:r>
    </w:p>
    <w:p w14:paraId="0A29DF94" w14:textId="77777777" w:rsidR="00493ADA" w:rsidRPr="00456361" w:rsidRDefault="00493ADA" w:rsidP="00493ADA">
      <w:pPr>
        <w:pStyle w:val="BodyText"/>
        <w:numPr>
          <w:ilvl w:val="0"/>
          <w:numId w:val="30"/>
        </w:numPr>
        <w:spacing w:before="240" w:after="240"/>
        <w:ind w:left="709"/>
      </w:pPr>
      <w:r w:rsidRPr="00456361">
        <w:t>details of all consultancies and contractors including:</w:t>
      </w:r>
    </w:p>
    <w:p w14:paraId="0372E30C" w14:textId="25A429E9" w:rsidR="00493ADA" w:rsidRPr="00456361" w:rsidRDefault="002D5DEA" w:rsidP="00493ADA">
      <w:pPr>
        <w:pStyle w:val="BodyText"/>
        <w:numPr>
          <w:ilvl w:val="2"/>
          <w:numId w:val="30"/>
        </w:numPr>
        <w:spacing w:before="240" w:after="240"/>
        <w:ind w:left="1134"/>
      </w:pPr>
      <w:r>
        <w:t>consultants/contractors engaged</w:t>
      </w:r>
      <w:r w:rsidR="00441D08">
        <w:t>,</w:t>
      </w:r>
    </w:p>
    <w:p w14:paraId="697CF243" w14:textId="25E8A2BE" w:rsidR="00493ADA" w:rsidRPr="00456361" w:rsidRDefault="002D5DEA" w:rsidP="00493ADA">
      <w:pPr>
        <w:pStyle w:val="BodyText"/>
        <w:numPr>
          <w:ilvl w:val="2"/>
          <w:numId w:val="30"/>
        </w:numPr>
        <w:spacing w:before="240" w:after="240"/>
        <w:ind w:left="1134"/>
      </w:pPr>
      <w:r>
        <w:t>services provided</w:t>
      </w:r>
      <w:r w:rsidR="00441D08">
        <w:t>, and</w:t>
      </w:r>
    </w:p>
    <w:p w14:paraId="7966E94D" w14:textId="77777777" w:rsidR="00493ADA" w:rsidRPr="00456361" w:rsidRDefault="00493ADA" w:rsidP="00493ADA">
      <w:pPr>
        <w:pStyle w:val="BodyText"/>
        <w:numPr>
          <w:ilvl w:val="2"/>
          <w:numId w:val="30"/>
        </w:numPr>
        <w:spacing w:before="240" w:after="240"/>
        <w:ind w:left="1134"/>
      </w:pPr>
      <w:r w:rsidRPr="00456361">
        <w:t>expenditure committed to for each engagement.</w:t>
      </w:r>
    </w:p>
    <w:p w14:paraId="7C111D90" w14:textId="77777777" w:rsidR="00493ADA" w:rsidRDefault="00493ADA" w:rsidP="00493ADA">
      <w:pPr>
        <w:pStyle w:val="BodyText"/>
      </w:pPr>
      <w:r>
        <w:t>The information is available on request from:</w:t>
      </w:r>
    </w:p>
    <w:p w14:paraId="37A82169" w14:textId="77777777" w:rsidR="00493ADA" w:rsidRDefault="00493ADA" w:rsidP="00493ADA">
      <w:pPr>
        <w:ind w:left="567"/>
      </w:pPr>
      <w:r>
        <w:t xml:space="preserve">Court Services </w:t>
      </w:r>
      <w:smartTag w:uri="urn:schemas-microsoft-com:office:smarttags" w:element="place">
        <w:smartTag w:uri="urn:schemas-microsoft-com:office:smarttags" w:element="State">
          <w:r>
            <w:t>Victoria</w:t>
          </w:r>
        </w:smartTag>
      </w:smartTag>
      <w:r>
        <w:br/>
      </w:r>
      <w:smartTag w:uri="urn:schemas-microsoft-com:office:smarttags" w:element="address">
        <w:smartTag w:uri="urn:schemas-microsoft-com:office:smarttags" w:element="Street">
          <w:r>
            <w:t>PO Box</w:t>
          </w:r>
        </w:smartTag>
        <w:r>
          <w:t xml:space="preserve"> 13193</w:t>
        </w:r>
      </w:smartTag>
      <w:r>
        <w:br/>
        <w:t>Law Courts  Vic  8010</w:t>
      </w:r>
    </w:p>
    <w:p w14:paraId="48169BFA" w14:textId="73C38548" w:rsidR="00493ADA" w:rsidRDefault="00493ADA" w:rsidP="00493ADA">
      <w:pPr>
        <w:ind w:left="567"/>
      </w:pPr>
      <w:r>
        <w:t>Email: fee</w:t>
      </w:r>
      <w:r w:rsidR="00074D79">
        <w:t>d</w:t>
      </w:r>
      <w:r>
        <w:t>back@courts.vic.gov.au</w:t>
      </w:r>
    </w:p>
    <w:p w14:paraId="3400B788" w14:textId="0EAB1142" w:rsidR="000941A1" w:rsidRDefault="000941A1">
      <w:r>
        <w:br w:type="page"/>
      </w:r>
    </w:p>
    <w:p w14:paraId="3D58071C" w14:textId="1919A59C" w:rsidR="00607489" w:rsidRDefault="00607489" w:rsidP="006567EB">
      <w:pPr>
        <w:pStyle w:val="Heading2"/>
      </w:pPr>
      <w:bookmarkStart w:id="44" w:name="_Toc466381187"/>
      <w:r w:rsidRPr="00D44CFD">
        <w:t>Disclosure Index</w:t>
      </w:r>
      <w:bookmarkEnd w:id="44"/>
      <w:r w:rsidRPr="00607489">
        <w:t xml:space="preserve"> </w:t>
      </w:r>
    </w:p>
    <w:p w14:paraId="7761523D" w14:textId="77777777" w:rsidR="00493ADA" w:rsidRDefault="00493ADA" w:rsidP="00493ADA">
      <w:pPr>
        <w:rPr>
          <w:sz w:val="20"/>
        </w:rPr>
      </w:pPr>
      <w:r w:rsidRPr="00C73B1D">
        <w:t>Court Services Victoria’s Annual Report is prepared in accordance with all relevant Victorian legislation and pronouncements. This index has been prepared to facilitate identification of CSV’s compliance with statutory disclosures requirements.</w:t>
      </w:r>
    </w:p>
    <w:p w14:paraId="57EA8449" w14:textId="77777777" w:rsidR="00607489" w:rsidRDefault="00607489" w:rsidP="00493ADA"/>
    <w:tbl>
      <w:tblPr>
        <w:tblpPr w:leftFromText="180" w:rightFromText="180" w:vertAnchor="text" w:horzAnchor="margin" w:tblpY="28"/>
        <w:tblW w:w="5133" w:type="pct"/>
        <w:tblBorders>
          <w:top w:val="single" w:sz="4" w:space="0" w:color="666366"/>
          <w:bottom w:val="single" w:sz="4" w:space="0" w:color="666366"/>
          <w:insideH w:val="single" w:sz="2" w:space="0" w:color="C0C0C0"/>
        </w:tblBorders>
        <w:tblLayout w:type="fixed"/>
        <w:tblCellMar>
          <w:top w:w="57" w:type="dxa"/>
          <w:bottom w:w="57" w:type="dxa"/>
        </w:tblCellMar>
        <w:tblLook w:val="01E0" w:firstRow="1" w:lastRow="1" w:firstColumn="1" w:lastColumn="1" w:noHBand="0" w:noVBand="0"/>
      </w:tblPr>
      <w:tblGrid>
        <w:gridCol w:w="1747"/>
        <w:gridCol w:w="6985"/>
        <w:gridCol w:w="1162"/>
      </w:tblGrid>
      <w:tr w:rsidR="006567EB" w:rsidRPr="00C2170F" w14:paraId="13080850" w14:textId="77777777" w:rsidTr="00831F3E">
        <w:tc>
          <w:tcPr>
            <w:tcW w:w="883" w:type="pct"/>
            <w:tcBorders>
              <w:top w:val="single" w:sz="4" w:space="0" w:color="666366"/>
              <w:bottom w:val="single" w:sz="4" w:space="0" w:color="666366"/>
            </w:tcBorders>
            <w:shd w:val="clear" w:color="auto" w:fill="FFFFFF"/>
          </w:tcPr>
          <w:p w14:paraId="6EC79BB4" w14:textId="77777777" w:rsidR="006567EB" w:rsidRPr="00C73B1D" w:rsidRDefault="006567EB" w:rsidP="00DC3C5B">
            <w:pPr>
              <w:autoSpaceDE w:val="0"/>
              <w:autoSpaceDN w:val="0"/>
              <w:adjustRightInd w:val="0"/>
              <w:rPr>
                <w:rFonts w:eastAsia="Times New Roman"/>
                <w:b/>
                <w:color w:val="FFFFFF"/>
                <w:sz w:val="18"/>
                <w:szCs w:val="18"/>
              </w:rPr>
            </w:pPr>
            <w:r w:rsidRPr="00C73B1D">
              <w:rPr>
                <w:rFonts w:eastAsia="Times New Roman"/>
                <w:b/>
                <w:sz w:val="18"/>
                <w:szCs w:val="18"/>
              </w:rPr>
              <w:t>Legislation</w:t>
            </w:r>
          </w:p>
        </w:tc>
        <w:tc>
          <w:tcPr>
            <w:tcW w:w="3530" w:type="pct"/>
            <w:tcBorders>
              <w:top w:val="single" w:sz="4" w:space="0" w:color="666366"/>
              <w:bottom w:val="single" w:sz="4" w:space="0" w:color="666366"/>
              <w:right w:val="single" w:sz="4" w:space="0" w:color="auto"/>
            </w:tcBorders>
            <w:shd w:val="clear" w:color="auto" w:fill="FFFFFF"/>
          </w:tcPr>
          <w:p w14:paraId="7AAD3290" w14:textId="77777777" w:rsidR="006567EB" w:rsidRPr="00C73B1D" w:rsidRDefault="006567EB" w:rsidP="00DC3C5B">
            <w:pPr>
              <w:autoSpaceDE w:val="0"/>
              <w:autoSpaceDN w:val="0"/>
              <w:adjustRightInd w:val="0"/>
              <w:rPr>
                <w:rFonts w:eastAsia="Times New Roman"/>
                <w:b/>
                <w:color w:val="FFFFFF"/>
                <w:sz w:val="18"/>
                <w:szCs w:val="18"/>
              </w:rPr>
            </w:pPr>
            <w:r w:rsidRPr="00C73B1D">
              <w:rPr>
                <w:rFonts w:eastAsia="Times New Roman"/>
                <w:b/>
                <w:sz w:val="18"/>
                <w:szCs w:val="18"/>
              </w:rPr>
              <w:t>Requirement</w:t>
            </w:r>
          </w:p>
        </w:tc>
        <w:tc>
          <w:tcPr>
            <w:tcW w:w="587" w:type="pct"/>
            <w:tcBorders>
              <w:top w:val="single" w:sz="4" w:space="0" w:color="666366"/>
              <w:left w:val="single" w:sz="4" w:space="0" w:color="auto"/>
              <w:bottom w:val="single" w:sz="4" w:space="0" w:color="666366"/>
            </w:tcBorders>
            <w:shd w:val="clear" w:color="auto" w:fill="FFFFFF"/>
          </w:tcPr>
          <w:p w14:paraId="6179A6FC" w14:textId="77777777" w:rsidR="006567EB" w:rsidRPr="00831F3E" w:rsidRDefault="006567EB" w:rsidP="00DC3C5B">
            <w:pPr>
              <w:autoSpaceDE w:val="0"/>
              <w:autoSpaceDN w:val="0"/>
              <w:adjustRightInd w:val="0"/>
              <w:rPr>
                <w:rFonts w:eastAsia="Times New Roman"/>
                <w:b/>
                <w:color w:val="FFFFFF"/>
                <w:sz w:val="18"/>
                <w:szCs w:val="18"/>
              </w:rPr>
            </w:pPr>
            <w:r w:rsidRPr="00831F3E">
              <w:rPr>
                <w:rFonts w:eastAsia="Times New Roman"/>
                <w:b/>
                <w:sz w:val="18"/>
                <w:szCs w:val="18"/>
              </w:rPr>
              <w:t>Page</w:t>
            </w:r>
          </w:p>
        </w:tc>
      </w:tr>
      <w:tr w:rsidR="00206EB4" w:rsidRPr="00C2170F" w14:paraId="73DD1E66" w14:textId="77777777" w:rsidTr="00206EB4">
        <w:tc>
          <w:tcPr>
            <w:tcW w:w="5000" w:type="pct"/>
            <w:gridSpan w:val="3"/>
            <w:tcBorders>
              <w:top w:val="single" w:sz="4" w:space="0" w:color="666366"/>
            </w:tcBorders>
            <w:shd w:val="clear" w:color="auto" w:fill="auto"/>
          </w:tcPr>
          <w:p w14:paraId="363394B8" w14:textId="34EA4C77" w:rsidR="00206EB4" w:rsidRPr="00831F3E" w:rsidRDefault="00206EB4" w:rsidP="00DC3C5B">
            <w:pPr>
              <w:rPr>
                <w:sz w:val="18"/>
                <w:szCs w:val="18"/>
              </w:rPr>
            </w:pPr>
            <w:r w:rsidRPr="00831F3E">
              <w:rPr>
                <w:sz w:val="18"/>
                <w:szCs w:val="18"/>
              </w:rPr>
              <w:t xml:space="preserve">Ministerial Directions </w:t>
            </w:r>
          </w:p>
        </w:tc>
      </w:tr>
      <w:tr w:rsidR="006567EB" w:rsidRPr="00C2170F" w14:paraId="3DE50C1B" w14:textId="77777777" w:rsidTr="00665FC9">
        <w:tc>
          <w:tcPr>
            <w:tcW w:w="5000" w:type="pct"/>
            <w:gridSpan w:val="3"/>
            <w:shd w:val="clear" w:color="auto" w:fill="auto"/>
          </w:tcPr>
          <w:p w14:paraId="04E41ACE" w14:textId="77777777" w:rsidR="006567EB" w:rsidRPr="00831F3E" w:rsidRDefault="006567EB" w:rsidP="00DC3C5B">
            <w:pPr>
              <w:rPr>
                <w:b/>
                <w:sz w:val="18"/>
                <w:szCs w:val="18"/>
                <w:lang w:eastAsia="en-US"/>
              </w:rPr>
            </w:pPr>
            <w:r w:rsidRPr="00831F3E">
              <w:rPr>
                <w:b/>
                <w:sz w:val="18"/>
                <w:szCs w:val="18"/>
                <w:lang w:eastAsia="en-US"/>
              </w:rPr>
              <w:t>REPORT OF OPERATIONS</w:t>
            </w:r>
          </w:p>
        </w:tc>
      </w:tr>
      <w:tr w:rsidR="006567EB" w:rsidRPr="00C2170F" w14:paraId="171F0451" w14:textId="77777777" w:rsidTr="00665FC9">
        <w:tc>
          <w:tcPr>
            <w:tcW w:w="5000" w:type="pct"/>
            <w:gridSpan w:val="3"/>
          </w:tcPr>
          <w:p w14:paraId="170E354A" w14:textId="77777777" w:rsidR="006567EB" w:rsidRPr="00831F3E" w:rsidRDefault="006567EB" w:rsidP="00DC3C5B">
            <w:pPr>
              <w:autoSpaceDE w:val="0"/>
              <w:autoSpaceDN w:val="0"/>
              <w:adjustRightInd w:val="0"/>
              <w:rPr>
                <w:rFonts w:eastAsia="Times New Roman"/>
                <w:b/>
                <w:sz w:val="18"/>
                <w:szCs w:val="18"/>
              </w:rPr>
            </w:pPr>
            <w:r w:rsidRPr="00831F3E">
              <w:rPr>
                <w:rFonts w:eastAsia="Times New Roman"/>
                <w:b/>
                <w:sz w:val="18"/>
                <w:szCs w:val="18"/>
              </w:rPr>
              <w:t>Charter and purpose</w:t>
            </w:r>
          </w:p>
        </w:tc>
      </w:tr>
      <w:tr w:rsidR="006567EB" w:rsidRPr="00C2170F" w14:paraId="48AF841F" w14:textId="77777777" w:rsidTr="00831F3E">
        <w:tc>
          <w:tcPr>
            <w:tcW w:w="883" w:type="pct"/>
          </w:tcPr>
          <w:p w14:paraId="1BF56641" w14:textId="69D81DC5" w:rsidR="006567EB" w:rsidRPr="00C73B1D" w:rsidRDefault="00665FC9" w:rsidP="00DC3C5B">
            <w:pPr>
              <w:autoSpaceDE w:val="0"/>
              <w:autoSpaceDN w:val="0"/>
              <w:adjustRightInd w:val="0"/>
              <w:rPr>
                <w:rFonts w:eastAsia="Times New Roman"/>
                <w:sz w:val="18"/>
                <w:szCs w:val="18"/>
              </w:rPr>
            </w:pPr>
            <w:r>
              <w:rPr>
                <w:rFonts w:eastAsia="Times New Roman"/>
                <w:sz w:val="18"/>
                <w:szCs w:val="18"/>
              </w:rPr>
              <w:t>FRD 22G</w:t>
            </w:r>
          </w:p>
        </w:tc>
        <w:tc>
          <w:tcPr>
            <w:tcW w:w="3530" w:type="pct"/>
          </w:tcPr>
          <w:p w14:paraId="30608263" w14:textId="77777777" w:rsidR="006567EB" w:rsidRPr="00C73B1D" w:rsidRDefault="006567EB" w:rsidP="00DC3C5B">
            <w:pPr>
              <w:autoSpaceDE w:val="0"/>
              <w:autoSpaceDN w:val="0"/>
              <w:adjustRightInd w:val="0"/>
              <w:rPr>
                <w:rFonts w:eastAsia="Times New Roman"/>
                <w:sz w:val="18"/>
                <w:szCs w:val="18"/>
              </w:rPr>
            </w:pPr>
            <w:r w:rsidRPr="00C73B1D">
              <w:rPr>
                <w:rFonts w:eastAsia="Times New Roman"/>
                <w:sz w:val="18"/>
                <w:szCs w:val="18"/>
              </w:rPr>
              <w:t xml:space="preserve">Manner of establishment and the relevant ministers </w:t>
            </w:r>
          </w:p>
        </w:tc>
        <w:tc>
          <w:tcPr>
            <w:tcW w:w="587" w:type="pct"/>
          </w:tcPr>
          <w:p w14:paraId="0176E157" w14:textId="2ADD874E" w:rsidR="006567EB" w:rsidRPr="00831F3E" w:rsidRDefault="001E18B9" w:rsidP="00DC3C5B">
            <w:pPr>
              <w:autoSpaceDE w:val="0"/>
              <w:autoSpaceDN w:val="0"/>
              <w:adjustRightInd w:val="0"/>
              <w:rPr>
                <w:rFonts w:eastAsia="Times New Roman"/>
                <w:sz w:val="18"/>
                <w:szCs w:val="18"/>
              </w:rPr>
            </w:pPr>
            <w:r>
              <w:rPr>
                <w:rFonts w:eastAsia="Times New Roman"/>
                <w:sz w:val="18"/>
                <w:szCs w:val="18"/>
              </w:rPr>
              <w:t>11</w:t>
            </w:r>
          </w:p>
        </w:tc>
      </w:tr>
      <w:tr w:rsidR="006567EB" w:rsidRPr="00C2170F" w14:paraId="371B718F" w14:textId="77777777" w:rsidTr="00831F3E">
        <w:tc>
          <w:tcPr>
            <w:tcW w:w="883" w:type="pct"/>
          </w:tcPr>
          <w:p w14:paraId="106C77FA" w14:textId="22FAFBF7" w:rsidR="006567EB" w:rsidRPr="00C73B1D" w:rsidRDefault="00665FC9" w:rsidP="00DC3C5B">
            <w:pPr>
              <w:autoSpaceDE w:val="0"/>
              <w:autoSpaceDN w:val="0"/>
              <w:adjustRightInd w:val="0"/>
              <w:rPr>
                <w:rFonts w:eastAsia="Times New Roman"/>
                <w:sz w:val="18"/>
                <w:szCs w:val="18"/>
              </w:rPr>
            </w:pPr>
            <w:r>
              <w:rPr>
                <w:rFonts w:eastAsia="Times New Roman"/>
                <w:sz w:val="18"/>
                <w:szCs w:val="18"/>
              </w:rPr>
              <w:t>FRD 22G</w:t>
            </w:r>
          </w:p>
        </w:tc>
        <w:tc>
          <w:tcPr>
            <w:tcW w:w="3530" w:type="pct"/>
          </w:tcPr>
          <w:p w14:paraId="2C43612D" w14:textId="77777777" w:rsidR="006567EB" w:rsidRPr="00C73B1D" w:rsidRDefault="006567EB" w:rsidP="00DC3C5B">
            <w:pPr>
              <w:autoSpaceDE w:val="0"/>
              <w:autoSpaceDN w:val="0"/>
              <w:adjustRightInd w:val="0"/>
              <w:rPr>
                <w:rFonts w:eastAsia="Times New Roman"/>
                <w:sz w:val="18"/>
                <w:szCs w:val="18"/>
              </w:rPr>
            </w:pPr>
            <w:r w:rsidRPr="00C73B1D">
              <w:rPr>
                <w:rFonts w:eastAsia="Times New Roman"/>
                <w:sz w:val="18"/>
                <w:szCs w:val="18"/>
              </w:rPr>
              <w:t>Purpose, functions, powers and duties</w:t>
            </w:r>
          </w:p>
        </w:tc>
        <w:tc>
          <w:tcPr>
            <w:tcW w:w="587" w:type="pct"/>
          </w:tcPr>
          <w:p w14:paraId="2FF3CD65" w14:textId="0178FA8A" w:rsidR="006567EB" w:rsidRPr="00831F3E" w:rsidRDefault="001E18B9" w:rsidP="00DC3C5B">
            <w:pPr>
              <w:autoSpaceDE w:val="0"/>
              <w:autoSpaceDN w:val="0"/>
              <w:adjustRightInd w:val="0"/>
              <w:rPr>
                <w:rFonts w:eastAsia="Times New Roman"/>
                <w:sz w:val="18"/>
                <w:szCs w:val="18"/>
              </w:rPr>
            </w:pPr>
            <w:r>
              <w:rPr>
                <w:rFonts w:eastAsia="Times New Roman"/>
                <w:sz w:val="18"/>
                <w:szCs w:val="18"/>
              </w:rPr>
              <w:t>11</w:t>
            </w:r>
          </w:p>
        </w:tc>
      </w:tr>
      <w:tr w:rsidR="006567EB" w:rsidRPr="00C2170F" w14:paraId="7FBC642B" w14:textId="77777777" w:rsidTr="00831F3E">
        <w:tc>
          <w:tcPr>
            <w:tcW w:w="883" w:type="pct"/>
          </w:tcPr>
          <w:p w14:paraId="32E05AEF" w14:textId="11A0EDB4" w:rsidR="006567EB" w:rsidRPr="00C73B1D" w:rsidRDefault="006567EB" w:rsidP="00DC3C5B">
            <w:pPr>
              <w:autoSpaceDE w:val="0"/>
              <w:autoSpaceDN w:val="0"/>
              <w:adjustRightInd w:val="0"/>
              <w:rPr>
                <w:rFonts w:eastAsia="Times New Roman"/>
                <w:sz w:val="18"/>
                <w:szCs w:val="18"/>
              </w:rPr>
            </w:pPr>
            <w:r w:rsidRPr="00C73B1D">
              <w:rPr>
                <w:rFonts w:eastAsia="Times New Roman"/>
                <w:sz w:val="18"/>
                <w:szCs w:val="18"/>
              </w:rPr>
              <w:t>FRD 8</w:t>
            </w:r>
            <w:r w:rsidR="00665FC9">
              <w:rPr>
                <w:rFonts w:eastAsia="Times New Roman"/>
                <w:sz w:val="18"/>
                <w:szCs w:val="18"/>
              </w:rPr>
              <w:t>D</w:t>
            </w:r>
          </w:p>
        </w:tc>
        <w:tc>
          <w:tcPr>
            <w:tcW w:w="3530" w:type="pct"/>
          </w:tcPr>
          <w:p w14:paraId="640D5073" w14:textId="77777777" w:rsidR="006567EB" w:rsidRPr="00C73B1D" w:rsidRDefault="006567EB" w:rsidP="00DC3C5B">
            <w:pPr>
              <w:autoSpaceDE w:val="0"/>
              <w:autoSpaceDN w:val="0"/>
              <w:adjustRightInd w:val="0"/>
              <w:rPr>
                <w:rFonts w:eastAsia="Times New Roman"/>
                <w:sz w:val="18"/>
                <w:szCs w:val="18"/>
              </w:rPr>
            </w:pPr>
            <w:r w:rsidRPr="00C73B1D">
              <w:rPr>
                <w:rFonts w:eastAsia="Times New Roman"/>
                <w:sz w:val="18"/>
                <w:szCs w:val="18"/>
              </w:rPr>
              <w:t>Objectives, indicators and outputs</w:t>
            </w:r>
          </w:p>
        </w:tc>
        <w:tc>
          <w:tcPr>
            <w:tcW w:w="587" w:type="pct"/>
          </w:tcPr>
          <w:p w14:paraId="6DD42C82" w14:textId="662DBC64" w:rsidR="006567EB" w:rsidRPr="00831F3E" w:rsidRDefault="001E18B9" w:rsidP="00DC3C5B">
            <w:pPr>
              <w:autoSpaceDE w:val="0"/>
              <w:autoSpaceDN w:val="0"/>
              <w:adjustRightInd w:val="0"/>
              <w:rPr>
                <w:rFonts w:eastAsia="Times New Roman"/>
                <w:sz w:val="18"/>
                <w:szCs w:val="18"/>
              </w:rPr>
            </w:pPr>
            <w:r>
              <w:rPr>
                <w:rFonts w:eastAsia="Times New Roman"/>
                <w:sz w:val="18"/>
                <w:szCs w:val="18"/>
              </w:rPr>
              <w:t>25</w:t>
            </w:r>
          </w:p>
        </w:tc>
      </w:tr>
      <w:tr w:rsidR="006567EB" w:rsidRPr="00C2170F" w14:paraId="7F68C5D5" w14:textId="77777777" w:rsidTr="00831F3E">
        <w:tc>
          <w:tcPr>
            <w:tcW w:w="883" w:type="pct"/>
          </w:tcPr>
          <w:p w14:paraId="795BCA04" w14:textId="65CBC3FE" w:rsidR="006567EB" w:rsidRPr="00C73B1D" w:rsidRDefault="00665FC9" w:rsidP="00DC3C5B">
            <w:pPr>
              <w:autoSpaceDE w:val="0"/>
              <w:autoSpaceDN w:val="0"/>
              <w:adjustRightInd w:val="0"/>
              <w:rPr>
                <w:rFonts w:eastAsia="Times New Roman"/>
                <w:sz w:val="18"/>
                <w:szCs w:val="18"/>
              </w:rPr>
            </w:pPr>
            <w:r>
              <w:rPr>
                <w:rFonts w:eastAsia="Times New Roman"/>
                <w:sz w:val="18"/>
                <w:szCs w:val="18"/>
              </w:rPr>
              <w:t>FRD 22G</w:t>
            </w:r>
          </w:p>
        </w:tc>
        <w:tc>
          <w:tcPr>
            <w:tcW w:w="3530" w:type="pct"/>
          </w:tcPr>
          <w:p w14:paraId="5161FA28" w14:textId="77777777" w:rsidR="006567EB" w:rsidRPr="00C73B1D" w:rsidRDefault="006567EB" w:rsidP="00DC3C5B">
            <w:pPr>
              <w:autoSpaceDE w:val="0"/>
              <w:autoSpaceDN w:val="0"/>
              <w:adjustRightInd w:val="0"/>
              <w:rPr>
                <w:rFonts w:eastAsia="Times New Roman"/>
                <w:sz w:val="18"/>
                <w:szCs w:val="18"/>
              </w:rPr>
            </w:pPr>
            <w:r w:rsidRPr="00C73B1D">
              <w:rPr>
                <w:rFonts w:eastAsia="Times New Roman"/>
                <w:sz w:val="18"/>
                <w:szCs w:val="18"/>
              </w:rPr>
              <w:t>Initiatives and key achievements</w:t>
            </w:r>
          </w:p>
        </w:tc>
        <w:tc>
          <w:tcPr>
            <w:tcW w:w="587" w:type="pct"/>
          </w:tcPr>
          <w:p w14:paraId="36C6B05E" w14:textId="23C85AF6" w:rsidR="006567EB" w:rsidRPr="00831F3E" w:rsidRDefault="001E18B9" w:rsidP="00DC3C5B">
            <w:pPr>
              <w:autoSpaceDE w:val="0"/>
              <w:autoSpaceDN w:val="0"/>
              <w:adjustRightInd w:val="0"/>
              <w:rPr>
                <w:rFonts w:eastAsia="Times New Roman"/>
                <w:sz w:val="18"/>
                <w:szCs w:val="18"/>
              </w:rPr>
            </w:pPr>
            <w:r>
              <w:rPr>
                <w:rFonts w:eastAsia="Times New Roman"/>
                <w:sz w:val="18"/>
                <w:szCs w:val="18"/>
              </w:rPr>
              <w:t>17-24</w:t>
            </w:r>
          </w:p>
        </w:tc>
      </w:tr>
      <w:tr w:rsidR="006567EB" w:rsidRPr="00C2170F" w14:paraId="7235A53A" w14:textId="77777777" w:rsidTr="00831F3E">
        <w:tc>
          <w:tcPr>
            <w:tcW w:w="883" w:type="pct"/>
          </w:tcPr>
          <w:p w14:paraId="717A8BB7" w14:textId="552ACA8D" w:rsidR="006567EB" w:rsidRPr="00C73B1D" w:rsidRDefault="00665FC9" w:rsidP="00DC3C5B">
            <w:pPr>
              <w:autoSpaceDE w:val="0"/>
              <w:autoSpaceDN w:val="0"/>
              <w:adjustRightInd w:val="0"/>
              <w:rPr>
                <w:rFonts w:eastAsia="Times New Roman"/>
                <w:sz w:val="18"/>
                <w:szCs w:val="18"/>
              </w:rPr>
            </w:pPr>
            <w:r>
              <w:rPr>
                <w:rFonts w:eastAsia="Times New Roman"/>
                <w:sz w:val="18"/>
                <w:szCs w:val="18"/>
              </w:rPr>
              <w:t>FRD 22G</w:t>
            </w:r>
          </w:p>
        </w:tc>
        <w:tc>
          <w:tcPr>
            <w:tcW w:w="3530" w:type="pct"/>
          </w:tcPr>
          <w:p w14:paraId="054ED7C1" w14:textId="77777777" w:rsidR="006567EB" w:rsidRPr="00C73B1D" w:rsidRDefault="006567EB" w:rsidP="00DC3C5B">
            <w:pPr>
              <w:autoSpaceDE w:val="0"/>
              <w:autoSpaceDN w:val="0"/>
              <w:adjustRightInd w:val="0"/>
              <w:rPr>
                <w:rFonts w:eastAsia="Times New Roman"/>
                <w:sz w:val="18"/>
                <w:szCs w:val="18"/>
              </w:rPr>
            </w:pPr>
            <w:r w:rsidRPr="00C73B1D">
              <w:rPr>
                <w:rFonts w:eastAsia="Times New Roman"/>
                <w:sz w:val="18"/>
                <w:szCs w:val="18"/>
              </w:rPr>
              <w:t>Nature and range of services provided</w:t>
            </w:r>
          </w:p>
        </w:tc>
        <w:tc>
          <w:tcPr>
            <w:tcW w:w="587" w:type="pct"/>
          </w:tcPr>
          <w:p w14:paraId="3CB7CCB9" w14:textId="50AE82A1" w:rsidR="006567EB" w:rsidRPr="00831F3E" w:rsidRDefault="001E18B9" w:rsidP="00DC3C5B">
            <w:pPr>
              <w:autoSpaceDE w:val="0"/>
              <w:autoSpaceDN w:val="0"/>
              <w:adjustRightInd w:val="0"/>
              <w:rPr>
                <w:rFonts w:eastAsia="Times New Roman"/>
                <w:sz w:val="18"/>
                <w:szCs w:val="18"/>
              </w:rPr>
            </w:pPr>
            <w:r>
              <w:rPr>
                <w:rFonts w:eastAsia="Times New Roman"/>
                <w:sz w:val="18"/>
                <w:szCs w:val="18"/>
              </w:rPr>
              <w:t>17-24</w:t>
            </w:r>
          </w:p>
        </w:tc>
      </w:tr>
      <w:tr w:rsidR="006567EB" w:rsidRPr="00C2170F" w14:paraId="0C22A9B2" w14:textId="77777777" w:rsidTr="00665FC9">
        <w:tc>
          <w:tcPr>
            <w:tcW w:w="5000" w:type="pct"/>
            <w:gridSpan w:val="3"/>
          </w:tcPr>
          <w:p w14:paraId="0F10A1FA" w14:textId="77777777" w:rsidR="006567EB" w:rsidRPr="00831F3E" w:rsidRDefault="006567EB" w:rsidP="00DC3C5B">
            <w:pPr>
              <w:autoSpaceDE w:val="0"/>
              <w:autoSpaceDN w:val="0"/>
              <w:adjustRightInd w:val="0"/>
              <w:rPr>
                <w:rFonts w:eastAsia="Times New Roman"/>
                <w:b/>
                <w:sz w:val="18"/>
                <w:szCs w:val="18"/>
              </w:rPr>
            </w:pPr>
            <w:r w:rsidRPr="00831F3E">
              <w:rPr>
                <w:rFonts w:eastAsia="Times New Roman"/>
                <w:b/>
                <w:sz w:val="18"/>
                <w:szCs w:val="18"/>
              </w:rPr>
              <w:t>Management and structure</w:t>
            </w:r>
          </w:p>
        </w:tc>
      </w:tr>
      <w:tr w:rsidR="006567EB" w:rsidRPr="00C2170F" w14:paraId="7D89638D" w14:textId="77777777" w:rsidTr="00831F3E">
        <w:tc>
          <w:tcPr>
            <w:tcW w:w="883" w:type="pct"/>
          </w:tcPr>
          <w:p w14:paraId="28D4DC25" w14:textId="65A976E9" w:rsidR="006567EB" w:rsidRPr="00C73B1D" w:rsidRDefault="00665FC9" w:rsidP="00DC3C5B">
            <w:pPr>
              <w:autoSpaceDE w:val="0"/>
              <w:autoSpaceDN w:val="0"/>
              <w:adjustRightInd w:val="0"/>
              <w:rPr>
                <w:rFonts w:eastAsia="Times New Roman"/>
                <w:sz w:val="18"/>
                <w:szCs w:val="18"/>
              </w:rPr>
            </w:pPr>
            <w:r>
              <w:rPr>
                <w:rFonts w:eastAsia="Times New Roman"/>
                <w:sz w:val="18"/>
                <w:szCs w:val="18"/>
              </w:rPr>
              <w:t>FRD 22G</w:t>
            </w:r>
          </w:p>
        </w:tc>
        <w:tc>
          <w:tcPr>
            <w:tcW w:w="3530" w:type="pct"/>
          </w:tcPr>
          <w:p w14:paraId="090E400D" w14:textId="77777777" w:rsidR="006567EB" w:rsidRPr="00C73B1D" w:rsidRDefault="006567EB" w:rsidP="00DC3C5B">
            <w:pPr>
              <w:autoSpaceDE w:val="0"/>
              <w:autoSpaceDN w:val="0"/>
              <w:adjustRightInd w:val="0"/>
              <w:rPr>
                <w:rFonts w:eastAsia="Times New Roman"/>
                <w:sz w:val="18"/>
                <w:szCs w:val="18"/>
              </w:rPr>
            </w:pPr>
            <w:r w:rsidRPr="00C73B1D">
              <w:rPr>
                <w:rFonts w:eastAsia="Times New Roman"/>
                <w:sz w:val="18"/>
                <w:szCs w:val="18"/>
              </w:rPr>
              <w:t xml:space="preserve">Organisational structure </w:t>
            </w:r>
          </w:p>
        </w:tc>
        <w:tc>
          <w:tcPr>
            <w:tcW w:w="587" w:type="pct"/>
          </w:tcPr>
          <w:p w14:paraId="02BBE694" w14:textId="2414EFFF" w:rsidR="006567EB" w:rsidRPr="00831F3E" w:rsidRDefault="001E18B9" w:rsidP="00DC3C5B">
            <w:pPr>
              <w:autoSpaceDE w:val="0"/>
              <w:autoSpaceDN w:val="0"/>
              <w:adjustRightInd w:val="0"/>
              <w:rPr>
                <w:rFonts w:eastAsia="Times New Roman"/>
                <w:sz w:val="18"/>
                <w:szCs w:val="18"/>
              </w:rPr>
            </w:pPr>
            <w:r>
              <w:rPr>
                <w:rFonts w:eastAsia="Times New Roman"/>
                <w:sz w:val="18"/>
                <w:szCs w:val="18"/>
              </w:rPr>
              <w:t>12</w:t>
            </w:r>
          </w:p>
        </w:tc>
      </w:tr>
      <w:tr w:rsidR="006567EB" w:rsidRPr="00C2170F" w14:paraId="60373AB0" w14:textId="77777777" w:rsidTr="00665FC9">
        <w:tc>
          <w:tcPr>
            <w:tcW w:w="5000" w:type="pct"/>
            <w:gridSpan w:val="3"/>
          </w:tcPr>
          <w:p w14:paraId="1ABD0360" w14:textId="77777777" w:rsidR="006567EB" w:rsidRPr="00831F3E" w:rsidRDefault="006567EB" w:rsidP="00DC3C5B">
            <w:pPr>
              <w:autoSpaceDE w:val="0"/>
              <w:autoSpaceDN w:val="0"/>
              <w:adjustRightInd w:val="0"/>
              <w:rPr>
                <w:rFonts w:eastAsia="Times New Roman"/>
                <w:b/>
                <w:sz w:val="18"/>
                <w:szCs w:val="18"/>
              </w:rPr>
            </w:pPr>
            <w:r w:rsidRPr="00831F3E">
              <w:rPr>
                <w:rFonts w:eastAsia="Times New Roman"/>
                <w:b/>
                <w:sz w:val="18"/>
                <w:szCs w:val="18"/>
              </w:rPr>
              <w:t>Financial and other information</w:t>
            </w:r>
          </w:p>
        </w:tc>
      </w:tr>
      <w:tr w:rsidR="006567EB" w:rsidRPr="00C2170F" w14:paraId="44B54ADB" w14:textId="77777777" w:rsidTr="00831F3E">
        <w:tc>
          <w:tcPr>
            <w:tcW w:w="883" w:type="pct"/>
          </w:tcPr>
          <w:p w14:paraId="41D35059" w14:textId="3143B3DE" w:rsidR="006567EB" w:rsidRPr="00C73B1D" w:rsidRDefault="006567EB" w:rsidP="00DC3C5B">
            <w:pPr>
              <w:autoSpaceDE w:val="0"/>
              <w:autoSpaceDN w:val="0"/>
              <w:adjustRightInd w:val="0"/>
              <w:rPr>
                <w:rFonts w:eastAsia="Times New Roman"/>
                <w:sz w:val="18"/>
                <w:szCs w:val="18"/>
              </w:rPr>
            </w:pPr>
            <w:r w:rsidRPr="00C73B1D">
              <w:rPr>
                <w:rFonts w:eastAsia="Times New Roman"/>
                <w:sz w:val="18"/>
                <w:szCs w:val="18"/>
              </w:rPr>
              <w:t>FRD 8</w:t>
            </w:r>
            <w:r w:rsidR="00665FC9">
              <w:rPr>
                <w:rFonts w:eastAsia="Times New Roman"/>
                <w:sz w:val="18"/>
                <w:szCs w:val="18"/>
              </w:rPr>
              <w:t>D</w:t>
            </w:r>
            <w:r w:rsidRPr="00C73B1D">
              <w:rPr>
                <w:rFonts w:eastAsia="Times New Roman"/>
                <w:sz w:val="18"/>
                <w:szCs w:val="18"/>
              </w:rPr>
              <w:t>, SD 4.2(k)</w:t>
            </w:r>
          </w:p>
        </w:tc>
        <w:tc>
          <w:tcPr>
            <w:tcW w:w="3530" w:type="pct"/>
          </w:tcPr>
          <w:p w14:paraId="62BE3B13" w14:textId="77777777" w:rsidR="006567EB" w:rsidRPr="00C73B1D" w:rsidRDefault="006567EB" w:rsidP="00DC3C5B">
            <w:pPr>
              <w:autoSpaceDE w:val="0"/>
              <w:autoSpaceDN w:val="0"/>
              <w:adjustRightInd w:val="0"/>
              <w:rPr>
                <w:rFonts w:eastAsia="Times New Roman"/>
                <w:sz w:val="18"/>
                <w:szCs w:val="18"/>
              </w:rPr>
            </w:pPr>
            <w:r w:rsidRPr="00C73B1D">
              <w:rPr>
                <w:rFonts w:eastAsia="Times New Roman"/>
                <w:sz w:val="18"/>
                <w:szCs w:val="18"/>
              </w:rPr>
              <w:t>Performance against output performance measures</w:t>
            </w:r>
          </w:p>
        </w:tc>
        <w:tc>
          <w:tcPr>
            <w:tcW w:w="587" w:type="pct"/>
          </w:tcPr>
          <w:p w14:paraId="36ED3274" w14:textId="7B45105F" w:rsidR="006567EB" w:rsidRPr="00831F3E" w:rsidRDefault="001E18B9" w:rsidP="00DC3C5B">
            <w:pPr>
              <w:autoSpaceDE w:val="0"/>
              <w:autoSpaceDN w:val="0"/>
              <w:adjustRightInd w:val="0"/>
              <w:rPr>
                <w:rFonts w:eastAsia="Times New Roman"/>
                <w:sz w:val="18"/>
                <w:szCs w:val="18"/>
              </w:rPr>
            </w:pPr>
            <w:r>
              <w:rPr>
                <w:rFonts w:eastAsia="Times New Roman"/>
                <w:sz w:val="18"/>
                <w:szCs w:val="18"/>
              </w:rPr>
              <w:t>25-29</w:t>
            </w:r>
          </w:p>
        </w:tc>
      </w:tr>
      <w:tr w:rsidR="006567EB" w:rsidRPr="00C2170F" w14:paraId="19E6E1EA" w14:textId="77777777" w:rsidTr="00831F3E">
        <w:tc>
          <w:tcPr>
            <w:tcW w:w="883" w:type="pct"/>
          </w:tcPr>
          <w:p w14:paraId="7A058EAB" w14:textId="0D5822B8" w:rsidR="006567EB" w:rsidRPr="00C73B1D" w:rsidRDefault="006567EB" w:rsidP="00DC3C5B">
            <w:pPr>
              <w:autoSpaceDE w:val="0"/>
              <w:autoSpaceDN w:val="0"/>
              <w:adjustRightInd w:val="0"/>
              <w:rPr>
                <w:rFonts w:eastAsia="Times New Roman"/>
                <w:sz w:val="18"/>
                <w:szCs w:val="18"/>
              </w:rPr>
            </w:pPr>
            <w:r w:rsidRPr="00C73B1D">
              <w:rPr>
                <w:rFonts w:eastAsia="Times New Roman"/>
                <w:sz w:val="18"/>
                <w:szCs w:val="18"/>
              </w:rPr>
              <w:t>FRD 8</w:t>
            </w:r>
            <w:r w:rsidR="00665FC9">
              <w:rPr>
                <w:rFonts w:eastAsia="Times New Roman"/>
                <w:sz w:val="18"/>
                <w:szCs w:val="18"/>
              </w:rPr>
              <w:t>D</w:t>
            </w:r>
          </w:p>
        </w:tc>
        <w:tc>
          <w:tcPr>
            <w:tcW w:w="3530" w:type="pct"/>
          </w:tcPr>
          <w:p w14:paraId="423F3187" w14:textId="77777777" w:rsidR="006567EB" w:rsidRPr="00C73B1D" w:rsidRDefault="006567EB" w:rsidP="00DC3C5B">
            <w:pPr>
              <w:autoSpaceDE w:val="0"/>
              <w:autoSpaceDN w:val="0"/>
              <w:adjustRightInd w:val="0"/>
              <w:rPr>
                <w:rFonts w:eastAsia="Times New Roman"/>
                <w:sz w:val="18"/>
                <w:szCs w:val="18"/>
              </w:rPr>
            </w:pPr>
            <w:r w:rsidRPr="00C73B1D">
              <w:rPr>
                <w:rFonts w:eastAsia="Times New Roman"/>
                <w:sz w:val="18"/>
                <w:szCs w:val="18"/>
              </w:rPr>
              <w:t>Budget portfolio outcomes</w:t>
            </w:r>
          </w:p>
        </w:tc>
        <w:tc>
          <w:tcPr>
            <w:tcW w:w="587" w:type="pct"/>
          </w:tcPr>
          <w:p w14:paraId="0D5BE82E" w14:textId="3401A59C" w:rsidR="006567EB" w:rsidRPr="00831F3E" w:rsidRDefault="001E18B9" w:rsidP="00DC3C5B">
            <w:pPr>
              <w:autoSpaceDE w:val="0"/>
              <w:autoSpaceDN w:val="0"/>
              <w:adjustRightInd w:val="0"/>
              <w:rPr>
                <w:rFonts w:eastAsia="Times New Roman"/>
                <w:sz w:val="18"/>
                <w:szCs w:val="18"/>
              </w:rPr>
            </w:pPr>
            <w:r>
              <w:rPr>
                <w:rFonts w:eastAsia="Times New Roman"/>
                <w:sz w:val="18"/>
                <w:szCs w:val="18"/>
              </w:rPr>
              <w:t>30</w:t>
            </w:r>
          </w:p>
        </w:tc>
      </w:tr>
      <w:tr w:rsidR="006567EB" w:rsidRPr="00C2170F" w14:paraId="6077FF5F" w14:textId="77777777" w:rsidTr="00831F3E">
        <w:tc>
          <w:tcPr>
            <w:tcW w:w="883" w:type="pct"/>
          </w:tcPr>
          <w:p w14:paraId="49758022" w14:textId="0938A2DF" w:rsidR="006567EB" w:rsidRPr="00C73B1D" w:rsidRDefault="006567EB" w:rsidP="00DC3C5B">
            <w:pPr>
              <w:autoSpaceDE w:val="0"/>
              <w:autoSpaceDN w:val="0"/>
              <w:adjustRightInd w:val="0"/>
              <w:rPr>
                <w:rFonts w:eastAsia="Times New Roman"/>
                <w:sz w:val="18"/>
                <w:szCs w:val="18"/>
              </w:rPr>
            </w:pPr>
            <w:r w:rsidRPr="00C73B1D">
              <w:rPr>
                <w:rFonts w:eastAsia="Times New Roman"/>
                <w:sz w:val="18"/>
                <w:szCs w:val="18"/>
              </w:rPr>
              <w:t>FRD 10</w:t>
            </w:r>
            <w:r w:rsidR="00665FC9">
              <w:rPr>
                <w:rFonts w:eastAsia="Times New Roman"/>
                <w:sz w:val="18"/>
                <w:szCs w:val="18"/>
              </w:rPr>
              <w:t>A</w:t>
            </w:r>
          </w:p>
        </w:tc>
        <w:tc>
          <w:tcPr>
            <w:tcW w:w="3530" w:type="pct"/>
          </w:tcPr>
          <w:p w14:paraId="3BC1860C" w14:textId="77777777" w:rsidR="006567EB" w:rsidRPr="00C73B1D" w:rsidRDefault="006567EB" w:rsidP="00DC3C5B">
            <w:pPr>
              <w:autoSpaceDE w:val="0"/>
              <w:autoSpaceDN w:val="0"/>
              <w:adjustRightInd w:val="0"/>
              <w:rPr>
                <w:rFonts w:eastAsia="Times New Roman"/>
                <w:sz w:val="18"/>
                <w:szCs w:val="18"/>
              </w:rPr>
            </w:pPr>
            <w:r w:rsidRPr="00C73B1D">
              <w:rPr>
                <w:rFonts w:eastAsia="Times New Roman"/>
                <w:sz w:val="18"/>
                <w:szCs w:val="18"/>
              </w:rPr>
              <w:t>Disclosure index</w:t>
            </w:r>
          </w:p>
        </w:tc>
        <w:tc>
          <w:tcPr>
            <w:tcW w:w="587" w:type="pct"/>
          </w:tcPr>
          <w:p w14:paraId="0A405134" w14:textId="4BC3F606" w:rsidR="006567EB" w:rsidRPr="00831F3E" w:rsidRDefault="001E18B9" w:rsidP="00DC3C5B">
            <w:pPr>
              <w:autoSpaceDE w:val="0"/>
              <w:autoSpaceDN w:val="0"/>
              <w:adjustRightInd w:val="0"/>
              <w:rPr>
                <w:rFonts w:eastAsia="Times New Roman"/>
                <w:sz w:val="18"/>
                <w:szCs w:val="18"/>
              </w:rPr>
            </w:pPr>
            <w:r>
              <w:rPr>
                <w:rFonts w:eastAsia="Times New Roman"/>
                <w:sz w:val="18"/>
                <w:szCs w:val="18"/>
              </w:rPr>
              <w:t>47-48</w:t>
            </w:r>
          </w:p>
        </w:tc>
      </w:tr>
      <w:tr w:rsidR="006567EB" w:rsidRPr="00C2170F" w14:paraId="766EE7F5" w14:textId="77777777" w:rsidTr="00831F3E">
        <w:tc>
          <w:tcPr>
            <w:tcW w:w="883" w:type="pct"/>
          </w:tcPr>
          <w:p w14:paraId="768CC44A" w14:textId="77777777" w:rsidR="006567EB" w:rsidRPr="00C73B1D" w:rsidRDefault="006567EB" w:rsidP="00DC3C5B">
            <w:pPr>
              <w:autoSpaceDE w:val="0"/>
              <w:autoSpaceDN w:val="0"/>
              <w:adjustRightInd w:val="0"/>
              <w:rPr>
                <w:rFonts w:eastAsia="Times New Roman"/>
                <w:sz w:val="18"/>
                <w:szCs w:val="18"/>
              </w:rPr>
            </w:pPr>
            <w:r w:rsidRPr="00C73B1D">
              <w:rPr>
                <w:rFonts w:eastAsia="Times New Roman"/>
                <w:sz w:val="18"/>
                <w:szCs w:val="18"/>
              </w:rPr>
              <w:t>FRD 12A</w:t>
            </w:r>
          </w:p>
        </w:tc>
        <w:tc>
          <w:tcPr>
            <w:tcW w:w="3530" w:type="pct"/>
          </w:tcPr>
          <w:p w14:paraId="1153307D" w14:textId="77777777" w:rsidR="006567EB" w:rsidRPr="00C73B1D" w:rsidRDefault="006567EB" w:rsidP="00DC3C5B">
            <w:pPr>
              <w:autoSpaceDE w:val="0"/>
              <w:autoSpaceDN w:val="0"/>
              <w:adjustRightInd w:val="0"/>
              <w:rPr>
                <w:rFonts w:eastAsia="Times New Roman"/>
                <w:sz w:val="18"/>
                <w:szCs w:val="18"/>
              </w:rPr>
            </w:pPr>
            <w:r w:rsidRPr="00C73B1D">
              <w:rPr>
                <w:rFonts w:eastAsia="Times New Roman"/>
                <w:sz w:val="18"/>
                <w:szCs w:val="18"/>
              </w:rPr>
              <w:t xml:space="preserve">Disclosure of major contracts  </w:t>
            </w:r>
          </w:p>
        </w:tc>
        <w:tc>
          <w:tcPr>
            <w:tcW w:w="587" w:type="pct"/>
          </w:tcPr>
          <w:p w14:paraId="3F77EA93" w14:textId="2F090057" w:rsidR="006567EB" w:rsidRPr="00831F3E" w:rsidRDefault="001E18B9" w:rsidP="00DC3C5B">
            <w:pPr>
              <w:autoSpaceDE w:val="0"/>
              <w:autoSpaceDN w:val="0"/>
              <w:adjustRightInd w:val="0"/>
              <w:rPr>
                <w:rFonts w:eastAsia="Times New Roman"/>
                <w:sz w:val="18"/>
                <w:szCs w:val="18"/>
              </w:rPr>
            </w:pPr>
            <w:r>
              <w:rPr>
                <w:rFonts w:eastAsia="Times New Roman"/>
                <w:sz w:val="18"/>
                <w:szCs w:val="18"/>
              </w:rPr>
              <w:t>39</w:t>
            </w:r>
          </w:p>
        </w:tc>
      </w:tr>
      <w:tr w:rsidR="006567EB" w:rsidRPr="00C2170F" w14:paraId="54E53074" w14:textId="77777777" w:rsidTr="00831F3E">
        <w:tc>
          <w:tcPr>
            <w:tcW w:w="883" w:type="pct"/>
          </w:tcPr>
          <w:p w14:paraId="17C5AB0D" w14:textId="5CCCF710" w:rsidR="006567EB" w:rsidRPr="00C73B1D" w:rsidRDefault="006567EB" w:rsidP="00DC3C5B">
            <w:pPr>
              <w:autoSpaceDE w:val="0"/>
              <w:autoSpaceDN w:val="0"/>
              <w:adjustRightInd w:val="0"/>
              <w:rPr>
                <w:rFonts w:eastAsia="Times New Roman"/>
                <w:sz w:val="18"/>
                <w:szCs w:val="18"/>
              </w:rPr>
            </w:pPr>
            <w:r w:rsidRPr="00C73B1D">
              <w:rPr>
                <w:rFonts w:eastAsia="Times New Roman"/>
                <w:sz w:val="18"/>
                <w:szCs w:val="18"/>
              </w:rPr>
              <w:t>FRD 15</w:t>
            </w:r>
            <w:r w:rsidR="00665FC9">
              <w:rPr>
                <w:rFonts w:eastAsia="Times New Roman"/>
                <w:sz w:val="18"/>
                <w:szCs w:val="18"/>
              </w:rPr>
              <w:t>C</w:t>
            </w:r>
          </w:p>
        </w:tc>
        <w:tc>
          <w:tcPr>
            <w:tcW w:w="3530" w:type="pct"/>
          </w:tcPr>
          <w:p w14:paraId="153FCDBE" w14:textId="77777777" w:rsidR="006567EB" w:rsidRPr="00C73B1D" w:rsidRDefault="006567EB" w:rsidP="00DC3C5B">
            <w:pPr>
              <w:autoSpaceDE w:val="0"/>
              <w:autoSpaceDN w:val="0"/>
              <w:adjustRightInd w:val="0"/>
              <w:rPr>
                <w:rFonts w:eastAsia="Times New Roman"/>
                <w:sz w:val="18"/>
                <w:szCs w:val="18"/>
              </w:rPr>
            </w:pPr>
            <w:r w:rsidRPr="00C73B1D">
              <w:rPr>
                <w:rFonts w:eastAsia="Times New Roman"/>
                <w:sz w:val="18"/>
                <w:szCs w:val="18"/>
              </w:rPr>
              <w:t>Executive Officer disclosures</w:t>
            </w:r>
          </w:p>
        </w:tc>
        <w:tc>
          <w:tcPr>
            <w:tcW w:w="587" w:type="pct"/>
          </w:tcPr>
          <w:p w14:paraId="4BC4B875" w14:textId="560433E3" w:rsidR="006567EB" w:rsidRPr="00831F3E" w:rsidRDefault="001E18B9" w:rsidP="00DC3C5B">
            <w:pPr>
              <w:autoSpaceDE w:val="0"/>
              <w:autoSpaceDN w:val="0"/>
              <w:adjustRightInd w:val="0"/>
              <w:rPr>
                <w:rFonts w:eastAsia="Times New Roman"/>
                <w:sz w:val="18"/>
                <w:szCs w:val="18"/>
              </w:rPr>
            </w:pPr>
            <w:r>
              <w:rPr>
                <w:rFonts w:eastAsia="Times New Roman"/>
                <w:sz w:val="18"/>
                <w:szCs w:val="18"/>
              </w:rPr>
              <w:t>34-35</w:t>
            </w:r>
          </w:p>
        </w:tc>
      </w:tr>
      <w:tr w:rsidR="006567EB" w:rsidRPr="00C2170F" w14:paraId="76062BB4" w14:textId="77777777" w:rsidTr="00831F3E">
        <w:tc>
          <w:tcPr>
            <w:tcW w:w="883" w:type="pct"/>
          </w:tcPr>
          <w:p w14:paraId="7780A4B5" w14:textId="3E2F078A" w:rsidR="006567EB" w:rsidRPr="00C73B1D" w:rsidRDefault="00665FC9" w:rsidP="00DC3C5B">
            <w:pPr>
              <w:autoSpaceDE w:val="0"/>
              <w:autoSpaceDN w:val="0"/>
              <w:adjustRightInd w:val="0"/>
              <w:rPr>
                <w:rFonts w:eastAsia="Times New Roman"/>
                <w:sz w:val="18"/>
                <w:szCs w:val="18"/>
              </w:rPr>
            </w:pPr>
            <w:r>
              <w:rPr>
                <w:rFonts w:eastAsia="Times New Roman"/>
                <w:sz w:val="18"/>
                <w:szCs w:val="18"/>
              </w:rPr>
              <w:t>FRD 22G</w:t>
            </w:r>
          </w:p>
        </w:tc>
        <w:tc>
          <w:tcPr>
            <w:tcW w:w="3530" w:type="pct"/>
          </w:tcPr>
          <w:p w14:paraId="1D3BBA67" w14:textId="77777777" w:rsidR="006567EB" w:rsidRPr="00C73B1D" w:rsidRDefault="006567EB" w:rsidP="00DC3C5B">
            <w:pPr>
              <w:autoSpaceDE w:val="0"/>
              <w:autoSpaceDN w:val="0"/>
              <w:adjustRightInd w:val="0"/>
              <w:rPr>
                <w:rFonts w:eastAsia="Times New Roman"/>
                <w:sz w:val="18"/>
                <w:szCs w:val="18"/>
              </w:rPr>
            </w:pPr>
            <w:r w:rsidRPr="00C73B1D">
              <w:rPr>
                <w:rFonts w:eastAsia="Times New Roman"/>
                <w:sz w:val="18"/>
                <w:szCs w:val="18"/>
              </w:rPr>
              <w:t>Employment and conduct principles</w:t>
            </w:r>
          </w:p>
        </w:tc>
        <w:tc>
          <w:tcPr>
            <w:tcW w:w="587" w:type="pct"/>
          </w:tcPr>
          <w:p w14:paraId="176AC4A2" w14:textId="1F96180E" w:rsidR="006567EB" w:rsidRPr="00831F3E" w:rsidRDefault="001E18B9" w:rsidP="00DC3C5B">
            <w:pPr>
              <w:autoSpaceDE w:val="0"/>
              <w:autoSpaceDN w:val="0"/>
              <w:adjustRightInd w:val="0"/>
              <w:rPr>
                <w:rFonts w:eastAsia="Times New Roman"/>
                <w:sz w:val="18"/>
                <w:szCs w:val="18"/>
              </w:rPr>
            </w:pPr>
            <w:r>
              <w:rPr>
                <w:rFonts w:eastAsia="Times New Roman"/>
                <w:sz w:val="18"/>
                <w:szCs w:val="18"/>
              </w:rPr>
              <w:t>35</w:t>
            </w:r>
          </w:p>
        </w:tc>
      </w:tr>
      <w:tr w:rsidR="006567EB" w:rsidRPr="00C2170F" w14:paraId="52CCE540" w14:textId="77777777" w:rsidTr="00831F3E">
        <w:tc>
          <w:tcPr>
            <w:tcW w:w="883" w:type="pct"/>
          </w:tcPr>
          <w:p w14:paraId="65C782B6" w14:textId="2D411419" w:rsidR="006567EB" w:rsidRPr="00C73B1D" w:rsidRDefault="00665FC9" w:rsidP="00DC3C5B">
            <w:pPr>
              <w:autoSpaceDE w:val="0"/>
              <w:autoSpaceDN w:val="0"/>
              <w:adjustRightInd w:val="0"/>
              <w:rPr>
                <w:rFonts w:eastAsia="Times New Roman"/>
                <w:sz w:val="18"/>
                <w:szCs w:val="18"/>
              </w:rPr>
            </w:pPr>
            <w:r>
              <w:rPr>
                <w:rFonts w:eastAsia="Times New Roman"/>
                <w:sz w:val="18"/>
                <w:szCs w:val="18"/>
              </w:rPr>
              <w:t>FRD 22G</w:t>
            </w:r>
          </w:p>
        </w:tc>
        <w:tc>
          <w:tcPr>
            <w:tcW w:w="3530" w:type="pct"/>
          </w:tcPr>
          <w:p w14:paraId="31EE76BB" w14:textId="77777777" w:rsidR="006567EB" w:rsidRPr="00C73B1D" w:rsidRDefault="006567EB" w:rsidP="00DC3C5B">
            <w:pPr>
              <w:autoSpaceDE w:val="0"/>
              <w:autoSpaceDN w:val="0"/>
              <w:adjustRightInd w:val="0"/>
              <w:rPr>
                <w:rFonts w:eastAsia="Times New Roman"/>
                <w:sz w:val="18"/>
                <w:szCs w:val="18"/>
              </w:rPr>
            </w:pPr>
            <w:r w:rsidRPr="00C73B1D">
              <w:rPr>
                <w:rFonts w:eastAsia="Times New Roman"/>
                <w:sz w:val="18"/>
                <w:szCs w:val="18"/>
              </w:rPr>
              <w:t>Occupational health and safety policy</w:t>
            </w:r>
          </w:p>
        </w:tc>
        <w:tc>
          <w:tcPr>
            <w:tcW w:w="587" w:type="pct"/>
          </w:tcPr>
          <w:p w14:paraId="244DAC04" w14:textId="24962512" w:rsidR="006567EB" w:rsidRPr="00831F3E" w:rsidRDefault="001E18B9" w:rsidP="00DC3C5B">
            <w:pPr>
              <w:autoSpaceDE w:val="0"/>
              <w:autoSpaceDN w:val="0"/>
              <w:adjustRightInd w:val="0"/>
              <w:rPr>
                <w:rFonts w:eastAsia="Times New Roman"/>
                <w:sz w:val="18"/>
                <w:szCs w:val="18"/>
              </w:rPr>
            </w:pPr>
            <w:r>
              <w:rPr>
                <w:rFonts w:eastAsia="Times New Roman"/>
                <w:sz w:val="18"/>
                <w:szCs w:val="18"/>
              </w:rPr>
              <w:t>36-37</w:t>
            </w:r>
          </w:p>
        </w:tc>
      </w:tr>
      <w:tr w:rsidR="006567EB" w:rsidRPr="00C2170F" w14:paraId="4C9A1CA2" w14:textId="77777777" w:rsidTr="00831F3E">
        <w:tc>
          <w:tcPr>
            <w:tcW w:w="883" w:type="pct"/>
          </w:tcPr>
          <w:p w14:paraId="1983B340" w14:textId="34ACCA31" w:rsidR="006567EB" w:rsidRPr="00C73B1D" w:rsidRDefault="00665FC9" w:rsidP="00DC3C5B">
            <w:pPr>
              <w:autoSpaceDE w:val="0"/>
              <w:autoSpaceDN w:val="0"/>
              <w:adjustRightInd w:val="0"/>
              <w:rPr>
                <w:rFonts w:eastAsia="Times New Roman"/>
                <w:sz w:val="18"/>
                <w:szCs w:val="18"/>
              </w:rPr>
            </w:pPr>
            <w:r>
              <w:rPr>
                <w:rFonts w:eastAsia="Times New Roman"/>
                <w:sz w:val="18"/>
                <w:szCs w:val="18"/>
              </w:rPr>
              <w:t>FRD 22G</w:t>
            </w:r>
          </w:p>
        </w:tc>
        <w:tc>
          <w:tcPr>
            <w:tcW w:w="3530" w:type="pct"/>
          </w:tcPr>
          <w:p w14:paraId="6C806069" w14:textId="77777777" w:rsidR="006567EB" w:rsidRPr="00C73B1D" w:rsidRDefault="006567EB" w:rsidP="00DC3C5B">
            <w:pPr>
              <w:autoSpaceDE w:val="0"/>
              <w:autoSpaceDN w:val="0"/>
              <w:adjustRightInd w:val="0"/>
              <w:rPr>
                <w:rFonts w:eastAsia="Times New Roman"/>
                <w:sz w:val="18"/>
                <w:szCs w:val="18"/>
              </w:rPr>
            </w:pPr>
            <w:r w:rsidRPr="00C73B1D">
              <w:rPr>
                <w:rFonts w:eastAsia="Times New Roman"/>
                <w:sz w:val="18"/>
                <w:szCs w:val="18"/>
              </w:rPr>
              <w:t>Summary of the financial results for the year</w:t>
            </w:r>
          </w:p>
        </w:tc>
        <w:tc>
          <w:tcPr>
            <w:tcW w:w="587" w:type="pct"/>
          </w:tcPr>
          <w:p w14:paraId="13FF84E6" w14:textId="681179B5" w:rsidR="006567EB" w:rsidRPr="00831F3E" w:rsidRDefault="001E18B9" w:rsidP="00DC3C5B">
            <w:pPr>
              <w:autoSpaceDE w:val="0"/>
              <w:autoSpaceDN w:val="0"/>
              <w:adjustRightInd w:val="0"/>
              <w:rPr>
                <w:rFonts w:eastAsia="Times New Roman"/>
                <w:sz w:val="18"/>
                <w:szCs w:val="18"/>
              </w:rPr>
            </w:pPr>
            <w:r>
              <w:rPr>
                <w:rFonts w:eastAsia="Times New Roman"/>
                <w:sz w:val="18"/>
                <w:szCs w:val="18"/>
              </w:rPr>
              <w:t>30</w:t>
            </w:r>
          </w:p>
        </w:tc>
      </w:tr>
      <w:tr w:rsidR="006567EB" w:rsidRPr="00C2170F" w14:paraId="7D88F06B" w14:textId="77777777" w:rsidTr="00831F3E">
        <w:tc>
          <w:tcPr>
            <w:tcW w:w="883" w:type="pct"/>
          </w:tcPr>
          <w:p w14:paraId="4F494BB7" w14:textId="63D57BBC" w:rsidR="006567EB" w:rsidRPr="00C73B1D" w:rsidRDefault="00665FC9" w:rsidP="00DC3C5B">
            <w:pPr>
              <w:autoSpaceDE w:val="0"/>
              <w:autoSpaceDN w:val="0"/>
              <w:adjustRightInd w:val="0"/>
              <w:rPr>
                <w:rFonts w:eastAsia="Times New Roman"/>
                <w:sz w:val="18"/>
                <w:szCs w:val="18"/>
              </w:rPr>
            </w:pPr>
            <w:r>
              <w:rPr>
                <w:rFonts w:eastAsia="Times New Roman"/>
                <w:sz w:val="18"/>
                <w:szCs w:val="18"/>
              </w:rPr>
              <w:t>FRD 22G</w:t>
            </w:r>
          </w:p>
        </w:tc>
        <w:tc>
          <w:tcPr>
            <w:tcW w:w="3530" w:type="pct"/>
          </w:tcPr>
          <w:p w14:paraId="49EA95A7" w14:textId="77777777" w:rsidR="006567EB" w:rsidRPr="00C73B1D" w:rsidRDefault="006567EB" w:rsidP="00DC3C5B">
            <w:pPr>
              <w:autoSpaceDE w:val="0"/>
              <w:autoSpaceDN w:val="0"/>
              <w:adjustRightInd w:val="0"/>
              <w:rPr>
                <w:rFonts w:eastAsia="Times New Roman"/>
                <w:sz w:val="18"/>
                <w:szCs w:val="18"/>
              </w:rPr>
            </w:pPr>
            <w:r w:rsidRPr="00C73B1D">
              <w:rPr>
                <w:rFonts w:eastAsia="Times New Roman"/>
                <w:sz w:val="18"/>
                <w:szCs w:val="18"/>
              </w:rPr>
              <w:t>Significant changes in financial position during the year</w:t>
            </w:r>
          </w:p>
        </w:tc>
        <w:tc>
          <w:tcPr>
            <w:tcW w:w="587" w:type="pct"/>
          </w:tcPr>
          <w:p w14:paraId="477C1045" w14:textId="160C34DD" w:rsidR="006567EB" w:rsidRPr="00831F3E" w:rsidRDefault="007F4F71" w:rsidP="00DC3C5B">
            <w:pPr>
              <w:autoSpaceDE w:val="0"/>
              <w:autoSpaceDN w:val="0"/>
              <w:adjustRightInd w:val="0"/>
              <w:rPr>
                <w:rFonts w:eastAsia="Times New Roman"/>
                <w:sz w:val="18"/>
                <w:szCs w:val="18"/>
              </w:rPr>
            </w:pPr>
            <w:r>
              <w:rPr>
                <w:rFonts w:eastAsia="Times New Roman"/>
                <w:sz w:val="18"/>
                <w:szCs w:val="18"/>
              </w:rPr>
              <w:t>NA</w:t>
            </w:r>
          </w:p>
        </w:tc>
      </w:tr>
      <w:tr w:rsidR="006567EB" w:rsidRPr="00C2170F" w14:paraId="37DF22DB" w14:textId="77777777" w:rsidTr="00831F3E">
        <w:tc>
          <w:tcPr>
            <w:tcW w:w="883" w:type="pct"/>
          </w:tcPr>
          <w:p w14:paraId="097C3269" w14:textId="0FF8D582" w:rsidR="006567EB" w:rsidRPr="00C73B1D" w:rsidRDefault="00665FC9" w:rsidP="00DC3C5B">
            <w:pPr>
              <w:autoSpaceDE w:val="0"/>
              <w:autoSpaceDN w:val="0"/>
              <w:adjustRightInd w:val="0"/>
              <w:rPr>
                <w:rFonts w:eastAsia="Times New Roman"/>
                <w:sz w:val="18"/>
                <w:szCs w:val="18"/>
              </w:rPr>
            </w:pPr>
            <w:r>
              <w:rPr>
                <w:rFonts w:eastAsia="Times New Roman"/>
                <w:sz w:val="18"/>
                <w:szCs w:val="18"/>
              </w:rPr>
              <w:t>FRD 22G</w:t>
            </w:r>
          </w:p>
        </w:tc>
        <w:tc>
          <w:tcPr>
            <w:tcW w:w="3530" w:type="pct"/>
          </w:tcPr>
          <w:p w14:paraId="7CA68B3B" w14:textId="77777777" w:rsidR="006567EB" w:rsidRPr="00C73B1D" w:rsidRDefault="006567EB" w:rsidP="00DC3C5B">
            <w:pPr>
              <w:autoSpaceDE w:val="0"/>
              <w:autoSpaceDN w:val="0"/>
              <w:adjustRightInd w:val="0"/>
              <w:rPr>
                <w:rFonts w:eastAsia="Times New Roman"/>
                <w:sz w:val="18"/>
                <w:szCs w:val="18"/>
              </w:rPr>
            </w:pPr>
            <w:r w:rsidRPr="00C73B1D">
              <w:rPr>
                <w:rFonts w:eastAsia="Times New Roman"/>
                <w:sz w:val="18"/>
                <w:szCs w:val="18"/>
              </w:rPr>
              <w:t>Major changes or factors affecting performance</w:t>
            </w:r>
          </w:p>
        </w:tc>
        <w:tc>
          <w:tcPr>
            <w:tcW w:w="587" w:type="pct"/>
          </w:tcPr>
          <w:p w14:paraId="1C385344" w14:textId="6D54D12F" w:rsidR="006567EB" w:rsidRPr="00831F3E" w:rsidRDefault="007F4F71" w:rsidP="00DC3C5B">
            <w:pPr>
              <w:autoSpaceDE w:val="0"/>
              <w:autoSpaceDN w:val="0"/>
              <w:adjustRightInd w:val="0"/>
              <w:rPr>
                <w:rFonts w:eastAsia="Times New Roman"/>
                <w:sz w:val="18"/>
                <w:szCs w:val="18"/>
              </w:rPr>
            </w:pPr>
            <w:r>
              <w:rPr>
                <w:rFonts w:eastAsia="Times New Roman"/>
                <w:sz w:val="18"/>
                <w:szCs w:val="18"/>
              </w:rPr>
              <w:t>NA</w:t>
            </w:r>
          </w:p>
        </w:tc>
      </w:tr>
      <w:tr w:rsidR="006567EB" w:rsidRPr="00C2170F" w14:paraId="7635C9DA" w14:textId="77777777" w:rsidTr="00831F3E">
        <w:tc>
          <w:tcPr>
            <w:tcW w:w="883" w:type="pct"/>
          </w:tcPr>
          <w:p w14:paraId="06490C85" w14:textId="58239984" w:rsidR="006567EB" w:rsidRPr="00C73B1D" w:rsidRDefault="00665FC9" w:rsidP="00DC3C5B">
            <w:pPr>
              <w:autoSpaceDE w:val="0"/>
              <w:autoSpaceDN w:val="0"/>
              <w:adjustRightInd w:val="0"/>
              <w:rPr>
                <w:rFonts w:eastAsia="Times New Roman"/>
                <w:sz w:val="18"/>
                <w:szCs w:val="18"/>
              </w:rPr>
            </w:pPr>
            <w:r>
              <w:rPr>
                <w:rFonts w:eastAsia="Times New Roman"/>
                <w:sz w:val="18"/>
                <w:szCs w:val="18"/>
              </w:rPr>
              <w:t>FRD 22G</w:t>
            </w:r>
          </w:p>
        </w:tc>
        <w:tc>
          <w:tcPr>
            <w:tcW w:w="3530" w:type="pct"/>
          </w:tcPr>
          <w:p w14:paraId="3B71FF71" w14:textId="77777777" w:rsidR="006567EB" w:rsidRPr="00C73B1D" w:rsidRDefault="006567EB" w:rsidP="00DC3C5B">
            <w:pPr>
              <w:autoSpaceDE w:val="0"/>
              <w:autoSpaceDN w:val="0"/>
              <w:adjustRightInd w:val="0"/>
              <w:rPr>
                <w:rFonts w:eastAsia="Times New Roman"/>
                <w:sz w:val="18"/>
                <w:szCs w:val="18"/>
              </w:rPr>
            </w:pPr>
            <w:r w:rsidRPr="00C73B1D">
              <w:rPr>
                <w:rFonts w:eastAsia="Times New Roman"/>
                <w:sz w:val="18"/>
                <w:szCs w:val="18"/>
              </w:rPr>
              <w:t>Subsequent events</w:t>
            </w:r>
          </w:p>
        </w:tc>
        <w:tc>
          <w:tcPr>
            <w:tcW w:w="587" w:type="pct"/>
          </w:tcPr>
          <w:p w14:paraId="1F616393" w14:textId="69E9DC2D" w:rsidR="006567EB" w:rsidRPr="00831F3E" w:rsidRDefault="007F4F71" w:rsidP="00DC3C5B">
            <w:pPr>
              <w:autoSpaceDE w:val="0"/>
              <w:autoSpaceDN w:val="0"/>
              <w:adjustRightInd w:val="0"/>
              <w:rPr>
                <w:rFonts w:eastAsia="Times New Roman"/>
                <w:sz w:val="18"/>
                <w:szCs w:val="18"/>
              </w:rPr>
            </w:pPr>
            <w:r>
              <w:rPr>
                <w:rFonts w:eastAsia="Times New Roman"/>
                <w:sz w:val="18"/>
                <w:szCs w:val="18"/>
              </w:rPr>
              <w:t>NA</w:t>
            </w:r>
          </w:p>
        </w:tc>
      </w:tr>
      <w:tr w:rsidR="006567EB" w:rsidRPr="00C2170F" w14:paraId="3E33B0B2" w14:textId="77777777" w:rsidTr="00665FC9">
        <w:tc>
          <w:tcPr>
            <w:tcW w:w="5000" w:type="pct"/>
            <w:gridSpan w:val="3"/>
            <w:shd w:val="clear" w:color="auto" w:fill="auto"/>
          </w:tcPr>
          <w:p w14:paraId="088DAD08" w14:textId="77777777" w:rsidR="006567EB" w:rsidRPr="00831F3E" w:rsidRDefault="006567EB" w:rsidP="00DC3C5B">
            <w:pPr>
              <w:rPr>
                <w:b/>
                <w:sz w:val="18"/>
                <w:szCs w:val="18"/>
                <w:lang w:eastAsia="en-US"/>
              </w:rPr>
            </w:pPr>
            <w:r w:rsidRPr="00831F3E">
              <w:rPr>
                <w:b/>
                <w:sz w:val="18"/>
                <w:szCs w:val="18"/>
                <w:lang w:eastAsia="en-US"/>
              </w:rPr>
              <w:t>FINANCIAL REPORT</w:t>
            </w:r>
          </w:p>
        </w:tc>
      </w:tr>
      <w:tr w:rsidR="006567EB" w:rsidRPr="00C2170F" w14:paraId="74AF1761" w14:textId="77777777" w:rsidTr="00831F3E">
        <w:tc>
          <w:tcPr>
            <w:tcW w:w="883" w:type="pct"/>
          </w:tcPr>
          <w:p w14:paraId="600E7D9F" w14:textId="68C54D1E" w:rsidR="006567EB" w:rsidRPr="00C73B1D" w:rsidRDefault="00665FC9" w:rsidP="00DC3C5B">
            <w:pPr>
              <w:autoSpaceDE w:val="0"/>
              <w:autoSpaceDN w:val="0"/>
              <w:adjustRightInd w:val="0"/>
              <w:rPr>
                <w:rFonts w:eastAsia="Times New Roman"/>
                <w:sz w:val="18"/>
                <w:szCs w:val="18"/>
              </w:rPr>
            </w:pPr>
            <w:r>
              <w:rPr>
                <w:rFonts w:eastAsia="Times New Roman"/>
                <w:sz w:val="18"/>
                <w:szCs w:val="18"/>
              </w:rPr>
              <w:t>FRD 22G</w:t>
            </w:r>
          </w:p>
        </w:tc>
        <w:tc>
          <w:tcPr>
            <w:tcW w:w="3530" w:type="pct"/>
          </w:tcPr>
          <w:p w14:paraId="26F61840" w14:textId="77777777" w:rsidR="006567EB" w:rsidRPr="00C73B1D" w:rsidRDefault="006567EB" w:rsidP="00DC3C5B">
            <w:pPr>
              <w:autoSpaceDE w:val="0"/>
              <w:autoSpaceDN w:val="0"/>
              <w:adjustRightInd w:val="0"/>
              <w:rPr>
                <w:rFonts w:eastAsia="Times New Roman"/>
                <w:sz w:val="18"/>
                <w:szCs w:val="18"/>
              </w:rPr>
            </w:pPr>
            <w:r w:rsidRPr="00C73B1D">
              <w:rPr>
                <w:rFonts w:eastAsia="Times New Roman"/>
                <w:sz w:val="18"/>
                <w:szCs w:val="18"/>
              </w:rPr>
              <w:t xml:space="preserve">Application and operation of </w:t>
            </w:r>
            <w:r w:rsidRPr="00C73B1D">
              <w:rPr>
                <w:rFonts w:eastAsia="Times New Roman"/>
                <w:i/>
                <w:iCs/>
                <w:sz w:val="18"/>
                <w:szCs w:val="18"/>
              </w:rPr>
              <w:t>Freedom of Information Act 1982</w:t>
            </w:r>
            <w:r w:rsidRPr="00C73B1D">
              <w:rPr>
                <w:rFonts w:eastAsia="Times New Roman"/>
                <w:sz w:val="18"/>
                <w:szCs w:val="18"/>
              </w:rPr>
              <w:t xml:space="preserve"> (Vic)</w:t>
            </w:r>
          </w:p>
        </w:tc>
        <w:tc>
          <w:tcPr>
            <w:tcW w:w="587" w:type="pct"/>
          </w:tcPr>
          <w:p w14:paraId="4A0D20C6" w14:textId="4E8EA225" w:rsidR="006567EB" w:rsidRPr="00831F3E" w:rsidRDefault="001E18B9" w:rsidP="00DC3C5B">
            <w:pPr>
              <w:autoSpaceDE w:val="0"/>
              <w:autoSpaceDN w:val="0"/>
              <w:adjustRightInd w:val="0"/>
              <w:rPr>
                <w:rFonts w:eastAsia="Times New Roman"/>
                <w:sz w:val="18"/>
                <w:szCs w:val="18"/>
              </w:rPr>
            </w:pPr>
            <w:r>
              <w:rPr>
                <w:rFonts w:eastAsia="Times New Roman"/>
                <w:sz w:val="18"/>
                <w:szCs w:val="18"/>
              </w:rPr>
              <w:t>40</w:t>
            </w:r>
          </w:p>
        </w:tc>
      </w:tr>
      <w:tr w:rsidR="006567EB" w:rsidRPr="00C2170F" w14:paraId="52929455" w14:textId="77777777" w:rsidTr="00831F3E">
        <w:tc>
          <w:tcPr>
            <w:tcW w:w="883" w:type="pct"/>
          </w:tcPr>
          <w:p w14:paraId="7C20E111" w14:textId="742C74E0" w:rsidR="006567EB" w:rsidRPr="00C73B1D" w:rsidRDefault="00665FC9" w:rsidP="00DC3C5B">
            <w:pPr>
              <w:autoSpaceDE w:val="0"/>
              <w:autoSpaceDN w:val="0"/>
              <w:adjustRightInd w:val="0"/>
              <w:rPr>
                <w:rFonts w:eastAsia="Times New Roman"/>
                <w:sz w:val="18"/>
                <w:szCs w:val="18"/>
              </w:rPr>
            </w:pPr>
            <w:r>
              <w:rPr>
                <w:rFonts w:eastAsia="Times New Roman"/>
                <w:sz w:val="18"/>
                <w:szCs w:val="18"/>
              </w:rPr>
              <w:t>FRD 22G</w:t>
            </w:r>
          </w:p>
        </w:tc>
        <w:tc>
          <w:tcPr>
            <w:tcW w:w="3530" w:type="pct"/>
          </w:tcPr>
          <w:p w14:paraId="14673AB2" w14:textId="77777777" w:rsidR="006567EB" w:rsidRPr="00C73B1D" w:rsidRDefault="006567EB" w:rsidP="00DC3C5B">
            <w:pPr>
              <w:autoSpaceDE w:val="0"/>
              <w:autoSpaceDN w:val="0"/>
              <w:adjustRightInd w:val="0"/>
              <w:rPr>
                <w:rFonts w:eastAsia="Times New Roman"/>
                <w:sz w:val="18"/>
                <w:szCs w:val="18"/>
              </w:rPr>
            </w:pPr>
            <w:r w:rsidRPr="00C73B1D">
              <w:rPr>
                <w:rFonts w:eastAsia="Times New Roman"/>
                <w:sz w:val="18"/>
                <w:szCs w:val="18"/>
              </w:rPr>
              <w:t xml:space="preserve">Compliance with building and maintenance provisions of </w:t>
            </w:r>
            <w:r w:rsidRPr="00C73B1D">
              <w:rPr>
                <w:rFonts w:eastAsia="Times New Roman"/>
                <w:i/>
                <w:iCs/>
                <w:sz w:val="18"/>
                <w:szCs w:val="18"/>
              </w:rPr>
              <w:t>Building Act 1993</w:t>
            </w:r>
            <w:r w:rsidRPr="00C73B1D">
              <w:rPr>
                <w:rFonts w:eastAsia="Times New Roman"/>
                <w:sz w:val="18"/>
                <w:szCs w:val="18"/>
              </w:rPr>
              <w:t xml:space="preserve"> (Vic)</w:t>
            </w:r>
          </w:p>
        </w:tc>
        <w:tc>
          <w:tcPr>
            <w:tcW w:w="587" w:type="pct"/>
          </w:tcPr>
          <w:p w14:paraId="57437955" w14:textId="04531632" w:rsidR="006567EB" w:rsidRPr="00831F3E" w:rsidRDefault="001E18B9" w:rsidP="00DC3C5B">
            <w:pPr>
              <w:autoSpaceDE w:val="0"/>
              <w:autoSpaceDN w:val="0"/>
              <w:adjustRightInd w:val="0"/>
              <w:rPr>
                <w:rFonts w:eastAsia="Times New Roman"/>
                <w:sz w:val="18"/>
                <w:szCs w:val="18"/>
              </w:rPr>
            </w:pPr>
            <w:r>
              <w:rPr>
                <w:rFonts w:eastAsia="Times New Roman"/>
                <w:sz w:val="18"/>
                <w:szCs w:val="18"/>
              </w:rPr>
              <w:t>42</w:t>
            </w:r>
          </w:p>
        </w:tc>
      </w:tr>
      <w:tr w:rsidR="006567EB" w:rsidRPr="00C2170F" w14:paraId="0D70275B" w14:textId="77777777" w:rsidTr="00831F3E">
        <w:tc>
          <w:tcPr>
            <w:tcW w:w="883" w:type="pct"/>
          </w:tcPr>
          <w:p w14:paraId="5C5174A4" w14:textId="688CB4AD" w:rsidR="006567EB" w:rsidRPr="00C73B1D" w:rsidRDefault="00665FC9" w:rsidP="00DC3C5B">
            <w:pPr>
              <w:autoSpaceDE w:val="0"/>
              <w:autoSpaceDN w:val="0"/>
              <w:adjustRightInd w:val="0"/>
              <w:rPr>
                <w:rFonts w:eastAsia="Times New Roman"/>
                <w:sz w:val="18"/>
                <w:szCs w:val="18"/>
              </w:rPr>
            </w:pPr>
            <w:r>
              <w:rPr>
                <w:rFonts w:eastAsia="Times New Roman"/>
                <w:sz w:val="18"/>
                <w:szCs w:val="18"/>
              </w:rPr>
              <w:t>FRD 22G</w:t>
            </w:r>
          </w:p>
        </w:tc>
        <w:tc>
          <w:tcPr>
            <w:tcW w:w="3530" w:type="pct"/>
          </w:tcPr>
          <w:p w14:paraId="3BF4A9C5" w14:textId="77777777" w:rsidR="006567EB" w:rsidRPr="00C73B1D" w:rsidRDefault="006567EB" w:rsidP="00DC3C5B">
            <w:pPr>
              <w:autoSpaceDE w:val="0"/>
              <w:autoSpaceDN w:val="0"/>
              <w:adjustRightInd w:val="0"/>
              <w:rPr>
                <w:rFonts w:eastAsia="Times New Roman"/>
                <w:sz w:val="18"/>
                <w:szCs w:val="18"/>
              </w:rPr>
            </w:pPr>
            <w:r w:rsidRPr="00C73B1D">
              <w:rPr>
                <w:rFonts w:eastAsia="Times New Roman"/>
                <w:sz w:val="18"/>
                <w:szCs w:val="18"/>
              </w:rPr>
              <w:t>Statement on National Competition Policy</w:t>
            </w:r>
          </w:p>
        </w:tc>
        <w:tc>
          <w:tcPr>
            <w:tcW w:w="587" w:type="pct"/>
          </w:tcPr>
          <w:p w14:paraId="3421BD83" w14:textId="154A2EA0" w:rsidR="006567EB" w:rsidRPr="00831F3E" w:rsidRDefault="001E18B9" w:rsidP="00DC3C5B">
            <w:pPr>
              <w:autoSpaceDE w:val="0"/>
              <w:autoSpaceDN w:val="0"/>
              <w:adjustRightInd w:val="0"/>
              <w:rPr>
                <w:rFonts w:eastAsia="Times New Roman"/>
                <w:sz w:val="18"/>
                <w:szCs w:val="18"/>
              </w:rPr>
            </w:pPr>
            <w:r>
              <w:rPr>
                <w:rFonts w:eastAsia="Times New Roman"/>
                <w:sz w:val="18"/>
                <w:szCs w:val="18"/>
              </w:rPr>
              <w:t>42</w:t>
            </w:r>
          </w:p>
        </w:tc>
      </w:tr>
      <w:tr w:rsidR="006567EB" w:rsidRPr="00C2170F" w14:paraId="4ECB1DE5" w14:textId="77777777" w:rsidTr="00831F3E">
        <w:tc>
          <w:tcPr>
            <w:tcW w:w="883" w:type="pct"/>
          </w:tcPr>
          <w:p w14:paraId="22A27C97" w14:textId="78FC4210" w:rsidR="006567EB" w:rsidRPr="00C73B1D" w:rsidRDefault="00665FC9" w:rsidP="00DC3C5B">
            <w:pPr>
              <w:autoSpaceDE w:val="0"/>
              <w:autoSpaceDN w:val="0"/>
              <w:adjustRightInd w:val="0"/>
              <w:rPr>
                <w:rFonts w:eastAsia="Times New Roman"/>
                <w:sz w:val="18"/>
                <w:szCs w:val="18"/>
              </w:rPr>
            </w:pPr>
            <w:r>
              <w:rPr>
                <w:rFonts w:eastAsia="Times New Roman"/>
                <w:sz w:val="18"/>
                <w:szCs w:val="18"/>
              </w:rPr>
              <w:t>FRD 22G</w:t>
            </w:r>
          </w:p>
        </w:tc>
        <w:tc>
          <w:tcPr>
            <w:tcW w:w="3530" w:type="pct"/>
          </w:tcPr>
          <w:p w14:paraId="4E927EFA" w14:textId="77777777" w:rsidR="006567EB" w:rsidRPr="00C73B1D" w:rsidRDefault="006567EB" w:rsidP="00DC3C5B">
            <w:pPr>
              <w:autoSpaceDE w:val="0"/>
              <w:autoSpaceDN w:val="0"/>
              <w:adjustRightInd w:val="0"/>
              <w:rPr>
                <w:rFonts w:eastAsia="Times New Roman"/>
                <w:sz w:val="18"/>
                <w:szCs w:val="18"/>
              </w:rPr>
            </w:pPr>
            <w:r w:rsidRPr="00C73B1D">
              <w:rPr>
                <w:rFonts w:eastAsia="Times New Roman"/>
                <w:sz w:val="18"/>
                <w:szCs w:val="18"/>
              </w:rPr>
              <w:t xml:space="preserve">Application and operation of the </w:t>
            </w:r>
            <w:r w:rsidRPr="00C73B1D">
              <w:rPr>
                <w:rFonts w:eastAsia="Times New Roman"/>
                <w:i/>
                <w:iCs/>
                <w:sz w:val="18"/>
                <w:szCs w:val="18"/>
              </w:rPr>
              <w:t>Protected Disclosure Act 2012</w:t>
            </w:r>
            <w:r w:rsidRPr="00C73B1D">
              <w:rPr>
                <w:rFonts w:eastAsia="Times New Roman"/>
                <w:sz w:val="18"/>
                <w:szCs w:val="18"/>
              </w:rPr>
              <w:t xml:space="preserve"> (Vic)</w:t>
            </w:r>
          </w:p>
        </w:tc>
        <w:tc>
          <w:tcPr>
            <w:tcW w:w="587" w:type="pct"/>
          </w:tcPr>
          <w:p w14:paraId="651E19A8" w14:textId="39A32DBA" w:rsidR="006567EB" w:rsidRPr="00831F3E" w:rsidRDefault="001E18B9" w:rsidP="00DC3C5B">
            <w:pPr>
              <w:autoSpaceDE w:val="0"/>
              <w:autoSpaceDN w:val="0"/>
              <w:adjustRightInd w:val="0"/>
              <w:rPr>
                <w:rFonts w:eastAsia="Times New Roman"/>
                <w:sz w:val="18"/>
                <w:szCs w:val="18"/>
              </w:rPr>
            </w:pPr>
            <w:r>
              <w:rPr>
                <w:rFonts w:eastAsia="Times New Roman"/>
                <w:sz w:val="18"/>
                <w:szCs w:val="18"/>
              </w:rPr>
              <w:t>42</w:t>
            </w:r>
          </w:p>
        </w:tc>
      </w:tr>
      <w:tr w:rsidR="006567EB" w:rsidRPr="00C2170F" w14:paraId="32B37FCC" w14:textId="77777777" w:rsidTr="00831F3E">
        <w:tc>
          <w:tcPr>
            <w:tcW w:w="883" w:type="pct"/>
          </w:tcPr>
          <w:p w14:paraId="6146A831" w14:textId="007F4B44" w:rsidR="006567EB" w:rsidRPr="00C73B1D" w:rsidRDefault="00665FC9" w:rsidP="00DC3C5B">
            <w:pPr>
              <w:autoSpaceDE w:val="0"/>
              <w:autoSpaceDN w:val="0"/>
              <w:adjustRightInd w:val="0"/>
              <w:rPr>
                <w:rFonts w:eastAsia="Times New Roman"/>
                <w:sz w:val="18"/>
                <w:szCs w:val="18"/>
              </w:rPr>
            </w:pPr>
            <w:r>
              <w:rPr>
                <w:rFonts w:eastAsia="Times New Roman"/>
                <w:sz w:val="18"/>
                <w:szCs w:val="18"/>
              </w:rPr>
              <w:t>FRD 22G</w:t>
            </w:r>
          </w:p>
        </w:tc>
        <w:tc>
          <w:tcPr>
            <w:tcW w:w="3530" w:type="pct"/>
          </w:tcPr>
          <w:p w14:paraId="6EAF3D02" w14:textId="77777777" w:rsidR="006567EB" w:rsidRPr="00C73B1D" w:rsidRDefault="006567EB" w:rsidP="00DC3C5B">
            <w:pPr>
              <w:autoSpaceDE w:val="0"/>
              <w:autoSpaceDN w:val="0"/>
              <w:adjustRightInd w:val="0"/>
              <w:rPr>
                <w:rFonts w:eastAsia="Times New Roman"/>
                <w:sz w:val="18"/>
                <w:szCs w:val="18"/>
              </w:rPr>
            </w:pPr>
            <w:r w:rsidRPr="00C73B1D">
              <w:rPr>
                <w:rFonts w:eastAsia="Times New Roman"/>
                <w:sz w:val="18"/>
                <w:szCs w:val="18"/>
              </w:rPr>
              <w:t xml:space="preserve">Application and operation of the </w:t>
            </w:r>
            <w:r w:rsidRPr="00C73B1D">
              <w:rPr>
                <w:rFonts w:eastAsia="Times New Roman"/>
                <w:i/>
                <w:iCs/>
                <w:sz w:val="18"/>
                <w:szCs w:val="18"/>
              </w:rPr>
              <w:t>Carers Recognition Act 2012</w:t>
            </w:r>
            <w:r w:rsidRPr="00C73B1D">
              <w:rPr>
                <w:rFonts w:eastAsia="Times New Roman"/>
                <w:sz w:val="18"/>
                <w:szCs w:val="18"/>
              </w:rPr>
              <w:t xml:space="preserve"> (Vic)</w:t>
            </w:r>
          </w:p>
        </w:tc>
        <w:tc>
          <w:tcPr>
            <w:tcW w:w="587" w:type="pct"/>
          </w:tcPr>
          <w:p w14:paraId="53C4746E" w14:textId="524D4574" w:rsidR="006567EB" w:rsidRPr="00831F3E" w:rsidRDefault="001E18B9" w:rsidP="00DC3C5B">
            <w:pPr>
              <w:autoSpaceDE w:val="0"/>
              <w:autoSpaceDN w:val="0"/>
              <w:adjustRightInd w:val="0"/>
              <w:rPr>
                <w:rFonts w:eastAsia="Times New Roman"/>
                <w:sz w:val="18"/>
                <w:szCs w:val="18"/>
              </w:rPr>
            </w:pPr>
            <w:r>
              <w:rPr>
                <w:rFonts w:eastAsia="Times New Roman"/>
                <w:sz w:val="18"/>
                <w:szCs w:val="18"/>
              </w:rPr>
              <w:t>43</w:t>
            </w:r>
          </w:p>
        </w:tc>
      </w:tr>
      <w:tr w:rsidR="006567EB" w:rsidRPr="00C2170F" w14:paraId="253F8795" w14:textId="77777777" w:rsidTr="00831F3E">
        <w:tc>
          <w:tcPr>
            <w:tcW w:w="883" w:type="pct"/>
          </w:tcPr>
          <w:p w14:paraId="2B3A74CD" w14:textId="2E770F19" w:rsidR="006567EB" w:rsidRPr="00C73B1D" w:rsidRDefault="00665FC9" w:rsidP="00DC3C5B">
            <w:pPr>
              <w:autoSpaceDE w:val="0"/>
              <w:autoSpaceDN w:val="0"/>
              <w:adjustRightInd w:val="0"/>
              <w:rPr>
                <w:rFonts w:eastAsia="Times New Roman"/>
                <w:sz w:val="18"/>
                <w:szCs w:val="18"/>
              </w:rPr>
            </w:pPr>
            <w:r>
              <w:rPr>
                <w:rFonts w:eastAsia="Times New Roman"/>
                <w:sz w:val="18"/>
                <w:szCs w:val="18"/>
              </w:rPr>
              <w:t>FRD 22G</w:t>
            </w:r>
          </w:p>
        </w:tc>
        <w:tc>
          <w:tcPr>
            <w:tcW w:w="3530" w:type="pct"/>
          </w:tcPr>
          <w:p w14:paraId="7C9F9F15" w14:textId="77777777" w:rsidR="006567EB" w:rsidRPr="00C73B1D" w:rsidRDefault="006567EB" w:rsidP="00DC3C5B">
            <w:pPr>
              <w:autoSpaceDE w:val="0"/>
              <w:autoSpaceDN w:val="0"/>
              <w:adjustRightInd w:val="0"/>
              <w:rPr>
                <w:rFonts w:eastAsia="Times New Roman"/>
                <w:sz w:val="18"/>
                <w:szCs w:val="18"/>
              </w:rPr>
            </w:pPr>
            <w:r w:rsidRPr="00C73B1D">
              <w:rPr>
                <w:rFonts w:eastAsia="Times New Roman"/>
                <w:sz w:val="18"/>
                <w:szCs w:val="18"/>
              </w:rPr>
              <w:t>Details of consultancies over $10,000</w:t>
            </w:r>
          </w:p>
        </w:tc>
        <w:tc>
          <w:tcPr>
            <w:tcW w:w="587" w:type="pct"/>
          </w:tcPr>
          <w:p w14:paraId="12A6D4D4" w14:textId="16051C72" w:rsidR="006567EB" w:rsidRPr="00831F3E" w:rsidRDefault="001E18B9" w:rsidP="00DC3C5B">
            <w:pPr>
              <w:autoSpaceDE w:val="0"/>
              <w:autoSpaceDN w:val="0"/>
              <w:adjustRightInd w:val="0"/>
              <w:rPr>
                <w:rFonts w:eastAsia="Times New Roman"/>
                <w:sz w:val="18"/>
                <w:szCs w:val="18"/>
              </w:rPr>
            </w:pPr>
            <w:r>
              <w:rPr>
                <w:rFonts w:eastAsia="Times New Roman"/>
                <w:sz w:val="18"/>
                <w:szCs w:val="18"/>
              </w:rPr>
              <w:t>38</w:t>
            </w:r>
          </w:p>
        </w:tc>
      </w:tr>
      <w:tr w:rsidR="006567EB" w:rsidRPr="00C2170F" w14:paraId="07FC262E" w14:textId="77777777" w:rsidTr="00831F3E">
        <w:tc>
          <w:tcPr>
            <w:tcW w:w="883" w:type="pct"/>
          </w:tcPr>
          <w:p w14:paraId="11412C4F" w14:textId="288B100C" w:rsidR="006567EB" w:rsidRPr="00C73B1D" w:rsidRDefault="00665FC9" w:rsidP="00DC3C5B">
            <w:pPr>
              <w:autoSpaceDE w:val="0"/>
              <w:autoSpaceDN w:val="0"/>
              <w:adjustRightInd w:val="0"/>
              <w:rPr>
                <w:rFonts w:eastAsia="Times New Roman"/>
                <w:sz w:val="18"/>
                <w:szCs w:val="18"/>
              </w:rPr>
            </w:pPr>
            <w:r>
              <w:rPr>
                <w:rFonts w:eastAsia="Times New Roman"/>
                <w:sz w:val="18"/>
                <w:szCs w:val="18"/>
              </w:rPr>
              <w:t>FRD 22G</w:t>
            </w:r>
          </w:p>
        </w:tc>
        <w:tc>
          <w:tcPr>
            <w:tcW w:w="3530" w:type="pct"/>
          </w:tcPr>
          <w:p w14:paraId="0C4D89A0" w14:textId="77777777" w:rsidR="006567EB" w:rsidRPr="00C73B1D" w:rsidRDefault="006567EB" w:rsidP="00DC3C5B">
            <w:pPr>
              <w:autoSpaceDE w:val="0"/>
              <w:autoSpaceDN w:val="0"/>
              <w:adjustRightInd w:val="0"/>
              <w:rPr>
                <w:rFonts w:eastAsia="Times New Roman"/>
                <w:sz w:val="18"/>
                <w:szCs w:val="18"/>
              </w:rPr>
            </w:pPr>
            <w:r w:rsidRPr="00C73B1D">
              <w:rPr>
                <w:rFonts w:eastAsia="Times New Roman"/>
                <w:sz w:val="18"/>
                <w:szCs w:val="18"/>
              </w:rPr>
              <w:t>Details of consultancies under $10,000</w:t>
            </w:r>
          </w:p>
        </w:tc>
        <w:tc>
          <w:tcPr>
            <w:tcW w:w="587" w:type="pct"/>
          </w:tcPr>
          <w:p w14:paraId="15A57813" w14:textId="57D4F8AB" w:rsidR="006567EB" w:rsidRPr="00831F3E" w:rsidRDefault="001E18B9" w:rsidP="00DC3C5B">
            <w:pPr>
              <w:autoSpaceDE w:val="0"/>
              <w:autoSpaceDN w:val="0"/>
              <w:adjustRightInd w:val="0"/>
              <w:rPr>
                <w:rFonts w:eastAsia="Times New Roman"/>
                <w:sz w:val="18"/>
                <w:szCs w:val="18"/>
              </w:rPr>
            </w:pPr>
            <w:r>
              <w:rPr>
                <w:rFonts w:eastAsia="Times New Roman"/>
                <w:sz w:val="18"/>
                <w:szCs w:val="18"/>
              </w:rPr>
              <w:t>39</w:t>
            </w:r>
          </w:p>
        </w:tc>
      </w:tr>
      <w:tr w:rsidR="00820688" w:rsidRPr="00C2170F" w14:paraId="1C0EB619" w14:textId="77777777" w:rsidTr="00831F3E">
        <w:tc>
          <w:tcPr>
            <w:tcW w:w="883" w:type="pct"/>
          </w:tcPr>
          <w:p w14:paraId="439E8DFF" w14:textId="392699F9" w:rsidR="00820688" w:rsidRDefault="00820688" w:rsidP="00DC3C5B">
            <w:pPr>
              <w:autoSpaceDE w:val="0"/>
              <w:autoSpaceDN w:val="0"/>
              <w:adjustRightInd w:val="0"/>
              <w:rPr>
                <w:rFonts w:eastAsia="Times New Roman"/>
                <w:sz w:val="18"/>
                <w:szCs w:val="18"/>
              </w:rPr>
            </w:pPr>
            <w:r>
              <w:rPr>
                <w:rFonts w:eastAsia="Times New Roman"/>
                <w:sz w:val="18"/>
                <w:szCs w:val="18"/>
              </w:rPr>
              <w:t>FRD 22G</w:t>
            </w:r>
          </w:p>
        </w:tc>
        <w:tc>
          <w:tcPr>
            <w:tcW w:w="3530" w:type="pct"/>
          </w:tcPr>
          <w:p w14:paraId="34BA3F96" w14:textId="71E22E86" w:rsidR="00820688" w:rsidRPr="00C73B1D" w:rsidRDefault="00820688" w:rsidP="00DC3C5B">
            <w:pPr>
              <w:autoSpaceDE w:val="0"/>
              <w:autoSpaceDN w:val="0"/>
              <w:adjustRightInd w:val="0"/>
              <w:rPr>
                <w:rFonts w:eastAsia="Times New Roman"/>
                <w:sz w:val="18"/>
                <w:szCs w:val="18"/>
              </w:rPr>
            </w:pPr>
            <w:r>
              <w:rPr>
                <w:rFonts w:eastAsia="Times New Roman"/>
                <w:sz w:val="18"/>
                <w:szCs w:val="18"/>
              </w:rPr>
              <w:t>Disclosure of government advertising expenditure</w:t>
            </w:r>
          </w:p>
        </w:tc>
        <w:tc>
          <w:tcPr>
            <w:tcW w:w="587" w:type="pct"/>
          </w:tcPr>
          <w:p w14:paraId="68263010" w14:textId="66E0A281" w:rsidR="00820688" w:rsidRPr="00831F3E" w:rsidRDefault="001E18B9" w:rsidP="00DC3C5B">
            <w:pPr>
              <w:autoSpaceDE w:val="0"/>
              <w:autoSpaceDN w:val="0"/>
              <w:adjustRightInd w:val="0"/>
              <w:rPr>
                <w:rFonts w:eastAsia="Times New Roman"/>
                <w:sz w:val="18"/>
                <w:szCs w:val="18"/>
              </w:rPr>
            </w:pPr>
            <w:r>
              <w:rPr>
                <w:rFonts w:eastAsia="Times New Roman"/>
                <w:sz w:val="18"/>
                <w:szCs w:val="18"/>
              </w:rPr>
              <w:t>40</w:t>
            </w:r>
          </w:p>
        </w:tc>
      </w:tr>
      <w:tr w:rsidR="00820688" w:rsidRPr="00C2170F" w14:paraId="7FBE0DDB" w14:textId="77777777" w:rsidTr="00831F3E">
        <w:tc>
          <w:tcPr>
            <w:tcW w:w="883" w:type="pct"/>
          </w:tcPr>
          <w:p w14:paraId="1B6920A5" w14:textId="0D1FB65B" w:rsidR="00820688" w:rsidRDefault="00820688" w:rsidP="00DC3C5B">
            <w:pPr>
              <w:autoSpaceDE w:val="0"/>
              <w:autoSpaceDN w:val="0"/>
              <w:adjustRightInd w:val="0"/>
              <w:rPr>
                <w:rFonts w:eastAsia="Times New Roman"/>
                <w:sz w:val="18"/>
                <w:szCs w:val="18"/>
              </w:rPr>
            </w:pPr>
            <w:r>
              <w:rPr>
                <w:rFonts w:eastAsia="Times New Roman"/>
                <w:sz w:val="18"/>
                <w:szCs w:val="18"/>
              </w:rPr>
              <w:t>FRD 22G</w:t>
            </w:r>
          </w:p>
        </w:tc>
        <w:tc>
          <w:tcPr>
            <w:tcW w:w="3530" w:type="pct"/>
          </w:tcPr>
          <w:p w14:paraId="2B161A75" w14:textId="14A37549" w:rsidR="00820688" w:rsidRPr="00C73B1D" w:rsidRDefault="00820688" w:rsidP="00DC3C5B">
            <w:pPr>
              <w:autoSpaceDE w:val="0"/>
              <w:autoSpaceDN w:val="0"/>
              <w:adjustRightInd w:val="0"/>
              <w:rPr>
                <w:rFonts w:eastAsia="Times New Roman"/>
                <w:sz w:val="18"/>
                <w:szCs w:val="18"/>
              </w:rPr>
            </w:pPr>
            <w:r>
              <w:rPr>
                <w:rFonts w:eastAsia="Times New Roman"/>
                <w:sz w:val="18"/>
                <w:szCs w:val="18"/>
              </w:rPr>
              <w:t>Disclosure of ICT expenditure</w:t>
            </w:r>
          </w:p>
        </w:tc>
        <w:tc>
          <w:tcPr>
            <w:tcW w:w="587" w:type="pct"/>
          </w:tcPr>
          <w:p w14:paraId="0A01BD0B" w14:textId="3AB69B44" w:rsidR="00820688" w:rsidRPr="00831F3E" w:rsidRDefault="001E18B9" w:rsidP="00DC3C5B">
            <w:pPr>
              <w:autoSpaceDE w:val="0"/>
              <w:autoSpaceDN w:val="0"/>
              <w:adjustRightInd w:val="0"/>
              <w:rPr>
                <w:rFonts w:eastAsia="Times New Roman"/>
                <w:sz w:val="18"/>
                <w:szCs w:val="18"/>
              </w:rPr>
            </w:pPr>
            <w:r>
              <w:rPr>
                <w:rFonts w:eastAsia="Times New Roman"/>
                <w:sz w:val="18"/>
                <w:szCs w:val="18"/>
              </w:rPr>
              <w:t>40</w:t>
            </w:r>
          </w:p>
        </w:tc>
      </w:tr>
      <w:tr w:rsidR="006567EB" w:rsidRPr="00C2170F" w14:paraId="0B88199F" w14:textId="77777777" w:rsidTr="00831F3E">
        <w:tc>
          <w:tcPr>
            <w:tcW w:w="883" w:type="pct"/>
          </w:tcPr>
          <w:p w14:paraId="6F516BCE" w14:textId="79F352CB" w:rsidR="006567EB" w:rsidRPr="00C73B1D" w:rsidRDefault="00665FC9" w:rsidP="00DC3C5B">
            <w:pPr>
              <w:autoSpaceDE w:val="0"/>
              <w:autoSpaceDN w:val="0"/>
              <w:adjustRightInd w:val="0"/>
              <w:rPr>
                <w:rFonts w:eastAsia="Times New Roman"/>
                <w:sz w:val="18"/>
                <w:szCs w:val="18"/>
              </w:rPr>
            </w:pPr>
            <w:r>
              <w:rPr>
                <w:rFonts w:eastAsia="Times New Roman"/>
                <w:sz w:val="18"/>
                <w:szCs w:val="18"/>
              </w:rPr>
              <w:t>FRD 22G</w:t>
            </w:r>
          </w:p>
        </w:tc>
        <w:tc>
          <w:tcPr>
            <w:tcW w:w="3530" w:type="pct"/>
          </w:tcPr>
          <w:p w14:paraId="21A1A769" w14:textId="77777777" w:rsidR="006567EB" w:rsidRPr="00C73B1D" w:rsidRDefault="006567EB" w:rsidP="00DC3C5B">
            <w:pPr>
              <w:autoSpaceDE w:val="0"/>
              <w:autoSpaceDN w:val="0"/>
              <w:adjustRightInd w:val="0"/>
              <w:rPr>
                <w:rFonts w:eastAsia="Times New Roman"/>
                <w:sz w:val="18"/>
                <w:szCs w:val="18"/>
              </w:rPr>
            </w:pPr>
            <w:r w:rsidRPr="00C73B1D">
              <w:rPr>
                <w:rFonts w:eastAsia="Times New Roman"/>
                <w:sz w:val="18"/>
                <w:szCs w:val="18"/>
              </w:rPr>
              <w:t>Statement of availability of other information</w:t>
            </w:r>
          </w:p>
        </w:tc>
        <w:tc>
          <w:tcPr>
            <w:tcW w:w="587" w:type="pct"/>
          </w:tcPr>
          <w:p w14:paraId="51A03E6F" w14:textId="6E12AC6C" w:rsidR="006567EB" w:rsidRPr="00831F3E" w:rsidRDefault="001E18B9" w:rsidP="00DC3C5B">
            <w:pPr>
              <w:autoSpaceDE w:val="0"/>
              <w:autoSpaceDN w:val="0"/>
              <w:adjustRightInd w:val="0"/>
              <w:rPr>
                <w:rFonts w:eastAsia="Times New Roman"/>
                <w:sz w:val="18"/>
                <w:szCs w:val="18"/>
              </w:rPr>
            </w:pPr>
            <w:r>
              <w:rPr>
                <w:rFonts w:eastAsia="Times New Roman"/>
                <w:sz w:val="18"/>
                <w:szCs w:val="18"/>
              </w:rPr>
              <w:t>45</w:t>
            </w:r>
          </w:p>
        </w:tc>
      </w:tr>
      <w:tr w:rsidR="006567EB" w:rsidRPr="00C2170F" w14:paraId="282A0B3A" w14:textId="77777777" w:rsidTr="00831F3E">
        <w:tc>
          <w:tcPr>
            <w:tcW w:w="883" w:type="pct"/>
          </w:tcPr>
          <w:p w14:paraId="7F4B8E72" w14:textId="77777777" w:rsidR="006567EB" w:rsidRPr="00C73B1D" w:rsidRDefault="006567EB" w:rsidP="00DC3C5B">
            <w:pPr>
              <w:autoSpaceDE w:val="0"/>
              <w:autoSpaceDN w:val="0"/>
              <w:adjustRightInd w:val="0"/>
              <w:rPr>
                <w:rFonts w:eastAsia="Times New Roman"/>
                <w:sz w:val="18"/>
                <w:szCs w:val="18"/>
              </w:rPr>
            </w:pPr>
            <w:r w:rsidRPr="00C73B1D">
              <w:rPr>
                <w:rFonts w:eastAsia="Times New Roman"/>
                <w:sz w:val="18"/>
                <w:szCs w:val="18"/>
              </w:rPr>
              <w:t>FRD 24C</w:t>
            </w:r>
          </w:p>
        </w:tc>
        <w:tc>
          <w:tcPr>
            <w:tcW w:w="3530" w:type="pct"/>
          </w:tcPr>
          <w:p w14:paraId="10A4B9A2" w14:textId="77777777" w:rsidR="006567EB" w:rsidRPr="00C73B1D" w:rsidRDefault="006567EB" w:rsidP="00DC3C5B">
            <w:pPr>
              <w:autoSpaceDE w:val="0"/>
              <w:autoSpaceDN w:val="0"/>
              <w:adjustRightInd w:val="0"/>
              <w:rPr>
                <w:rFonts w:eastAsia="Times New Roman"/>
                <w:sz w:val="18"/>
                <w:szCs w:val="18"/>
              </w:rPr>
            </w:pPr>
            <w:r w:rsidRPr="00C73B1D">
              <w:rPr>
                <w:rFonts w:eastAsia="Times New Roman"/>
                <w:sz w:val="18"/>
                <w:szCs w:val="18"/>
              </w:rPr>
              <w:t>Reporting of office-based environmental impacts</w:t>
            </w:r>
          </w:p>
        </w:tc>
        <w:tc>
          <w:tcPr>
            <w:tcW w:w="587" w:type="pct"/>
          </w:tcPr>
          <w:p w14:paraId="1A72260A" w14:textId="51DB4A81" w:rsidR="006567EB" w:rsidRPr="00831F3E" w:rsidRDefault="001E18B9" w:rsidP="00DC3C5B">
            <w:pPr>
              <w:autoSpaceDE w:val="0"/>
              <w:autoSpaceDN w:val="0"/>
              <w:adjustRightInd w:val="0"/>
              <w:rPr>
                <w:rFonts w:eastAsia="Times New Roman"/>
                <w:sz w:val="18"/>
                <w:szCs w:val="18"/>
              </w:rPr>
            </w:pPr>
            <w:r>
              <w:rPr>
                <w:rFonts w:eastAsia="Times New Roman"/>
                <w:sz w:val="18"/>
                <w:szCs w:val="18"/>
              </w:rPr>
              <w:t>43</w:t>
            </w:r>
          </w:p>
        </w:tc>
      </w:tr>
      <w:tr w:rsidR="006567EB" w:rsidRPr="00C2170F" w14:paraId="21630D60" w14:textId="77777777" w:rsidTr="00831F3E">
        <w:tc>
          <w:tcPr>
            <w:tcW w:w="883" w:type="pct"/>
          </w:tcPr>
          <w:p w14:paraId="6FFD6F62" w14:textId="77777777" w:rsidR="006567EB" w:rsidRPr="00C73B1D" w:rsidRDefault="006567EB" w:rsidP="00DC3C5B">
            <w:pPr>
              <w:autoSpaceDE w:val="0"/>
              <w:autoSpaceDN w:val="0"/>
              <w:adjustRightInd w:val="0"/>
              <w:rPr>
                <w:rFonts w:eastAsia="Times New Roman"/>
                <w:sz w:val="18"/>
                <w:szCs w:val="18"/>
              </w:rPr>
            </w:pPr>
            <w:r w:rsidRPr="00C73B1D">
              <w:rPr>
                <w:rFonts w:eastAsia="Times New Roman"/>
                <w:sz w:val="18"/>
                <w:szCs w:val="18"/>
              </w:rPr>
              <w:t>FRD 25B</w:t>
            </w:r>
          </w:p>
        </w:tc>
        <w:tc>
          <w:tcPr>
            <w:tcW w:w="3530" w:type="pct"/>
          </w:tcPr>
          <w:p w14:paraId="68A6EF18" w14:textId="77777777" w:rsidR="006567EB" w:rsidRPr="00C73B1D" w:rsidRDefault="006567EB" w:rsidP="00DC3C5B">
            <w:pPr>
              <w:autoSpaceDE w:val="0"/>
              <w:autoSpaceDN w:val="0"/>
              <w:adjustRightInd w:val="0"/>
              <w:rPr>
                <w:rFonts w:eastAsia="Times New Roman"/>
                <w:sz w:val="18"/>
                <w:szCs w:val="18"/>
              </w:rPr>
            </w:pPr>
            <w:r w:rsidRPr="00C73B1D">
              <w:rPr>
                <w:rFonts w:eastAsia="Times New Roman"/>
                <w:sz w:val="18"/>
                <w:szCs w:val="18"/>
              </w:rPr>
              <w:t>Victorian Industry Participation Policy disclosures</w:t>
            </w:r>
          </w:p>
        </w:tc>
        <w:tc>
          <w:tcPr>
            <w:tcW w:w="587" w:type="pct"/>
          </w:tcPr>
          <w:p w14:paraId="672F6C85" w14:textId="1F7E23EA" w:rsidR="006567EB" w:rsidRPr="00831F3E" w:rsidRDefault="001E18B9" w:rsidP="00DC3C5B">
            <w:pPr>
              <w:autoSpaceDE w:val="0"/>
              <w:autoSpaceDN w:val="0"/>
              <w:adjustRightInd w:val="0"/>
              <w:rPr>
                <w:rFonts w:eastAsia="Times New Roman"/>
                <w:sz w:val="18"/>
                <w:szCs w:val="18"/>
              </w:rPr>
            </w:pPr>
            <w:r>
              <w:rPr>
                <w:rFonts w:eastAsia="Times New Roman"/>
                <w:sz w:val="18"/>
                <w:szCs w:val="18"/>
              </w:rPr>
              <w:t>38</w:t>
            </w:r>
          </w:p>
        </w:tc>
      </w:tr>
      <w:tr w:rsidR="006567EB" w:rsidRPr="00C2170F" w14:paraId="411E45BE" w14:textId="77777777" w:rsidTr="00831F3E">
        <w:tc>
          <w:tcPr>
            <w:tcW w:w="883" w:type="pct"/>
          </w:tcPr>
          <w:p w14:paraId="7004D44B" w14:textId="77777777" w:rsidR="006567EB" w:rsidRPr="00C73B1D" w:rsidRDefault="006567EB" w:rsidP="00DC3C5B">
            <w:pPr>
              <w:autoSpaceDE w:val="0"/>
              <w:autoSpaceDN w:val="0"/>
              <w:adjustRightInd w:val="0"/>
              <w:rPr>
                <w:rFonts w:eastAsia="Times New Roman"/>
                <w:sz w:val="18"/>
                <w:szCs w:val="18"/>
              </w:rPr>
            </w:pPr>
            <w:r w:rsidRPr="00C73B1D">
              <w:rPr>
                <w:rFonts w:eastAsia="Times New Roman"/>
                <w:sz w:val="18"/>
                <w:szCs w:val="18"/>
              </w:rPr>
              <w:t>FRD 29A</w:t>
            </w:r>
          </w:p>
        </w:tc>
        <w:tc>
          <w:tcPr>
            <w:tcW w:w="3530" w:type="pct"/>
          </w:tcPr>
          <w:p w14:paraId="045138D6" w14:textId="77777777" w:rsidR="006567EB" w:rsidRPr="00C73B1D" w:rsidRDefault="006567EB" w:rsidP="00DC3C5B">
            <w:pPr>
              <w:autoSpaceDE w:val="0"/>
              <w:autoSpaceDN w:val="0"/>
              <w:adjustRightInd w:val="0"/>
              <w:rPr>
                <w:rFonts w:eastAsia="Times New Roman"/>
                <w:sz w:val="18"/>
                <w:szCs w:val="18"/>
              </w:rPr>
            </w:pPr>
            <w:r w:rsidRPr="00C73B1D">
              <w:rPr>
                <w:rFonts w:eastAsia="Times New Roman"/>
                <w:sz w:val="18"/>
                <w:szCs w:val="18"/>
              </w:rPr>
              <w:t>Workforce data disclosures</w:t>
            </w:r>
          </w:p>
        </w:tc>
        <w:tc>
          <w:tcPr>
            <w:tcW w:w="587" w:type="pct"/>
          </w:tcPr>
          <w:p w14:paraId="3AFE1953" w14:textId="4AD663E6" w:rsidR="006567EB" w:rsidRPr="00831F3E" w:rsidRDefault="001E18B9" w:rsidP="00DC3C5B">
            <w:pPr>
              <w:autoSpaceDE w:val="0"/>
              <w:autoSpaceDN w:val="0"/>
              <w:adjustRightInd w:val="0"/>
              <w:rPr>
                <w:rFonts w:eastAsia="Times New Roman"/>
                <w:sz w:val="18"/>
                <w:szCs w:val="18"/>
              </w:rPr>
            </w:pPr>
            <w:r>
              <w:rPr>
                <w:rFonts w:eastAsia="Times New Roman"/>
                <w:sz w:val="18"/>
                <w:szCs w:val="18"/>
              </w:rPr>
              <w:t>33-35</w:t>
            </w:r>
          </w:p>
        </w:tc>
      </w:tr>
      <w:tr w:rsidR="006567EB" w:rsidRPr="00C2170F" w14:paraId="775C8AB6" w14:textId="77777777" w:rsidTr="00831F3E">
        <w:tc>
          <w:tcPr>
            <w:tcW w:w="883" w:type="pct"/>
          </w:tcPr>
          <w:p w14:paraId="41665387" w14:textId="77777777" w:rsidR="006567EB" w:rsidRPr="00C73B1D" w:rsidRDefault="006567EB" w:rsidP="00DC3C5B">
            <w:pPr>
              <w:autoSpaceDE w:val="0"/>
              <w:autoSpaceDN w:val="0"/>
              <w:adjustRightInd w:val="0"/>
              <w:rPr>
                <w:rFonts w:eastAsia="Times New Roman"/>
                <w:sz w:val="18"/>
                <w:szCs w:val="18"/>
              </w:rPr>
            </w:pPr>
            <w:r w:rsidRPr="00C73B1D">
              <w:rPr>
                <w:rFonts w:eastAsia="Times New Roman"/>
                <w:sz w:val="18"/>
                <w:szCs w:val="18"/>
              </w:rPr>
              <w:t>SD 4.5.5</w:t>
            </w:r>
          </w:p>
        </w:tc>
        <w:tc>
          <w:tcPr>
            <w:tcW w:w="3530" w:type="pct"/>
          </w:tcPr>
          <w:p w14:paraId="0D9F4327" w14:textId="77777777" w:rsidR="006567EB" w:rsidRPr="00C73B1D" w:rsidRDefault="006567EB" w:rsidP="00DC3C5B">
            <w:pPr>
              <w:autoSpaceDE w:val="0"/>
              <w:autoSpaceDN w:val="0"/>
              <w:adjustRightInd w:val="0"/>
              <w:rPr>
                <w:rFonts w:eastAsia="Times New Roman"/>
                <w:sz w:val="18"/>
                <w:szCs w:val="18"/>
              </w:rPr>
            </w:pPr>
            <w:r w:rsidRPr="00C73B1D">
              <w:rPr>
                <w:rFonts w:eastAsia="Times New Roman"/>
                <w:sz w:val="18"/>
                <w:szCs w:val="18"/>
              </w:rPr>
              <w:t>Risk management attestation</w:t>
            </w:r>
          </w:p>
        </w:tc>
        <w:tc>
          <w:tcPr>
            <w:tcW w:w="587" w:type="pct"/>
          </w:tcPr>
          <w:p w14:paraId="31DFF23B" w14:textId="674D0168" w:rsidR="006567EB" w:rsidRPr="00831F3E" w:rsidRDefault="001E18B9" w:rsidP="00DC3C5B">
            <w:pPr>
              <w:autoSpaceDE w:val="0"/>
              <w:autoSpaceDN w:val="0"/>
              <w:adjustRightInd w:val="0"/>
              <w:rPr>
                <w:rFonts w:eastAsia="Times New Roman"/>
                <w:sz w:val="18"/>
                <w:szCs w:val="18"/>
              </w:rPr>
            </w:pPr>
            <w:r>
              <w:rPr>
                <w:rFonts w:eastAsia="Times New Roman"/>
                <w:sz w:val="18"/>
                <w:szCs w:val="18"/>
              </w:rPr>
              <w:t>45</w:t>
            </w:r>
          </w:p>
        </w:tc>
      </w:tr>
      <w:tr w:rsidR="006567EB" w:rsidRPr="00C2170F" w14:paraId="2694BA31" w14:textId="77777777" w:rsidTr="00831F3E">
        <w:tc>
          <w:tcPr>
            <w:tcW w:w="883" w:type="pct"/>
          </w:tcPr>
          <w:p w14:paraId="34425AAF" w14:textId="77777777" w:rsidR="006567EB" w:rsidRPr="00C73B1D" w:rsidRDefault="006567EB" w:rsidP="00DC3C5B">
            <w:pPr>
              <w:autoSpaceDE w:val="0"/>
              <w:autoSpaceDN w:val="0"/>
              <w:adjustRightInd w:val="0"/>
              <w:rPr>
                <w:rFonts w:eastAsia="Times New Roman"/>
                <w:sz w:val="18"/>
                <w:szCs w:val="18"/>
              </w:rPr>
            </w:pPr>
            <w:r w:rsidRPr="00C73B1D">
              <w:rPr>
                <w:rFonts w:eastAsia="Times New Roman"/>
                <w:sz w:val="18"/>
                <w:szCs w:val="18"/>
              </w:rPr>
              <w:t>SD 4.2(g)</w:t>
            </w:r>
          </w:p>
        </w:tc>
        <w:tc>
          <w:tcPr>
            <w:tcW w:w="3530" w:type="pct"/>
          </w:tcPr>
          <w:p w14:paraId="709DBB12" w14:textId="77777777" w:rsidR="006567EB" w:rsidRPr="00C73B1D" w:rsidRDefault="006567EB" w:rsidP="00DC3C5B">
            <w:pPr>
              <w:autoSpaceDE w:val="0"/>
              <w:autoSpaceDN w:val="0"/>
              <w:adjustRightInd w:val="0"/>
              <w:rPr>
                <w:rFonts w:eastAsia="Times New Roman"/>
                <w:sz w:val="18"/>
                <w:szCs w:val="18"/>
              </w:rPr>
            </w:pPr>
            <w:r w:rsidRPr="00C73B1D">
              <w:rPr>
                <w:rFonts w:eastAsia="Times New Roman"/>
                <w:sz w:val="18"/>
                <w:szCs w:val="18"/>
              </w:rPr>
              <w:t>Specific information requirements</w:t>
            </w:r>
          </w:p>
        </w:tc>
        <w:tc>
          <w:tcPr>
            <w:tcW w:w="587" w:type="pct"/>
          </w:tcPr>
          <w:p w14:paraId="6E1E9706" w14:textId="2661F529" w:rsidR="006567EB" w:rsidRPr="00831F3E" w:rsidRDefault="001E18B9" w:rsidP="00DC3C5B">
            <w:pPr>
              <w:autoSpaceDE w:val="0"/>
              <w:autoSpaceDN w:val="0"/>
              <w:adjustRightInd w:val="0"/>
              <w:rPr>
                <w:rFonts w:eastAsia="Times New Roman"/>
                <w:sz w:val="18"/>
                <w:szCs w:val="18"/>
              </w:rPr>
            </w:pPr>
            <w:r>
              <w:rPr>
                <w:rFonts w:eastAsia="Times New Roman"/>
                <w:sz w:val="18"/>
                <w:szCs w:val="18"/>
              </w:rPr>
              <w:t>4-48</w:t>
            </w:r>
          </w:p>
        </w:tc>
      </w:tr>
      <w:tr w:rsidR="006567EB" w:rsidRPr="00C2170F" w14:paraId="0DD02A7D" w14:textId="77777777" w:rsidTr="00831F3E">
        <w:tc>
          <w:tcPr>
            <w:tcW w:w="883" w:type="pct"/>
          </w:tcPr>
          <w:p w14:paraId="32B7AAC4" w14:textId="77777777" w:rsidR="006567EB" w:rsidRPr="00C73B1D" w:rsidRDefault="006567EB" w:rsidP="00DC3C5B">
            <w:pPr>
              <w:autoSpaceDE w:val="0"/>
              <w:autoSpaceDN w:val="0"/>
              <w:adjustRightInd w:val="0"/>
              <w:rPr>
                <w:rFonts w:eastAsia="Times New Roman"/>
                <w:sz w:val="18"/>
                <w:szCs w:val="18"/>
              </w:rPr>
            </w:pPr>
            <w:r w:rsidRPr="00C73B1D">
              <w:rPr>
                <w:rFonts w:eastAsia="Times New Roman"/>
                <w:sz w:val="18"/>
                <w:szCs w:val="18"/>
              </w:rPr>
              <w:t>SD 4.2(j)</w:t>
            </w:r>
          </w:p>
        </w:tc>
        <w:tc>
          <w:tcPr>
            <w:tcW w:w="3530" w:type="pct"/>
          </w:tcPr>
          <w:p w14:paraId="4B1EE730" w14:textId="77777777" w:rsidR="006567EB" w:rsidRPr="00C73B1D" w:rsidRDefault="006567EB" w:rsidP="00DC3C5B">
            <w:pPr>
              <w:autoSpaceDE w:val="0"/>
              <w:autoSpaceDN w:val="0"/>
              <w:adjustRightInd w:val="0"/>
              <w:rPr>
                <w:rFonts w:eastAsia="Times New Roman"/>
                <w:sz w:val="18"/>
                <w:szCs w:val="18"/>
              </w:rPr>
            </w:pPr>
            <w:r w:rsidRPr="00C73B1D">
              <w:rPr>
                <w:rFonts w:eastAsia="Times New Roman"/>
                <w:sz w:val="18"/>
                <w:szCs w:val="18"/>
              </w:rPr>
              <w:t>Sign-off requirements</w:t>
            </w:r>
          </w:p>
        </w:tc>
        <w:tc>
          <w:tcPr>
            <w:tcW w:w="587" w:type="pct"/>
          </w:tcPr>
          <w:p w14:paraId="7B97E8F0" w14:textId="7E68F0B0" w:rsidR="006567EB" w:rsidRPr="00831F3E" w:rsidRDefault="001E18B9" w:rsidP="00DC3C5B">
            <w:pPr>
              <w:autoSpaceDE w:val="0"/>
              <w:autoSpaceDN w:val="0"/>
              <w:adjustRightInd w:val="0"/>
              <w:rPr>
                <w:rFonts w:eastAsia="Times New Roman"/>
                <w:sz w:val="18"/>
                <w:szCs w:val="18"/>
              </w:rPr>
            </w:pPr>
            <w:r>
              <w:rPr>
                <w:rFonts w:eastAsia="Times New Roman"/>
                <w:sz w:val="18"/>
                <w:szCs w:val="18"/>
              </w:rPr>
              <w:t>4</w:t>
            </w:r>
          </w:p>
        </w:tc>
      </w:tr>
      <w:tr w:rsidR="006567EB" w:rsidRPr="00C2170F" w14:paraId="7E01BEE4" w14:textId="77777777" w:rsidTr="00665FC9">
        <w:tc>
          <w:tcPr>
            <w:tcW w:w="5000" w:type="pct"/>
            <w:gridSpan w:val="3"/>
          </w:tcPr>
          <w:p w14:paraId="05FAB516" w14:textId="2EF491FB" w:rsidR="006567EB" w:rsidRPr="00831F3E" w:rsidRDefault="006567EB" w:rsidP="00DC3C5B">
            <w:pPr>
              <w:autoSpaceDE w:val="0"/>
              <w:autoSpaceDN w:val="0"/>
              <w:adjustRightInd w:val="0"/>
              <w:rPr>
                <w:rFonts w:eastAsia="Times New Roman"/>
                <w:b/>
                <w:sz w:val="18"/>
                <w:szCs w:val="18"/>
              </w:rPr>
            </w:pPr>
            <w:r w:rsidRPr="00831F3E">
              <w:rPr>
                <w:rFonts w:eastAsia="Times New Roman"/>
                <w:b/>
                <w:sz w:val="18"/>
                <w:szCs w:val="18"/>
              </w:rPr>
              <w:t>Financial statements required under Part 7 of the FMA</w:t>
            </w:r>
          </w:p>
        </w:tc>
      </w:tr>
      <w:tr w:rsidR="006567EB" w:rsidRPr="00C2170F" w14:paraId="224777CF" w14:textId="77777777" w:rsidTr="00831F3E">
        <w:tc>
          <w:tcPr>
            <w:tcW w:w="883" w:type="pct"/>
          </w:tcPr>
          <w:p w14:paraId="24052FFC" w14:textId="77777777" w:rsidR="006567EB" w:rsidRPr="00C73B1D" w:rsidRDefault="006567EB" w:rsidP="00DC3C5B">
            <w:pPr>
              <w:autoSpaceDE w:val="0"/>
              <w:autoSpaceDN w:val="0"/>
              <w:adjustRightInd w:val="0"/>
              <w:rPr>
                <w:rFonts w:eastAsia="Times New Roman"/>
                <w:sz w:val="18"/>
                <w:szCs w:val="18"/>
              </w:rPr>
            </w:pPr>
            <w:r w:rsidRPr="00C73B1D">
              <w:rPr>
                <w:rFonts w:eastAsia="Times New Roman"/>
                <w:sz w:val="18"/>
                <w:szCs w:val="18"/>
              </w:rPr>
              <w:t>SD 4.2(a)</w:t>
            </w:r>
          </w:p>
        </w:tc>
        <w:tc>
          <w:tcPr>
            <w:tcW w:w="3530" w:type="pct"/>
          </w:tcPr>
          <w:p w14:paraId="760E9376" w14:textId="77777777" w:rsidR="006567EB" w:rsidRPr="00C73B1D" w:rsidRDefault="006567EB" w:rsidP="00DC3C5B">
            <w:pPr>
              <w:autoSpaceDE w:val="0"/>
              <w:autoSpaceDN w:val="0"/>
              <w:adjustRightInd w:val="0"/>
              <w:rPr>
                <w:rFonts w:eastAsia="Times New Roman"/>
                <w:sz w:val="18"/>
                <w:szCs w:val="18"/>
              </w:rPr>
            </w:pPr>
            <w:r w:rsidRPr="00C73B1D">
              <w:rPr>
                <w:rFonts w:eastAsia="Times New Roman"/>
                <w:sz w:val="18"/>
                <w:szCs w:val="18"/>
              </w:rPr>
              <w:t>Statement of changes in equity</w:t>
            </w:r>
          </w:p>
        </w:tc>
        <w:tc>
          <w:tcPr>
            <w:tcW w:w="587" w:type="pct"/>
          </w:tcPr>
          <w:p w14:paraId="283C098F" w14:textId="0E2325A8" w:rsidR="006567EB" w:rsidRPr="00831F3E" w:rsidRDefault="006567EB" w:rsidP="00DC3C5B">
            <w:pPr>
              <w:autoSpaceDE w:val="0"/>
              <w:autoSpaceDN w:val="0"/>
              <w:adjustRightInd w:val="0"/>
              <w:rPr>
                <w:rFonts w:eastAsia="Times New Roman"/>
                <w:sz w:val="18"/>
                <w:szCs w:val="18"/>
              </w:rPr>
            </w:pPr>
          </w:p>
        </w:tc>
      </w:tr>
      <w:tr w:rsidR="006567EB" w:rsidRPr="00C2170F" w14:paraId="14B7F64C" w14:textId="77777777" w:rsidTr="00831F3E">
        <w:tc>
          <w:tcPr>
            <w:tcW w:w="883" w:type="pct"/>
          </w:tcPr>
          <w:p w14:paraId="2ACC1744" w14:textId="77777777" w:rsidR="006567EB" w:rsidRPr="00C73B1D" w:rsidRDefault="006567EB" w:rsidP="00DC3C5B">
            <w:pPr>
              <w:autoSpaceDE w:val="0"/>
              <w:autoSpaceDN w:val="0"/>
              <w:adjustRightInd w:val="0"/>
              <w:rPr>
                <w:rFonts w:eastAsia="Times New Roman"/>
                <w:sz w:val="18"/>
                <w:szCs w:val="18"/>
              </w:rPr>
            </w:pPr>
            <w:r w:rsidRPr="00C73B1D">
              <w:rPr>
                <w:rFonts w:eastAsia="Times New Roman"/>
                <w:sz w:val="18"/>
                <w:szCs w:val="18"/>
              </w:rPr>
              <w:t>SD 4.2(b)</w:t>
            </w:r>
          </w:p>
        </w:tc>
        <w:tc>
          <w:tcPr>
            <w:tcW w:w="3530" w:type="pct"/>
          </w:tcPr>
          <w:p w14:paraId="72A56816" w14:textId="77777777" w:rsidR="006567EB" w:rsidRPr="00C73B1D" w:rsidRDefault="006567EB" w:rsidP="00DC3C5B">
            <w:pPr>
              <w:autoSpaceDE w:val="0"/>
              <w:autoSpaceDN w:val="0"/>
              <w:adjustRightInd w:val="0"/>
              <w:rPr>
                <w:rFonts w:eastAsia="Times New Roman"/>
                <w:sz w:val="18"/>
                <w:szCs w:val="18"/>
              </w:rPr>
            </w:pPr>
            <w:r w:rsidRPr="00C73B1D">
              <w:rPr>
                <w:rFonts w:eastAsia="Times New Roman"/>
                <w:sz w:val="18"/>
                <w:szCs w:val="18"/>
              </w:rPr>
              <w:t>Operating statement</w:t>
            </w:r>
          </w:p>
        </w:tc>
        <w:tc>
          <w:tcPr>
            <w:tcW w:w="587" w:type="pct"/>
          </w:tcPr>
          <w:p w14:paraId="4E9712C5" w14:textId="756847D7" w:rsidR="006567EB" w:rsidRPr="00831F3E" w:rsidRDefault="006567EB" w:rsidP="00DC3C5B">
            <w:pPr>
              <w:autoSpaceDE w:val="0"/>
              <w:autoSpaceDN w:val="0"/>
              <w:adjustRightInd w:val="0"/>
              <w:rPr>
                <w:rFonts w:eastAsia="Times New Roman"/>
                <w:sz w:val="18"/>
                <w:szCs w:val="18"/>
              </w:rPr>
            </w:pPr>
          </w:p>
        </w:tc>
      </w:tr>
      <w:tr w:rsidR="006567EB" w:rsidRPr="00C2170F" w14:paraId="1E7647F2" w14:textId="77777777" w:rsidTr="00831F3E">
        <w:tc>
          <w:tcPr>
            <w:tcW w:w="883" w:type="pct"/>
          </w:tcPr>
          <w:p w14:paraId="70707635" w14:textId="77777777" w:rsidR="006567EB" w:rsidRPr="00C73B1D" w:rsidRDefault="006567EB" w:rsidP="00DC3C5B">
            <w:pPr>
              <w:autoSpaceDE w:val="0"/>
              <w:autoSpaceDN w:val="0"/>
              <w:adjustRightInd w:val="0"/>
              <w:rPr>
                <w:rFonts w:eastAsia="Times New Roman"/>
                <w:sz w:val="18"/>
                <w:szCs w:val="18"/>
              </w:rPr>
            </w:pPr>
            <w:r w:rsidRPr="00C73B1D">
              <w:rPr>
                <w:rFonts w:eastAsia="Times New Roman"/>
                <w:sz w:val="18"/>
                <w:szCs w:val="18"/>
              </w:rPr>
              <w:t>SD 4.2(b)</w:t>
            </w:r>
          </w:p>
        </w:tc>
        <w:tc>
          <w:tcPr>
            <w:tcW w:w="3530" w:type="pct"/>
          </w:tcPr>
          <w:p w14:paraId="2573BCBA" w14:textId="77777777" w:rsidR="006567EB" w:rsidRPr="00C73B1D" w:rsidRDefault="006567EB" w:rsidP="00DC3C5B">
            <w:pPr>
              <w:autoSpaceDE w:val="0"/>
              <w:autoSpaceDN w:val="0"/>
              <w:adjustRightInd w:val="0"/>
              <w:rPr>
                <w:rFonts w:eastAsia="Times New Roman"/>
                <w:sz w:val="18"/>
                <w:szCs w:val="18"/>
              </w:rPr>
            </w:pPr>
            <w:r w:rsidRPr="00C73B1D">
              <w:rPr>
                <w:rFonts w:eastAsia="Times New Roman"/>
                <w:sz w:val="18"/>
                <w:szCs w:val="18"/>
              </w:rPr>
              <w:t>Balance sheet</w:t>
            </w:r>
          </w:p>
        </w:tc>
        <w:tc>
          <w:tcPr>
            <w:tcW w:w="587" w:type="pct"/>
          </w:tcPr>
          <w:p w14:paraId="641BED95" w14:textId="3C98EA95" w:rsidR="006567EB" w:rsidRPr="00831F3E" w:rsidRDefault="006567EB" w:rsidP="00DC3C5B">
            <w:pPr>
              <w:autoSpaceDE w:val="0"/>
              <w:autoSpaceDN w:val="0"/>
              <w:adjustRightInd w:val="0"/>
              <w:rPr>
                <w:rFonts w:eastAsia="Times New Roman"/>
                <w:sz w:val="18"/>
                <w:szCs w:val="18"/>
              </w:rPr>
            </w:pPr>
          </w:p>
        </w:tc>
      </w:tr>
      <w:tr w:rsidR="006567EB" w:rsidRPr="00C2170F" w14:paraId="069CF70B" w14:textId="77777777" w:rsidTr="00831F3E">
        <w:tc>
          <w:tcPr>
            <w:tcW w:w="883" w:type="pct"/>
          </w:tcPr>
          <w:p w14:paraId="3AB2C816" w14:textId="77777777" w:rsidR="006567EB" w:rsidRPr="00C73B1D" w:rsidRDefault="006567EB" w:rsidP="00DC3C5B">
            <w:pPr>
              <w:autoSpaceDE w:val="0"/>
              <w:autoSpaceDN w:val="0"/>
              <w:adjustRightInd w:val="0"/>
              <w:rPr>
                <w:rFonts w:eastAsia="Times New Roman"/>
                <w:sz w:val="18"/>
                <w:szCs w:val="18"/>
              </w:rPr>
            </w:pPr>
            <w:r w:rsidRPr="00C73B1D">
              <w:rPr>
                <w:rFonts w:eastAsia="Times New Roman"/>
                <w:sz w:val="18"/>
                <w:szCs w:val="18"/>
              </w:rPr>
              <w:t>SD 4.2(b)</w:t>
            </w:r>
          </w:p>
        </w:tc>
        <w:tc>
          <w:tcPr>
            <w:tcW w:w="3530" w:type="pct"/>
          </w:tcPr>
          <w:p w14:paraId="77B2BE2B" w14:textId="77777777" w:rsidR="006567EB" w:rsidRPr="00C73B1D" w:rsidRDefault="006567EB" w:rsidP="00DC3C5B">
            <w:pPr>
              <w:autoSpaceDE w:val="0"/>
              <w:autoSpaceDN w:val="0"/>
              <w:adjustRightInd w:val="0"/>
              <w:rPr>
                <w:rFonts w:eastAsia="Times New Roman"/>
                <w:sz w:val="18"/>
                <w:szCs w:val="18"/>
              </w:rPr>
            </w:pPr>
            <w:r w:rsidRPr="00C73B1D">
              <w:rPr>
                <w:rFonts w:eastAsia="Times New Roman"/>
                <w:sz w:val="18"/>
                <w:szCs w:val="18"/>
              </w:rPr>
              <w:t>Cash flow statement</w:t>
            </w:r>
          </w:p>
        </w:tc>
        <w:tc>
          <w:tcPr>
            <w:tcW w:w="587" w:type="pct"/>
          </w:tcPr>
          <w:p w14:paraId="1F367115" w14:textId="516C2A1F" w:rsidR="006567EB" w:rsidRPr="00831F3E" w:rsidRDefault="006567EB" w:rsidP="00DC3C5B">
            <w:pPr>
              <w:autoSpaceDE w:val="0"/>
              <w:autoSpaceDN w:val="0"/>
              <w:adjustRightInd w:val="0"/>
              <w:rPr>
                <w:rFonts w:eastAsia="Times New Roman"/>
                <w:sz w:val="18"/>
                <w:szCs w:val="18"/>
              </w:rPr>
            </w:pPr>
          </w:p>
        </w:tc>
      </w:tr>
      <w:tr w:rsidR="006567EB" w:rsidRPr="00C2170F" w14:paraId="6C35A25C" w14:textId="77777777" w:rsidTr="00665FC9">
        <w:tc>
          <w:tcPr>
            <w:tcW w:w="5000" w:type="pct"/>
            <w:gridSpan w:val="3"/>
          </w:tcPr>
          <w:p w14:paraId="4EBE0E41" w14:textId="77777777" w:rsidR="006567EB" w:rsidRPr="00831F3E" w:rsidRDefault="006567EB" w:rsidP="00DC3C5B">
            <w:pPr>
              <w:autoSpaceDE w:val="0"/>
              <w:autoSpaceDN w:val="0"/>
              <w:adjustRightInd w:val="0"/>
              <w:rPr>
                <w:rFonts w:eastAsia="Times New Roman"/>
                <w:b/>
                <w:sz w:val="18"/>
                <w:szCs w:val="18"/>
              </w:rPr>
            </w:pPr>
            <w:r w:rsidRPr="00831F3E">
              <w:rPr>
                <w:rFonts w:eastAsia="Times New Roman"/>
                <w:b/>
                <w:sz w:val="18"/>
                <w:szCs w:val="18"/>
              </w:rPr>
              <w:t>Other requirements under Standing Directions 4.2</w:t>
            </w:r>
          </w:p>
        </w:tc>
      </w:tr>
      <w:tr w:rsidR="006567EB" w:rsidRPr="00C2170F" w14:paraId="6100E792" w14:textId="77777777" w:rsidTr="00831F3E">
        <w:tc>
          <w:tcPr>
            <w:tcW w:w="883" w:type="pct"/>
          </w:tcPr>
          <w:p w14:paraId="60A29FF3" w14:textId="77777777" w:rsidR="006567EB" w:rsidRPr="00C73B1D" w:rsidRDefault="006567EB" w:rsidP="00DC3C5B">
            <w:pPr>
              <w:autoSpaceDE w:val="0"/>
              <w:autoSpaceDN w:val="0"/>
              <w:adjustRightInd w:val="0"/>
              <w:rPr>
                <w:rFonts w:eastAsia="Times New Roman"/>
                <w:sz w:val="18"/>
                <w:szCs w:val="18"/>
              </w:rPr>
            </w:pPr>
            <w:r w:rsidRPr="00C73B1D">
              <w:rPr>
                <w:rFonts w:eastAsia="Times New Roman"/>
                <w:sz w:val="18"/>
                <w:szCs w:val="18"/>
              </w:rPr>
              <w:t>SD 4.2(c)</w:t>
            </w:r>
          </w:p>
        </w:tc>
        <w:tc>
          <w:tcPr>
            <w:tcW w:w="3530" w:type="pct"/>
          </w:tcPr>
          <w:p w14:paraId="59DF2948" w14:textId="77777777" w:rsidR="006567EB" w:rsidRPr="00C73B1D" w:rsidRDefault="006567EB" w:rsidP="00DC3C5B">
            <w:pPr>
              <w:autoSpaceDE w:val="0"/>
              <w:autoSpaceDN w:val="0"/>
              <w:adjustRightInd w:val="0"/>
              <w:rPr>
                <w:rFonts w:eastAsia="Times New Roman"/>
                <w:sz w:val="18"/>
                <w:szCs w:val="18"/>
              </w:rPr>
            </w:pPr>
            <w:r w:rsidRPr="00C73B1D">
              <w:rPr>
                <w:rFonts w:eastAsia="Times New Roman"/>
                <w:sz w:val="18"/>
                <w:szCs w:val="18"/>
              </w:rPr>
              <w:t>Compliance with Australian accounting standards and other authoritative pronouncements</w:t>
            </w:r>
          </w:p>
        </w:tc>
        <w:tc>
          <w:tcPr>
            <w:tcW w:w="587" w:type="pct"/>
          </w:tcPr>
          <w:p w14:paraId="613FA099" w14:textId="3D98D8DA" w:rsidR="006567EB" w:rsidRPr="00831F3E" w:rsidRDefault="006567EB" w:rsidP="00DC3C5B">
            <w:pPr>
              <w:autoSpaceDE w:val="0"/>
              <w:autoSpaceDN w:val="0"/>
              <w:adjustRightInd w:val="0"/>
              <w:rPr>
                <w:rFonts w:eastAsia="Times New Roman"/>
                <w:sz w:val="18"/>
                <w:szCs w:val="18"/>
              </w:rPr>
            </w:pPr>
          </w:p>
        </w:tc>
      </w:tr>
      <w:tr w:rsidR="006567EB" w:rsidRPr="00C2170F" w14:paraId="7FF2407A" w14:textId="77777777" w:rsidTr="00831F3E">
        <w:tc>
          <w:tcPr>
            <w:tcW w:w="883" w:type="pct"/>
          </w:tcPr>
          <w:p w14:paraId="7AC0ABA5" w14:textId="77777777" w:rsidR="006567EB" w:rsidRPr="00C73B1D" w:rsidRDefault="006567EB" w:rsidP="00DC3C5B">
            <w:pPr>
              <w:autoSpaceDE w:val="0"/>
              <w:autoSpaceDN w:val="0"/>
              <w:adjustRightInd w:val="0"/>
              <w:rPr>
                <w:rFonts w:eastAsia="Times New Roman"/>
                <w:sz w:val="18"/>
                <w:szCs w:val="18"/>
              </w:rPr>
            </w:pPr>
            <w:r w:rsidRPr="00C73B1D">
              <w:rPr>
                <w:rFonts w:eastAsia="Times New Roman"/>
                <w:sz w:val="18"/>
                <w:szCs w:val="18"/>
              </w:rPr>
              <w:t xml:space="preserve">SD 4.2(c)  </w:t>
            </w:r>
          </w:p>
        </w:tc>
        <w:tc>
          <w:tcPr>
            <w:tcW w:w="3530" w:type="pct"/>
          </w:tcPr>
          <w:p w14:paraId="4C85D074" w14:textId="77777777" w:rsidR="006567EB" w:rsidRPr="00C73B1D" w:rsidRDefault="006567EB" w:rsidP="00DC3C5B">
            <w:pPr>
              <w:autoSpaceDE w:val="0"/>
              <w:autoSpaceDN w:val="0"/>
              <w:adjustRightInd w:val="0"/>
              <w:rPr>
                <w:rFonts w:eastAsia="Times New Roman"/>
                <w:sz w:val="18"/>
                <w:szCs w:val="18"/>
              </w:rPr>
            </w:pPr>
            <w:r w:rsidRPr="00C73B1D">
              <w:rPr>
                <w:rFonts w:eastAsia="Times New Roman"/>
                <w:sz w:val="18"/>
                <w:szCs w:val="18"/>
              </w:rPr>
              <w:t>Compliance with Ministerial Directions</w:t>
            </w:r>
          </w:p>
        </w:tc>
        <w:tc>
          <w:tcPr>
            <w:tcW w:w="587" w:type="pct"/>
          </w:tcPr>
          <w:p w14:paraId="449AC131" w14:textId="2BC40B1F" w:rsidR="006567EB" w:rsidRPr="00831F3E" w:rsidRDefault="006567EB" w:rsidP="00DC3C5B">
            <w:pPr>
              <w:autoSpaceDE w:val="0"/>
              <w:autoSpaceDN w:val="0"/>
              <w:adjustRightInd w:val="0"/>
              <w:rPr>
                <w:rFonts w:eastAsia="Times New Roman"/>
                <w:sz w:val="18"/>
                <w:szCs w:val="18"/>
              </w:rPr>
            </w:pPr>
          </w:p>
        </w:tc>
      </w:tr>
      <w:tr w:rsidR="006567EB" w:rsidRPr="00C2170F" w14:paraId="22D1E7BE" w14:textId="77777777" w:rsidTr="00831F3E">
        <w:tc>
          <w:tcPr>
            <w:tcW w:w="883" w:type="pct"/>
          </w:tcPr>
          <w:p w14:paraId="0BA073B2" w14:textId="77777777" w:rsidR="006567EB" w:rsidRPr="00C73B1D" w:rsidRDefault="006567EB" w:rsidP="00DC3C5B">
            <w:pPr>
              <w:autoSpaceDE w:val="0"/>
              <w:autoSpaceDN w:val="0"/>
              <w:adjustRightInd w:val="0"/>
              <w:rPr>
                <w:rFonts w:eastAsia="Times New Roman"/>
                <w:sz w:val="18"/>
                <w:szCs w:val="18"/>
              </w:rPr>
            </w:pPr>
            <w:r w:rsidRPr="00C73B1D">
              <w:rPr>
                <w:rFonts w:eastAsia="Times New Roman"/>
                <w:sz w:val="18"/>
                <w:szCs w:val="18"/>
              </w:rPr>
              <w:t>SD 4.2(d)</w:t>
            </w:r>
          </w:p>
        </w:tc>
        <w:tc>
          <w:tcPr>
            <w:tcW w:w="3530" w:type="pct"/>
          </w:tcPr>
          <w:p w14:paraId="25833262" w14:textId="77777777" w:rsidR="006567EB" w:rsidRPr="00C73B1D" w:rsidRDefault="006567EB" w:rsidP="00DC3C5B">
            <w:pPr>
              <w:autoSpaceDE w:val="0"/>
              <w:autoSpaceDN w:val="0"/>
              <w:adjustRightInd w:val="0"/>
              <w:rPr>
                <w:rFonts w:eastAsia="Times New Roman"/>
                <w:sz w:val="18"/>
                <w:szCs w:val="18"/>
              </w:rPr>
            </w:pPr>
            <w:r w:rsidRPr="00C73B1D">
              <w:rPr>
                <w:rFonts w:eastAsia="Times New Roman"/>
                <w:sz w:val="18"/>
                <w:szCs w:val="18"/>
              </w:rPr>
              <w:t>Rounding of amounts</w:t>
            </w:r>
          </w:p>
        </w:tc>
        <w:tc>
          <w:tcPr>
            <w:tcW w:w="587" w:type="pct"/>
          </w:tcPr>
          <w:p w14:paraId="35308E5A" w14:textId="1AEB7BA1" w:rsidR="006567EB" w:rsidRPr="00831F3E" w:rsidRDefault="006567EB" w:rsidP="00DC3C5B">
            <w:pPr>
              <w:autoSpaceDE w:val="0"/>
              <w:autoSpaceDN w:val="0"/>
              <w:adjustRightInd w:val="0"/>
              <w:rPr>
                <w:rFonts w:eastAsia="Times New Roman"/>
                <w:sz w:val="18"/>
                <w:szCs w:val="18"/>
              </w:rPr>
            </w:pPr>
          </w:p>
        </w:tc>
      </w:tr>
      <w:tr w:rsidR="006567EB" w:rsidRPr="00C2170F" w14:paraId="094BB1EF" w14:textId="77777777" w:rsidTr="00831F3E">
        <w:tc>
          <w:tcPr>
            <w:tcW w:w="883" w:type="pct"/>
          </w:tcPr>
          <w:p w14:paraId="69B41DB7" w14:textId="77777777" w:rsidR="006567EB" w:rsidRPr="00C73B1D" w:rsidRDefault="006567EB" w:rsidP="00DC3C5B">
            <w:pPr>
              <w:autoSpaceDE w:val="0"/>
              <w:autoSpaceDN w:val="0"/>
              <w:adjustRightInd w:val="0"/>
              <w:rPr>
                <w:rFonts w:eastAsia="Times New Roman"/>
                <w:sz w:val="18"/>
                <w:szCs w:val="18"/>
              </w:rPr>
            </w:pPr>
            <w:r w:rsidRPr="00C73B1D">
              <w:rPr>
                <w:rFonts w:eastAsia="Times New Roman"/>
                <w:sz w:val="18"/>
                <w:szCs w:val="18"/>
              </w:rPr>
              <w:t>SD 4.2(c)</w:t>
            </w:r>
          </w:p>
        </w:tc>
        <w:tc>
          <w:tcPr>
            <w:tcW w:w="3530" w:type="pct"/>
          </w:tcPr>
          <w:p w14:paraId="3DE4F070" w14:textId="77777777" w:rsidR="006567EB" w:rsidRPr="00C73B1D" w:rsidRDefault="006567EB" w:rsidP="00DC3C5B">
            <w:pPr>
              <w:autoSpaceDE w:val="0"/>
              <w:autoSpaceDN w:val="0"/>
              <w:adjustRightInd w:val="0"/>
              <w:rPr>
                <w:rFonts w:eastAsia="Times New Roman"/>
                <w:sz w:val="18"/>
                <w:szCs w:val="18"/>
              </w:rPr>
            </w:pPr>
            <w:r w:rsidRPr="00C73B1D">
              <w:rPr>
                <w:rFonts w:eastAsia="Times New Roman"/>
                <w:sz w:val="18"/>
                <w:szCs w:val="18"/>
              </w:rPr>
              <w:t xml:space="preserve">Accountable officer’s declaration </w:t>
            </w:r>
          </w:p>
        </w:tc>
        <w:tc>
          <w:tcPr>
            <w:tcW w:w="587" w:type="pct"/>
          </w:tcPr>
          <w:p w14:paraId="12E8D54D" w14:textId="56F2A162" w:rsidR="006567EB" w:rsidRPr="00831F3E" w:rsidRDefault="006567EB" w:rsidP="00DC3C5B">
            <w:pPr>
              <w:autoSpaceDE w:val="0"/>
              <w:autoSpaceDN w:val="0"/>
              <w:adjustRightInd w:val="0"/>
              <w:rPr>
                <w:rFonts w:eastAsia="Times New Roman"/>
                <w:sz w:val="18"/>
                <w:szCs w:val="18"/>
              </w:rPr>
            </w:pPr>
          </w:p>
        </w:tc>
      </w:tr>
      <w:tr w:rsidR="006567EB" w:rsidRPr="00C2170F" w14:paraId="2F0BAB86" w14:textId="77777777" w:rsidTr="00831F3E">
        <w:tc>
          <w:tcPr>
            <w:tcW w:w="883" w:type="pct"/>
          </w:tcPr>
          <w:p w14:paraId="37F5D1D3" w14:textId="77777777" w:rsidR="006567EB" w:rsidRPr="00C73B1D" w:rsidRDefault="006567EB" w:rsidP="00DC3C5B">
            <w:pPr>
              <w:autoSpaceDE w:val="0"/>
              <w:autoSpaceDN w:val="0"/>
              <w:adjustRightInd w:val="0"/>
              <w:rPr>
                <w:rFonts w:eastAsia="Times New Roman"/>
                <w:sz w:val="18"/>
                <w:szCs w:val="18"/>
              </w:rPr>
            </w:pPr>
            <w:r w:rsidRPr="00C73B1D">
              <w:rPr>
                <w:rFonts w:eastAsia="Times New Roman"/>
                <w:sz w:val="18"/>
                <w:szCs w:val="18"/>
              </w:rPr>
              <w:t>SD 4.2(f)</w:t>
            </w:r>
          </w:p>
        </w:tc>
        <w:tc>
          <w:tcPr>
            <w:tcW w:w="3530" w:type="pct"/>
          </w:tcPr>
          <w:p w14:paraId="6C7F67BD" w14:textId="77777777" w:rsidR="006567EB" w:rsidRPr="00C73B1D" w:rsidRDefault="006567EB" w:rsidP="00DC3C5B">
            <w:pPr>
              <w:autoSpaceDE w:val="0"/>
              <w:autoSpaceDN w:val="0"/>
              <w:adjustRightInd w:val="0"/>
              <w:rPr>
                <w:rFonts w:eastAsia="Times New Roman"/>
                <w:sz w:val="18"/>
                <w:szCs w:val="18"/>
              </w:rPr>
            </w:pPr>
            <w:r w:rsidRPr="00C73B1D">
              <w:rPr>
                <w:rFonts w:eastAsia="Times New Roman"/>
                <w:sz w:val="18"/>
                <w:szCs w:val="18"/>
              </w:rPr>
              <w:t>Compliance with Model Financial Report</w:t>
            </w:r>
          </w:p>
        </w:tc>
        <w:tc>
          <w:tcPr>
            <w:tcW w:w="587" w:type="pct"/>
          </w:tcPr>
          <w:p w14:paraId="6EBBA090" w14:textId="35261AE6" w:rsidR="006567EB" w:rsidRPr="00831F3E" w:rsidRDefault="006567EB" w:rsidP="00DC3C5B">
            <w:pPr>
              <w:autoSpaceDE w:val="0"/>
              <w:autoSpaceDN w:val="0"/>
              <w:adjustRightInd w:val="0"/>
              <w:rPr>
                <w:rFonts w:eastAsia="Times New Roman"/>
                <w:sz w:val="18"/>
                <w:szCs w:val="18"/>
              </w:rPr>
            </w:pPr>
          </w:p>
        </w:tc>
      </w:tr>
      <w:tr w:rsidR="006567EB" w:rsidRPr="00C2170F" w14:paraId="7BC7F981" w14:textId="77777777" w:rsidTr="00665FC9">
        <w:tc>
          <w:tcPr>
            <w:tcW w:w="5000" w:type="pct"/>
            <w:gridSpan w:val="3"/>
          </w:tcPr>
          <w:p w14:paraId="6DC00D37" w14:textId="77777777" w:rsidR="006567EB" w:rsidRPr="00831F3E" w:rsidRDefault="006567EB" w:rsidP="00DC3C5B">
            <w:pPr>
              <w:autoSpaceDE w:val="0"/>
              <w:autoSpaceDN w:val="0"/>
              <w:adjustRightInd w:val="0"/>
              <w:rPr>
                <w:rFonts w:eastAsia="Times New Roman"/>
                <w:b/>
                <w:sz w:val="18"/>
                <w:szCs w:val="18"/>
              </w:rPr>
            </w:pPr>
            <w:r w:rsidRPr="00831F3E">
              <w:rPr>
                <w:rFonts w:eastAsia="Times New Roman"/>
                <w:b/>
                <w:sz w:val="18"/>
                <w:szCs w:val="18"/>
              </w:rPr>
              <w:t>Other disclosures as required by FRDs in notes to the financial statements</w:t>
            </w:r>
          </w:p>
        </w:tc>
      </w:tr>
      <w:tr w:rsidR="006567EB" w:rsidRPr="00C2170F" w14:paraId="4AC223CE" w14:textId="77777777" w:rsidTr="00831F3E">
        <w:tc>
          <w:tcPr>
            <w:tcW w:w="883" w:type="pct"/>
          </w:tcPr>
          <w:p w14:paraId="41BBB3E3" w14:textId="77777777" w:rsidR="006567EB" w:rsidRPr="00C73B1D" w:rsidRDefault="006567EB" w:rsidP="00DC3C5B">
            <w:pPr>
              <w:autoSpaceDE w:val="0"/>
              <w:autoSpaceDN w:val="0"/>
              <w:adjustRightInd w:val="0"/>
              <w:rPr>
                <w:rFonts w:eastAsia="Times New Roman"/>
                <w:sz w:val="18"/>
                <w:szCs w:val="18"/>
              </w:rPr>
            </w:pPr>
            <w:r w:rsidRPr="00C73B1D">
              <w:rPr>
                <w:rFonts w:eastAsia="Times New Roman"/>
                <w:sz w:val="18"/>
                <w:szCs w:val="18"/>
              </w:rPr>
              <w:t>FRD 9A</w:t>
            </w:r>
          </w:p>
        </w:tc>
        <w:tc>
          <w:tcPr>
            <w:tcW w:w="3530" w:type="pct"/>
          </w:tcPr>
          <w:p w14:paraId="58F0E634" w14:textId="77777777" w:rsidR="006567EB" w:rsidRPr="00C73B1D" w:rsidRDefault="006567EB" w:rsidP="00DC3C5B">
            <w:pPr>
              <w:autoSpaceDE w:val="0"/>
              <w:autoSpaceDN w:val="0"/>
              <w:adjustRightInd w:val="0"/>
              <w:rPr>
                <w:rFonts w:eastAsia="Times New Roman"/>
                <w:sz w:val="18"/>
                <w:szCs w:val="18"/>
              </w:rPr>
            </w:pPr>
            <w:r w:rsidRPr="00C73B1D">
              <w:rPr>
                <w:rFonts w:eastAsia="Times New Roman"/>
                <w:sz w:val="18"/>
                <w:szCs w:val="18"/>
              </w:rPr>
              <w:t xml:space="preserve">Departmental disclosure of administered assets and liabilities by activity </w:t>
            </w:r>
          </w:p>
        </w:tc>
        <w:tc>
          <w:tcPr>
            <w:tcW w:w="587" w:type="pct"/>
          </w:tcPr>
          <w:p w14:paraId="2CBC3175" w14:textId="11E2AB6B" w:rsidR="006567EB" w:rsidRPr="00831F3E" w:rsidRDefault="006567EB" w:rsidP="00DC3C5B">
            <w:pPr>
              <w:autoSpaceDE w:val="0"/>
              <w:autoSpaceDN w:val="0"/>
              <w:adjustRightInd w:val="0"/>
              <w:rPr>
                <w:rFonts w:eastAsia="Times New Roman"/>
                <w:sz w:val="18"/>
                <w:szCs w:val="18"/>
              </w:rPr>
            </w:pPr>
          </w:p>
        </w:tc>
      </w:tr>
      <w:tr w:rsidR="006567EB" w:rsidRPr="00C2170F" w14:paraId="2427CEB8" w14:textId="77777777" w:rsidTr="00831F3E">
        <w:tc>
          <w:tcPr>
            <w:tcW w:w="883" w:type="pct"/>
          </w:tcPr>
          <w:p w14:paraId="14E4688F" w14:textId="77777777" w:rsidR="006567EB" w:rsidRPr="00C73B1D" w:rsidRDefault="006567EB" w:rsidP="00DC3C5B">
            <w:pPr>
              <w:autoSpaceDE w:val="0"/>
              <w:autoSpaceDN w:val="0"/>
              <w:adjustRightInd w:val="0"/>
              <w:rPr>
                <w:rFonts w:eastAsia="Times New Roman"/>
                <w:sz w:val="18"/>
                <w:szCs w:val="18"/>
              </w:rPr>
            </w:pPr>
            <w:r w:rsidRPr="00C73B1D">
              <w:rPr>
                <w:rFonts w:eastAsia="Times New Roman"/>
                <w:sz w:val="18"/>
                <w:szCs w:val="18"/>
              </w:rPr>
              <w:t xml:space="preserve">FRD 11A  </w:t>
            </w:r>
          </w:p>
        </w:tc>
        <w:tc>
          <w:tcPr>
            <w:tcW w:w="3530" w:type="pct"/>
          </w:tcPr>
          <w:p w14:paraId="198BFDCF" w14:textId="77777777" w:rsidR="006567EB" w:rsidRPr="00C73B1D" w:rsidRDefault="006567EB" w:rsidP="00DC3C5B">
            <w:pPr>
              <w:autoSpaceDE w:val="0"/>
              <w:autoSpaceDN w:val="0"/>
              <w:adjustRightInd w:val="0"/>
              <w:rPr>
                <w:rFonts w:eastAsia="Times New Roman"/>
                <w:sz w:val="18"/>
                <w:szCs w:val="18"/>
              </w:rPr>
            </w:pPr>
            <w:r w:rsidRPr="00C73B1D">
              <w:rPr>
                <w:rFonts w:eastAsia="Times New Roman"/>
                <w:sz w:val="18"/>
                <w:szCs w:val="18"/>
              </w:rPr>
              <w:t>Disclosure of ex-gratia expenses</w:t>
            </w:r>
          </w:p>
        </w:tc>
        <w:tc>
          <w:tcPr>
            <w:tcW w:w="587" w:type="pct"/>
          </w:tcPr>
          <w:p w14:paraId="2A94A918" w14:textId="547EF4C2" w:rsidR="006567EB" w:rsidRPr="00831F3E" w:rsidRDefault="00CA4530" w:rsidP="00DC3C5B">
            <w:pPr>
              <w:autoSpaceDE w:val="0"/>
              <w:autoSpaceDN w:val="0"/>
              <w:adjustRightInd w:val="0"/>
              <w:rPr>
                <w:rFonts w:eastAsia="Times New Roman"/>
                <w:sz w:val="18"/>
                <w:szCs w:val="18"/>
              </w:rPr>
            </w:pPr>
            <w:r>
              <w:rPr>
                <w:rFonts w:eastAsia="Times New Roman"/>
                <w:sz w:val="18"/>
                <w:szCs w:val="18"/>
              </w:rPr>
              <w:t>NA</w:t>
            </w:r>
          </w:p>
        </w:tc>
      </w:tr>
      <w:tr w:rsidR="006567EB" w:rsidRPr="00C2170F" w14:paraId="3FD28E0D" w14:textId="77777777" w:rsidTr="00831F3E">
        <w:tc>
          <w:tcPr>
            <w:tcW w:w="883" w:type="pct"/>
          </w:tcPr>
          <w:p w14:paraId="263229E2" w14:textId="77777777" w:rsidR="006567EB" w:rsidRPr="00C73B1D" w:rsidRDefault="006567EB" w:rsidP="00DC3C5B">
            <w:pPr>
              <w:autoSpaceDE w:val="0"/>
              <w:autoSpaceDN w:val="0"/>
              <w:adjustRightInd w:val="0"/>
              <w:rPr>
                <w:rFonts w:eastAsia="Times New Roman"/>
                <w:sz w:val="18"/>
                <w:szCs w:val="18"/>
              </w:rPr>
            </w:pPr>
            <w:r w:rsidRPr="00C73B1D">
              <w:rPr>
                <w:rFonts w:eastAsia="Times New Roman"/>
                <w:sz w:val="18"/>
                <w:szCs w:val="18"/>
              </w:rPr>
              <w:t xml:space="preserve">FRD 13  </w:t>
            </w:r>
          </w:p>
        </w:tc>
        <w:tc>
          <w:tcPr>
            <w:tcW w:w="3530" w:type="pct"/>
          </w:tcPr>
          <w:p w14:paraId="6D7D900D" w14:textId="77777777" w:rsidR="006567EB" w:rsidRPr="00C73B1D" w:rsidRDefault="006567EB" w:rsidP="00DC3C5B">
            <w:pPr>
              <w:autoSpaceDE w:val="0"/>
              <w:autoSpaceDN w:val="0"/>
              <w:adjustRightInd w:val="0"/>
              <w:rPr>
                <w:rFonts w:eastAsia="Times New Roman"/>
                <w:sz w:val="18"/>
                <w:szCs w:val="18"/>
              </w:rPr>
            </w:pPr>
            <w:r w:rsidRPr="00C73B1D">
              <w:rPr>
                <w:rFonts w:eastAsia="Times New Roman"/>
                <w:sz w:val="18"/>
                <w:szCs w:val="18"/>
              </w:rPr>
              <w:t>Disclosure of parliamentary appropriations</w:t>
            </w:r>
          </w:p>
        </w:tc>
        <w:tc>
          <w:tcPr>
            <w:tcW w:w="587" w:type="pct"/>
          </w:tcPr>
          <w:p w14:paraId="050C3178" w14:textId="3FD6F4BF" w:rsidR="006567EB" w:rsidRPr="00831F3E" w:rsidRDefault="006567EB" w:rsidP="00DC3C5B">
            <w:pPr>
              <w:autoSpaceDE w:val="0"/>
              <w:autoSpaceDN w:val="0"/>
              <w:adjustRightInd w:val="0"/>
              <w:rPr>
                <w:rFonts w:eastAsia="Times New Roman"/>
                <w:sz w:val="18"/>
                <w:szCs w:val="18"/>
              </w:rPr>
            </w:pPr>
          </w:p>
        </w:tc>
      </w:tr>
      <w:tr w:rsidR="006567EB" w:rsidRPr="00C2170F" w14:paraId="5D20BFF3" w14:textId="77777777" w:rsidTr="00831F3E">
        <w:tc>
          <w:tcPr>
            <w:tcW w:w="883" w:type="pct"/>
          </w:tcPr>
          <w:p w14:paraId="0BA0712D" w14:textId="77777777" w:rsidR="006567EB" w:rsidRPr="00C73B1D" w:rsidRDefault="006567EB" w:rsidP="00DC3C5B">
            <w:pPr>
              <w:autoSpaceDE w:val="0"/>
              <w:autoSpaceDN w:val="0"/>
              <w:adjustRightInd w:val="0"/>
              <w:rPr>
                <w:rFonts w:eastAsia="Times New Roman"/>
                <w:sz w:val="18"/>
                <w:szCs w:val="18"/>
              </w:rPr>
            </w:pPr>
            <w:r w:rsidRPr="00C73B1D">
              <w:rPr>
                <w:rFonts w:eastAsia="Times New Roman"/>
                <w:sz w:val="18"/>
                <w:szCs w:val="18"/>
              </w:rPr>
              <w:t>FRD 21B</w:t>
            </w:r>
          </w:p>
        </w:tc>
        <w:tc>
          <w:tcPr>
            <w:tcW w:w="3530" w:type="pct"/>
          </w:tcPr>
          <w:p w14:paraId="252286C5" w14:textId="77777777" w:rsidR="006567EB" w:rsidRPr="00C73B1D" w:rsidRDefault="006567EB" w:rsidP="00DC3C5B">
            <w:pPr>
              <w:autoSpaceDE w:val="0"/>
              <w:autoSpaceDN w:val="0"/>
              <w:adjustRightInd w:val="0"/>
              <w:rPr>
                <w:rFonts w:eastAsia="Times New Roman"/>
                <w:sz w:val="18"/>
                <w:szCs w:val="18"/>
              </w:rPr>
            </w:pPr>
            <w:r w:rsidRPr="00C73B1D">
              <w:rPr>
                <w:rFonts w:eastAsia="Times New Roman"/>
                <w:sz w:val="18"/>
                <w:szCs w:val="18"/>
              </w:rPr>
              <w:t>Disclosures of responsible persons, executive officers and other personnel (contractors with significant management responsibilities) in the Financial Report</w:t>
            </w:r>
          </w:p>
        </w:tc>
        <w:tc>
          <w:tcPr>
            <w:tcW w:w="587" w:type="pct"/>
          </w:tcPr>
          <w:p w14:paraId="3898E89E" w14:textId="34782B2A" w:rsidR="006567EB" w:rsidRPr="00831F3E" w:rsidRDefault="006567EB" w:rsidP="00DC3C5B">
            <w:pPr>
              <w:autoSpaceDE w:val="0"/>
              <w:autoSpaceDN w:val="0"/>
              <w:adjustRightInd w:val="0"/>
              <w:rPr>
                <w:rFonts w:eastAsia="Times New Roman"/>
                <w:sz w:val="18"/>
                <w:szCs w:val="18"/>
              </w:rPr>
            </w:pPr>
          </w:p>
        </w:tc>
      </w:tr>
      <w:tr w:rsidR="006567EB" w:rsidRPr="00C2170F" w14:paraId="33B67308" w14:textId="77777777" w:rsidTr="00831F3E">
        <w:tc>
          <w:tcPr>
            <w:tcW w:w="883" w:type="pct"/>
          </w:tcPr>
          <w:p w14:paraId="53E54B90" w14:textId="77777777" w:rsidR="006567EB" w:rsidRPr="00C73B1D" w:rsidRDefault="006567EB" w:rsidP="00DC3C5B">
            <w:pPr>
              <w:autoSpaceDE w:val="0"/>
              <w:autoSpaceDN w:val="0"/>
              <w:adjustRightInd w:val="0"/>
              <w:rPr>
                <w:rFonts w:eastAsia="Times New Roman"/>
                <w:sz w:val="18"/>
                <w:szCs w:val="18"/>
              </w:rPr>
            </w:pPr>
            <w:r w:rsidRPr="00C73B1D">
              <w:rPr>
                <w:rFonts w:eastAsia="Times New Roman"/>
                <w:sz w:val="18"/>
                <w:szCs w:val="18"/>
              </w:rPr>
              <w:t>FRD 103F</w:t>
            </w:r>
          </w:p>
        </w:tc>
        <w:tc>
          <w:tcPr>
            <w:tcW w:w="3530" w:type="pct"/>
          </w:tcPr>
          <w:p w14:paraId="1E90B5B2" w14:textId="77777777" w:rsidR="006567EB" w:rsidRPr="00C73B1D" w:rsidRDefault="006567EB" w:rsidP="00DC3C5B">
            <w:pPr>
              <w:autoSpaceDE w:val="0"/>
              <w:autoSpaceDN w:val="0"/>
              <w:adjustRightInd w:val="0"/>
              <w:rPr>
                <w:rFonts w:eastAsia="Times New Roman"/>
                <w:sz w:val="18"/>
                <w:szCs w:val="18"/>
              </w:rPr>
            </w:pPr>
            <w:r w:rsidRPr="00C73B1D">
              <w:rPr>
                <w:rFonts w:eastAsia="Times New Roman"/>
                <w:sz w:val="18"/>
                <w:szCs w:val="18"/>
              </w:rPr>
              <w:t xml:space="preserve">Non-financial physical assets </w:t>
            </w:r>
          </w:p>
        </w:tc>
        <w:tc>
          <w:tcPr>
            <w:tcW w:w="587" w:type="pct"/>
          </w:tcPr>
          <w:p w14:paraId="30973419" w14:textId="45264114" w:rsidR="006567EB" w:rsidRPr="00831F3E" w:rsidRDefault="006567EB" w:rsidP="00DC3C5B">
            <w:pPr>
              <w:autoSpaceDE w:val="0"/>
              <w:autoSpaceDN w:val="0"/>
              <w:adjustRightInd w:val="0"/>
              <w:rPr>
                <w:rFonts w:eastAsia="Times New Roman"/>
                <w:sz w:val="18"/>
                <w:szCs w:val="18"/>
              </w:rPr>
            </w:pPr>
          </w:p>
        </w:tc>
      </w:tr>
      <w:tr w:rsidR="006567EB" w:rsidRPr="00C2170F" w14:paraId="0795A6E3" w14:textId="77777777" w:rsidTr="00831F3E">
        <w:tc>
          <w:tcPr>
            <w:tcW w:w="883" w:type="pct"/>
          </w:tcPr>
          <w:p w14:paraId="6148D0D9" w14:textId="76854CEF" w:rsidR="006567EB" w:rsidRPr="00C73B1D" w:rsidRDefault="006567EB" w:rsidP="00DC3C5B">
            <w:pPr>
              <w:autoSpaceDE w:val="0"/>
              <w:autoSpaceDN w:val="0"/>
              <w:adjustRightInd w:val="0"/>
              <w:rPr>
                <w:rFonts w:eastAsia="Times New Roman"/>
                <w:sz w:val="18"/>
                <w:szCs w:val="18"/>
              </w:rPr>
            </w:pPr>
            <w:r w:rsidRPr="00C73B1D">
              <w:rPr>
                <w:rFonts w:eastAsia="Times New Roman"/>
                <w:sz w:val="18"/>
                <w:szCs w:val="18"/>
              </w:rPr>
              <w:t>FRD 109</w:t>
            </w:r>
            <w:r w:rsidR="00BC4A64">
              <w:rPr>
                <w:rFonts w:eastAsia="Times New Roman"/>
                <w:sz w:val="18"/>
                <w:szCs w:val="18"/>
              </w:rPr>
              <w:t>A</w:t>
            </w:r>
          </w:p>
        </w:tc>
        <w:tc>
          <w:tcPr>
            <w:tcW w:w="3530" w:type="pct"/>
          </w:tcPr>
          <w:p w14:paraId="4180FFD4" w14:textId="77777777" w:rsidR="006567EB" w:rsidRPr="00C73B1D" w:rsidRDefault="006567EB" w:rsidP="00DC3C5B">
            <w:pPr>
              <w:autoSpaceDE w:val="0"/>
              <w:autoSpaceDN w:val="0"/>
              <w:adjustRightInd w:val="0"/>
              <w:rPr>
                <w:rFonts w:eastAsia="Times New Roman"/>
                <w:sz w:val="18"/>
                <w:szCs w:val="18"/>
              </w:rPr>
            </w:pPr>
            <w:r w:rsidRPr="00C73B1D">
              <w:rPr>
                <w:rFonts w:eastAsia="Times New Roman"/>
                <w:sz w:val="18"/>
                <w:szCs w:val="18"/>
              </w:rPr>
              <w:t>Intangible assets</w:t>
            </w:r>
          </w:p>
        </w:tc>
        <w:tc>
          <w:tcPr>
            <w:tcW w:w="587" w:type="pct"/>
          </w:tcPr>
          <w:p w14:paraId="0CE3508B" w14:textId="679B6372" w:rsidR="006567EB" w:rsidRPr="00831F3E" w:rsidRDefault="006567EB" w:rsidP="00DC3C5B">
            <w:pPr>
              <w:autoSpaceDE w:val="0"/>
              <w:autoSpaceDN w:val="0"/>
              <w:adjustRightInd w:val="0"/>
              <w:rPr>
                <w:rFonts w:eastAsia="Times New Roman"/>
                <w:sz w:val="18"/>
                <w:szCs w:val="18"/>
              </w:rPr>
            </w:pPr>
          </w:p>
        </w:tc>
      </w:tr>
      <w:tr w:rsidR="006567EB" w:rsidRPr="00C2170F" w14:paraId="46677BAF" w14:textId="77777777" w:rsidTr="00831F3E">
        <w:tc>
          <w:tcPr>
            <w:tcW w:w="883" w:type="pct"/>
          </w:tcPr>
          <w:p w14:paraId="0A3084E9" w14:textId="67F60775" w:rsidR="006567EB" w:rsidRPr="00C73B1D" w:rsidRDefault="006567EB" w:rsidP="00DC3C5B">
            <w:pPr>
              <w:autoSpaceDE w:val="0"/>
              <w:autoSpaceDN w:val="0"/>
              <w:adjustRightInd w:val="0"/>
              <w:rPr>
                <w:rFonts w:eastAsia="Times New Roman"/>
                <w:sz w:val="18"/>
                <w:szCs w:val="18"/>
              </w:rPr>
            </w:pPr>
            <w:r w:rsidRPr="00C73B1D">
              <w:rPr>
                <w:rFonts w:eastAsia="Times New Roman"/>
                <w:sz w:val="18"/>
                <w:szCs w:val="18"/>
              </w:rPr>
              <w:t>FRD 110</w:t>
            </w:r>
            <w:r w:rsidR="00BC4A64">
              <w:rPr>
                <w:rFonts w:eastAsia="Times New Roman"/>
                <w:sz w:val="18"/>
                <w:szCs w:val="18"/>
              </w:rPr>
              <w:t>A</w:t>
            </w:r>
          </w:p>
        </w:tc>
        <w:tc>
          <w:tcPr>
            <w:tcW w:w="3530" w:type="pct"/>
          </w:tcPr>
          <w:p w14:paraId="02678E61" w14:textId="77777777" w:rsidR="006567EB" w:rsidRPr="00C73B1D" w:rsidRDefault="006567EB" w:rsidP="00DC3C5B">
            <w:pPr>
              <w:autoSpaceDE w:val="0"/>
              <w:autoSpaceDN w:val="0"/>
              <w:adjustRightInd w:val="0"/>
              <w:rPr>
                <w:rFonts w:eastAsia="Times New Roman"/>
                <w:sz w:val="18"/>
                <w:szCs w:val="18"/>
              </w:rPr>
            </w:pPr>
            <w:r w:rsidRPr="00C73B1D">
              <w:rPr>
                <w:rFonts w:eastAsia="Times New Roman"/>
                <w:sz w:val="18"/>
                <w:szCs w:val="18"/>
              </w:rPr>
              <w:t>Cash flow statements</w:t>
            </w:r>
          </w:p>
        </w:tc>
        <w:tc>
          <w:tcPr>
            <w:tcW w:w="587" w:type="pct"/>
          </w:tcPr>
          <w:p w14:paraId="59CDC766" w14:textId="4F430725" w:rsidR="006567EB" w:rsidRPr="00831F3E" w:rsidRDefault="006567EB" w:rsidP="00DC3C5B">
            <w:pPr>
              <w:autoSpaceDE w:val="0"/>
              <w:autoSpaceDN w:val="0"/>
              <w:adjustRightInd w:val="0"/>
              <w:rPr>
                <w:rFonts w:eastAsia="Times New Roman"/>
                <w:sz w:val="18"/>
                <w:szCs w:val="18"/>
              </w:rPr>
            </w:pPr>
          </w:p>
        </w:tc>
      </w:tr>
      <w:tr w:rsidR="006567EB" w:rsidRPr="00C2170F" w14:paraId="173B23CD" w14:textId="77777777" w:rsidTr="00831F3E">
        <w:tc>
          <w:tcPr>
            <w:tcW w:w="883" w:type="pct"/>
          </w:tcPr>
          <w:p w14:paraId="0B00BB13" w14:textId="77777777" w:rsidR="006567EB" w:rsidRPr="00C73B1D" w:rsidRDefault="006567EB" w:rsidP="00DC3C5B">
            <w:pPr>
              <w:autoSpaceDE w:val="0"/>
              <w:autoSpaceDN w:val="0"/>
              <w:adjustRightInd w:val="0"/>
              <w:rPr>
                <w:rFonts w:eastAsia="Times New Roman"/>
                <w:sz w:val="18"/>
                <w:szCs w:val="18"/>
              </w:rPr>
            </w:pPr>
            <w:r w:rsidRPr="00C73B1D">
              <w:rPr>
                <w:rFonts w:eastAsia="Times New Roman"/>
                <w:sz w:val="18"/>
                <w:szCs w:val="18"/>
              </w:rPr>
              <w:t>FRD 112D</w:t>
            </w:r>
          </w:p>
        </w:tc>
        <w:tc>
          <w:tcPr>
            <w:tcW w:w="3530" w:type="pct"/>
          </w:tcPr>
          <w:p w14:paraId="36157ADB" w14:textId="77777777" w:rsidR="006567EB" w:rsidRPr="00C73B1D" w:rsidRDefault="006567EB" w:rsidP="00DC3C5B">
            <w:pPr>
              <w:autoSpaceDE w:val="0"/>
              <w:autoSpaceDN w:val="0"/>
              <w:adjustRightInd w:val="0"/>
              <w:rPr>
                <w:rFonts w:eastAsia="Times New Roman"/>
                <w:sz w:val="18"/>
                <w:szCs w:val="18"/>
              </w:rPr>
            </w:pPr>
            <w:r w:rsidRPr="00C73B1D">
              <w:rPr>
                <w:rFonts w:eastAsia="Times New Roman"/>
                <w:sz w:val="18"/>
                <w:szCs w:val="18"/>
              </w:rPr>
              <w:t>Defined benefit superannuation obligations</w:t>
            </w:r>
          </w:p>
        </w:tc>
        <w:tc>
          <w:tcPr>
            <w:tcW w:w="587" w:type="pct"/>
          </w:tcPr>
          <w:p w14:paraId="7116EAD0" w14:textId="1F07C3C1" w:rsidR="006567EB" w:rsidRPr="00831F3E" w:rsidRDefault="006567EB" w:rsidP="00F54CEE">
            <w:pPr>
              <w:autoSpaceDE w:val="0"/>
              <w:autoSpaceDN w:val="0"/>
              <w:adjustRightInd w:val="0"/>
              <w:rPr>
                <w:rFonts w:eastAsia="Times New Roman"/>
                <w:sz w:val="18"/>
                <w:szCs w:val="18"/>
              </w:rPr>
            </w:pPr>
          </w:p>
        </w:tc>
      </w:tr>
      <w:tr w:rsidR="006567EB" w:rsidRPr="00C2170F" w14:paraId="1280BACC" w14:textId="77777777" w:rsidTr="00831F3E">
        <w:tc>
          <w:tcPr>
            <w:tcW w:w="883" w:type="pct"/>
          </w:tcPr>
          <w:p w14:paraId="241D0F83" w14:textId="4435578E" w:rsidR="006567EB" w:rsidRPr="00C73B1D" w:rsidRDefault="006567EB" w:rsidP="00DC3C5B">
            <w:pPr>
              <w:autoSpaceDE w:val="0"/>
              <w:autoSpaceDN w:val="0"/>
              <w:adjustRightInd w:val="0"/>
              <w:rPr>
                <w:rFonts w:eastAsia="Times New Roman"/>
                <w:sz w:val="18"/>
                <w:szCs w:val="18"/>
              </w:rPr>
            </w:pPr>
            <w:r w:rsidRPr="00C73B1D">
              <w:rPr>
                <w:rFonts w:eastAsia="Times New Roman"/>
                <w:sz w:val="18"/>
                <w:szCs w:val="18"/>
              </w:rPr>
              <w:t>FRD 114</w:t>
            </w:r>
            <w:r w:rsidR="00BC4A64">
              <w:rPr>
                <w:rFonts w:eastAsia="Times New Roman"/>
                <w:sz w:val="18"/>
                <w:szCs w:val="18"/>
              </w:rPr>
              <w:t>B</w:t>
            </w:r>
          </w:p>
        </w:tc>
        <w:tc>
          <w:tcPr>
            <w:tcW w:w="3530" w:type="pct"/>
          </w:tcPr>
          <w:p w14:paraId="09E8DB8D" w14:textId="77777777" w:rsidR="006567EB" w:rsidRPr="00C73B1D" w:rsidRDefault="006567EB" w:rsidP="00DC3C5B">
            <w:pPr>
              <w:autoSpaceDE w:val="0"/>
              <w:autoSpaceDN w:val="0"/>
              <w:adjustRightInd w:val="0"/>
              <w:rPr>
                <w:rFonts w:eastAsia="Times New Roman"/>
                <w:sz w:val="18"/>
                <w:szCs w:val="18"/>
              </w:rPr>
            </w:pPr>
            <w:r w:rsidRPr="00C73B1D">
              <w:rPr>
                <w:rFonts w:eastAsia="Times New Roman"/>
                <w:sz w:val="18"/>
                <w:szCs w:val="18"/>
              </w:rPr>
              <w:t>Financial Instruments—general government entities and public non-financial corporations</w:t>
            </w:r>
          </w:p>
        </w:tc>
        <w:tc>
          <w:tcPr>
            <w:tcW w:w="587" w:type="pct"/>
          </w:tcPr>
          <w:p w14:paraId="453B6439" w14:textId="07ED971D" w:rsidR="006567EB" w:rsidRPr="00831F3E" w:rsidRDefault="006567EB" w:rsidP="00DC3C5B">
            <w:pPr>
              <w:autoSpaceDE w:val="0"/>
              <w:autoSpaceDN w:val="0"/>
              <w:adjustRightInd w:val="0"/>
              <w:rPr>
                <w:rFonts w:eastAsia="Times New Roman"/>
                <w:sz w:val="18"/>
                <w:szCs w:val="18"/>
              </w:rPr>
            </w:pPr>
          </w:p>
        </w:tc>
      </w:tr>
      <w:tr w:rsidR="006567EB" w:rsidRPr="00C2170F" w14:paraId="70CDA2C0" w14:textId="77777777" w:rsidTr="00665FC9">
        <w:tc>
          <w:tcPr>
            <w:tcW w:w="5000" w:type="pct"/>
            <w:gridSpan w:val="3"/>
            <w:shd w:val="clear" w:color="auto" w:fill="auto"/>
          </w:tcPr>
          <w:p w14:paraId="6B77DFB2" w14:textId="77777777" w:rsidR="006567EB" w:rsidRPr="00831F3E" w:rsidRDefault="006567EB" w:rsidP="00DC3C5B">
            <w:pPr>
              <w:rPr>
                <w:b/>
                <w:sz w:val="18"/>
                <w:szCs w:val="18"/>
                <w:lang w:eastAsia="en-US"/>
              </w:rPr>
            </w:pPr>
            <w:r w:rsidRPr="00831F3E">
              <w:rPr>
                <w:b/>
                <w:sz w:val="18"/>
                <w:szCs w:val="18"/>
                <w:lang w:eastAsia="en-US"/>
              </w:rPr>
              <w:t>LEGISLATION</w:t>
            </w:r>
          </w:p>
        </w:tc>
      </w:tr>
      <w:tr w:rsidR="006567EB" w:rsidRPr="00C2170F" w14:paraId="56692752" w14:textId="77777777" w:rsidTr="00665FC9">
        <w:tc>
          <w:tcPr>
            <w:tcW w:w="4413" w:type="pct"/>
            <w:gridSpan w:val="2"/>
          </w:tcPr>
          <w:p w14:paraId="1BE99FF4" w14:textId="77777777" w:rsidR="006567EB" w:rsidRPr="00C73B1D" w:rsidRDefault="006567EB" w:rsidP="00DC3C5B">
            <w:pPr>
              <w:autoSpaceDE w:val="0"/>
              <w:autoSpaceDN w:val="0"/>
              <w:adjustRightInd w:val="0"/>
              <w:rPr>
                <w:sz w:val="18"/>
                <w:szCs w:val="18"/>
              </w:rPr>
            </w:pPr>
            <w:r w:rsidRPr="00C60580">
              <w:rPr>
                <w:i/>
                <w:sz w:val="18"/>
                <w:szCs w:val="18"/>
              </w:rPr>
              <w:t>Freedom of Information Act 1982</w:t>
            </w:r>
            <w:r w:rsidRPr="00C73B1D">
              <w:rPr>
                <w:sz w:val="18"/>
                <w:szCs w:val="18"/>
              </w:rPr>
              <w:t xml:space="preserve"> (Vic)</w:t>
            </w:r>
          </w:p>
        </w:tc>
        <w:tc>
          <w:tcPr>
            <w:tcW w:w="587" w:type="pct"/>
          </w:tcPr>
          <w:p w14:paraId="6CAA2563" w14:textId="180F7F74" w:rsidR="006567EB" w:rsidRPr="00831F3E" w:rsidRDefault="00F54CEE" w:rsidP="001E18B9">
            <w:pPr>
              <w:autoSpaceDE w:val="0"/>
              <w:autoSpaceDN w:val="0"/>
              <w:adjustRightInd w:val="0"/>
              <w:rPr>
                <w:rFonts w:eastAsia="Times New Roman"/>
                <w:sz w:val="18"/>
                <w:szCs w:val="18"/>
              </w:rPr>
            </w:pPr>
            <w:r>
              <w:rPr>
                <w:rFonts w:eastAsia="Times New Roman"/>
                <w:sz w:val="18"/>
                <w:szCs w:val="18"/>
              </w:rPr>
              <w:t>4</w:t>
            </w:r>
            <w:r w:rsidR="001E18B9">
              <w:rPr>
                <w:rFonts w:eastAsia="Times New Roman"/>
                <w:sz w:val="18"/>
                <w:szCs w:val="18"/>
              </w:rPr>
              <w:t>0</w:t>
            </w:r>
          </w:p>
        </w:tc>
      </w:tr>
      <w:tr w:rsidR="006567EB" w:rsidRPr="00C2170F" w14:paraId="5521E50B" w14:textId="77777777" w:rsidTr="00665FC9">
        <w:tc>
          <w:tcPr>
            <w:tcW w:w="4413" w:type="pct"/>
            <w:gridSpan w:val="2"/>
          </w:tcPr>
          <w:p w14:paraId="1B166569" w14:textId="77777777" w:rsidR="006567EB" w:rsidRPr="00C73B1D" w:rsidRDefault="006567EB" w:rsidP="00DC3C5B">
            <w:pPr>
              <w:autoSpaceDE w:val="0"/>
              <w:autoSpaceDN w:val="0"/>
              <w:adjustRightInd w:val="0"/>
              <w:rPr>
                <w:sz w:val="18"/>
                <w:szCs w:val="18"/>
              </w:rPr>
            </w:pPr>
            <w:r w:rsidRPr="00C60580">
              <w:rPr>
                <w:i/>
                <w:sz w:val="18"/>
                <w:szCs w:val="18"/>
              </w:rPr>
              <w:t>Building Act 1993</w:t>
            </w:r>
            <w:r w:rsidRPr="00C73B1D">
              <w:rPr>
                <w:sz w:val="18"/>
                <w:szCs w:val="18"/>
              </w:rPr>
              <w:t xml:space="preserve"> (Vic)</w:t>
            </w:r>
          </w:p>
        </w:tc>
        <w:tc>
          <w:tcPr>
            <w:tcW w:w="587" w:type="pct"/>
          </w:tcPr>
          <w:p w14:paraId="453D20D8" w14:textId="05065594" w:rsidR="006567EB" w:rsidRPr="00831F3E" w:rsidRDefault="001E18B9" w:rsidP="00DC3C5B">
            <w:pPr>
              <w:autoSpaceDE w:val="0"/>
              <w:autoSpaceDN w:val="0"/>
              <w:adjustRightInd w:val="0"/>
              <w:rPr>
                <w:rFonts w:eastAsia="Times New Roman"/>
                <w:sz w:val="18"/>
                <w:szCs w:val="18"/>
              </w:rPr>
            </w:pPr>
            <w:r>
              <w:rPr>
                <w:rFonts w:eastAsia="Times New Roman"/>
                <w:sz w:val="18"/>
                <w:szCs w:val="18"/>
              </w:rPr>
              <w:t>42</w:t>
            </w:r>
          </w:p>
        </w:tc>
      </w:tr>
      <w:tr w:rsidR="006567EB" w:rsidRPr="00C2170F" w14:paraId="1E9E6F9E" w14:textId="77777777" w:rsidTr="00665FC9">
        <w:tc>
          <w:tcPr>
            <w:tcW w:w="4413" w:type="pct"/>
            <w:gridSpan w:val="2"/>
          </w:tcPr>
          <w:p w14:paraId="105CCA64" w14:textId="77777777" w:rsidR="006567EB" w:rsidRPr="00C73B1D" w:rsidRDefault="006567EB" w:rsidP="00DC3C5B">
            <w:pPr>
              <w:autoSpaceDE w:val="0"/>
              <w:autoSpaceDN w:val="0"/>
              <w:adjustRightInd w:val="0"/>
              <w:rPr>
                <w:sz w:val="18"/>
                <w:szCs w:val="18"/>
              </w:rPr>
            </w:pPr>
            <w:r w:rsidRPr="00C60580">
              <w:rPr>
                <w:i/>
                <w:sz w:val="18"/>
                <w:szCs w:val="18"/>
              </w:rPr>
              <w:t>Protected Disclosure Act 2012</w:t>
            </w:r>
            <w:r w:rsidRPr="00C73B1D">
              <w:rPr>
                <w:sz w:val="18"/>
                <w:szCs w:val="18"/>
              </w:rPr>
              <w:t xml:space="preserve"> (Vic)</w:t>
            </w:r>
          </w:p>
        </w:tc>
        <w:tc>
          <w:tcPr>
            <w:tcW w:w="587" w:type="pct"/>
          </w:tcPr>
          <w:p w14:paraId="52CD0750" w14:textId="2ED5EB34" w:rsidR="006567EB" w:rsidRPr="00831F3E" w:rsidRDefault="001E18B9" w:rsidP="00DC3C5B">
            <w:pPr>
              <w:autoSpaceDE w:val="0"/>
              <w:autoSpaceDN w:val="0"/>
              <w:adjustRightInd w:val="0"/>
              <w:rPr>
                <w:rFonts w:eastAsia="Times New Roman"/>
                <w:sz w:val="18"/>
                <w:szCs w:val="18"/>
              </w:rPr>
            </w:pPr>
            <w:r>
              <w:rPr>
                <w:rFonts w:eastAsia="Times New Roman"/>
                <w:sz w:val="18"/>
                <w:szCs w:val="18"/>
              </w:rPr>
              <w:t>42</w:t>
            </w:r>
          </w:p>
        </w:tc>
      </w:tr>
      <w:tr w:rsidR="006567EB" w:rsidRPr="00C2170F" w14:paraId="0CB3F239" w14:textId="77777777" w:rsidTr="00665FC9">
        <w:tc>
          <w:tcPr>
            <w:tcW w:w="4413" w:type="pct"/>
            <w:gridSpan w:val="2"/>
          </w:tcPr>
          <w:p w14:paraId="3F2CB4EC" w14:textId="7D48934D" w:rsidR="006567EB" w:rsidRPr="00C73B1D" w:rsidRDefault="006567EB" w:rsidP="00DC3C5B">
            <w:pPr>
              <w:autoSpaceDE w:val="0"/>
              <w:autoSpaceDN w:val="0"/>
              <w:adjustRightInd w:val="0"/>
              <w:rPr>
                <w:sz w:val="18"/>
                <w:szCs w:val="18"/>
              </w:rPr>
            </w:pPr>
            <w:r w:rsidRPr="00C60580">
              <w:rPr>
                <w:i/>
                <w:sz w:val="18"/>
                <w:szCs w:val="18"/>
              </w:rPr>
              <w:t>Care</w:t>
            </w:r>
            <w:r w:rsidR="00A80E01">
              <w:rPr>
                <w:i/>
                <w:sz w:val="18"/>
                <w:szCs w:val="18"/>
              </w:rPr>
              <w:t>r</w:t>
            </w:r>
            <w:r w:rsidRPr="00C60580">
              <w:rPr>
                <w:i/>
                <w:sz w:val="18"/>
                <w:szCs w:val="18"/>
              </w:rPr>
              <w:t>s Recognition Act 2012</w:t>
            </w:r>
            <w:r w:rsidRPr="00C73B1D">
              <w:rPr>
                <w:sz w:val="18"/>
                <w:szCs w:val="18"/>
              </w:rPr>
              <w:t xml:space="preserve"> (Vic)</w:t>
            </w:r>
          </w:p>
        </w:tc>
        <w:tc>
          <w:tcPr>
            <w:tcW w:w="587" w:type="pct"/>
          </w:tcPr>
          <w:p w14:paraId="3125A83D" w14:textId="0AA3180D" w:rsidR="006567EB" w:rsidRPr="00831F3E" w:rsidRDefault="001E18B9" w:rsidP="00DC3C5B">
            <w:pPr>
              <w:autoSpaceDE w:val="0"/>
              <w:autoSpaceDN w:val="0"/>
              <w:adjustRightInd w:val="0"/>
              <w:rPr>
                <w:rFonts w:eastAsia="Times New Roman"/>
                <w:sz w:val="18"/>
                <w:szCs w:val="18"/>
              </w:rPr>
            </w:pPr>
            <w:r>
              <w:rPr>
                <w:rFonts w:eastAsia="Times New Roman"/>
                <w:sz w:val="18"/>
                <w:szCs w:val="18"/>
              </w:rPr>
              <w:t>43</w:t>
            </w:r>
          </w:p>
        </w:tc>
      </w:tr>
      <w:tr w:rsidR="006567EB" w:rsidRPr="00C2170F" w14:paraId="45AEA425" w14:textId="77777777" w:rsidTr="00665FC9">
        <w:tc>
          <w:tcPr>
            <w:tcW w:w="4413" w:type="pct"/>
            <w:gridSpan w:val="2"/>
          </w:tcPr>
          <w:p w14:paraId="6E6021D0" w14:textId="77777777" w:rsidR="006567EB" w:rsidRPr="00C73B1D" w:rsidRDefault="006567EB" w:rsidP="00DC3C5B">
            <w:pPr>
              <w:autoSpaceDE w:val="0"/>
              <w:autoSpaceDN w:val="0"/>
              <w:adjustRightInd w:val="0"/>
              <w:rPr>
                <w:sz w:val="18"/>
                <w:szCs w:val="18"/>
              </w:rPr>
            </w:pPr>
            <w:r w:rsidRPr="00C60580">
              <w:rPr>
                <w:i/>
                <w:sz w:val="18"/>
                <w:szCs w:val="18"/>
              </w:rPr>
              <w:t>Victorian Industry Participation Policy Act 2003</w:t>
            </w:r>
            <w:r w:rsidRPr="00C73B1D">
              <w:rPr>
                <w:sz w:val="18"/>
                <w:szCs w:val="18"/>
              </w:rPr>
              <w:t xml:space="preserve"> (Vic)</w:t>
            </w:r>
          </w:p>
        </w:tc>
        <w:tc>
          <w:tcPr>
            <w:tcW w:w="587" w:type="pct"/>
          </w:tcPr>
          <w:p w14:paraId="78FE0FBC" w14:textId="45D68773" w:rsidR="006567EB" w:rsidRPr="00831F3E" w:rsidRDefault="001E18B9" w:rsidP="00DC3C5B">
            <w:pPr>
              <w:autoSpaceDE w:val="0"/>
              <w:autoSpaceDN w:val="0"/>
              <w:adjustRightInd w:val="0"/>
              <w:rPr>
                <w:rFonts w:eastAsia="Times New Roman"/>
                <w:sz w:val="18"/>
                <w:szCs w:val="18"/>
              </w:rPr>
            </w:pPr>
            <w:r>
              <w:rPr>
                <w:rFonts w:eastAsia="Times New Roman"/>
                <w:sz w:val="18"/>
                <w:szCs w:val="18"/>
              </w:rPr>
              <w:t>38</w:t>
            </w:r>
          </w:p>
        </w:tc>
      </w:tr>
      <w:tr w:rsidR="006567EB" w:rsidRPr="00C2170F" w14:paraId="50742F90" w14:textId="77777777" w:rsidTr="00665FC9">
        <w:tc>
          <w:tcPr>
            <w:tcW w:w="4413" w:type="pct"/>
            <w:gridSpan w:val="2"/>
          </w:tcPr>
          <w:p w14:paraId="57DBFB3A" w14:textId="77777777" w:rsidR="006567EB" w:rsidRPr="00C73B1D" w:rsidRDefault="006567EB" w:rsidP="00DC3C5B">
            <w:pPr>
              <w:autoSpaceDE w:val="0"/>
              <w:autoSpaceDN w:val="0"/>
              <w:adjustRightInd w:val="0"/>
              <w:rPr>
                <w:sz w:val="18"/>
                <w:szCs w:val="18"/>
              </w:rPr>
            </w:pPr>
            <w:r w:rsidRPr="00C60580">
              <w:rPr>
                <w:i/>
                <w:sz w:val="18"/>
                <w:szCs w:val="18"/>
              </w:rPr>
              <w:t>Financial Management Act 1994</w:t>
            </w:r>
            <w:r w:rsidRPr="00C73B1D">
              <w:rPr>
                <w:sz w:val="18"/>
                <w:szCs w:val="18"/>
              </w:rPr>
              <w:t xml:space="preserve"> (Vic)</w:t>
            </w:r>
          </w:p>
        </w:tc>
        <w:tc>
          <w:tcPr>
            <w:tcW w:w="587" w:type="pct"/>
          </w:tcPr>
          <w:p w14:paraId="2D41CD78" w14:textId="6876921D" w:rsidR="006567EB" w:rsidRPr="00831F3E" w:rsidRDefault="006567EB" w:rsidP="00DC3C5B">
            <w:pPr>
              <w:autoSpaceDE w:val="0"/>
              <w:autoSpaceDN w:val="0"/>
              <w:adjustRightInd w:val="0"/>
              <w:rPr>
                <w:rFonts w:eastAsia="Times New Roman"/>
                <w:sz w:val="18"/>
                <w:szCs w:val="18"/>
              </w:rPr>
            </w:pPr>
          </w:p>
        </w:tc>
      </w:tr>
      <w:tr w:rsidR="006567EB" w:rsidRPr="00C2170F" w14:paraId="5065683A" w14:textId="77777777" w:rsidTr="00665FC9">
        <w:tc>
          <w:tcPr>
            <w:tcW w:w="4413" w:type="pct"/>
            <w:gridSpan w:val="2"/>
            <w:tcBorders>
              <w:bottom w:val="single" w:sz="4" w:space="0" w:color="666366"/>
            </w:tcBorders>
          </w:tcPr>
          <w:p w14:paraId="14517F48" w14:textId="77777777" w:rsidR="006567EB" w:rsidRPr="00C73B1D" w:rsidRDefault="006567EB" w:rsidP="00DC3C5B">
            <w:pPr>
              <w:autoSpaceDE w:val="0"/>
              <w:autoSpaceDN w:val="0"/>
              <w:adjustRightInd w:val="0"/>
              <w:rPr>
                <w:sz w:val="18"/>
                <w:szCs w:val="18"/>
              </w:rPr>
            </w:pPr>
            <w:r w:rsidRPr="00C60580">
              <w:rPr>
                <w:i/>
                <w:sz w:val="18"/>
                <w:szCs w:val="18"/>
              </w:rPr>
              <w:t>Court Services Victoria Act 2014</w:t>
            </w:r>
            <w:r w:rsidRPr="00C73B1D">
              <w:rPr>
                <w:sz w:val="18"/>
                <w:szCs w:val="18"/>
              </w:rPr>
              <w:t xml:space="preserve"> (Vic)</w:t>
            </w:r>
          </w:p>
        </w:tc>
        <w:tc>
          <w:tcPr>
            <w:tcW w:w="587" w:type="pct"/>
            <w:tcBorders>
              <w:bottom w:val="single" w:sz="4" w:space="0" w:color="666366"/>
            </w:tcBorders>
          </w:tcPr>
          <w:p w14:paraId="158CAA13" w14:textId="5E36A8F4" w:rsidR="006567EB" w:rsidRPr="00831F3E" w:rsidRDefault="001E18B9" w:rsidP="00DC3C5B">
            <w:pPr>
              <w:autoSpaceDE w:val="0"/>
              <w:autoSpaceDN w:val="0"/>
              <w:adjustRightInd w:val="0"/>
              <w:rPr>
                <w:rFonts w:eastAsia="Times New Roman"/>
                <w:sz w:val="18"/>
                <w:szCs w:val="18"/>
              </w:rPr>
            </w:pPr>
            <w:r>
              <w:rPr>
                <w:rFonts w:eastAsia="Times New Roman"/>
                <w:sz w:val="18"/>
                <w:szCs w:val="18"/>
              </w:rPr>
              <w:t>31</w:t>
            </w:r>
          </w:p>
        </w:tc>
      </w:tr>
    </w:tbl>
    <w:p w14:paraId="5D5C644B" w14:textId="77777777" w:rsidR="006567EB" w:rsidRDefault="006567EB" w:rsidP="006567EB"/>
    <w:p w14:paraId="3C806850" w14:textId="77777777" w:rsidR="006567EB" w:rsidRDefault="006567EB" w:rsidP="006567EB"/>
    <w:p w14:paraId="5B7503E0" w14:textId="3DD4C01C" w:rsidR="006567EB" w:rsidRDefault="006567EB" w:rsidP="006567EB"/>
    <w:sectPr w:rsidR="006567EB" w:rsidSect="00E37E4C">
      <w:footerReference w:type="default" r:id="rId13"/>
      <w:pgSz w:w="11906" w:h="16838"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F4C8E7" w14:textId="77777777" w:rsidR="00F73D3B" w:rsidRDefault="00F73D3B" w:rsidP="0017170F">
      <w:r>
        <w:separator/>
      </w:r>
    </w:p>
  </w:endnote>
  <w:endnote w:type="continuationSeparator" w:id="0">
    <w:p w14:paraId="2E60D656" w14:textId="77777777" w:rsidR="00F73D3B" w:rsidRDefault="00F73D3B" w:rsidP="00171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1089049"/>
      <w:docPartObj>
        <w:docPartGallery w:val="Page Numbers (Bottom of Page)"/>
        <w:docPartUnique/>
      </w:docPartObj>
    </w:sdtPr>
    <w:sdtEndPr>
      <w:rPr>
        <w:noProof/>
      </w:rPr>
    </w:sdtEndPr>
    <w:sdtContent>
      <w:p w14:paraId="1EAAD005" w14:textId="5182DA56" w:rsidR="005562C5" w:rsidRDefault="005562C5">
        <w:pPr>
          <w:pStyle w:val="Footer"/>
          <w:jc w:val="right"/>
        </w:pPr>
        <w:r>
          <w:fldChar w:fldCharType="begin"/>
        </w:r>
        <w:r>
          <w:instrText xml:space="preserve"> PAGE   \* MERGEFORMAT </w:instrText>
        </w:r>
        <w:r>
          <w:fldChar w:fldCharType="separate"/>
        </w:r>
        <w:r w:rsidR="00EC488A">
          <w:rPr>
            <w:noProof/>
          </w:rPr>
          <w:t>4</w:t>
        </w:r>
        <w:r>
          <w:rPr>
            <w:noProof/>
          </w:rPr>
          <w:fldChar w:fldCharType="end"/>
        </w:r>
      </w:p>
    </w:sdtContent>
  </w:sdt>
  <w:p w14:paraId="1F972866" w14:textId="77777777" w:rsidR="00F73D3B" w:rsidRPr="005562C5" w:rsidRDefault="00F73D3B" w:rsidP="005562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B9D4F1" w14:textId="77777777" w:rsidR="00F73D3B" w:rsidRDefault="00F73D3B" w:rsidP="0017170F">
      <w:r>
        <w:separator/>
      </w:r>
    </w:p>
  </w:footnote>
  <w:footnote w:type="continuationSeparator" w:id="0">
    <w:p w14:paraId="601D4FF0" w14:textId="77777777" w:rsidR="00F73D3B" w:rsidRDefault="00F73D3B" w:rsidP="0017170F">
      <w:r>
        <w:continuationSeparator/>
      </w:r>
    </w:p>
  </w:footnote>
  <w:footnote w:id="1">
    <w:p w14:paraId="610B9235" w14:textId="77777777" w:rsidR="00F73D3B" w:rsidRPr="009D1967" w:rsidRDefault="00F73D3B" w:rsidP="00B832D2">
      <w:pPr>
        <w:pStyle w:val="FootnoteText"/>
      </w:pPr>
      <w:r>
        <w:rPr>
          <w:rStyle w:val="FootnoteReference"/>
        </w:rPr>
        <w:footnoteRef/>
      </w:r>
      <w:r>
        <w:t xml:space="preserve"> </w:t>
      </w:r>
      <w:r w:rsidRPr="009D1967">
        <w:t>This figure relates to actual revenue.</w:t>
      </w:r>
    </w:p>
  </w:footnote>
  <w:footnote w:id="2">
    <w:p w14:paraId="13F4DA31" w14:textId="77777777" w:rsidR="00F73D3B" w:rsidRPr="009D1967" w:rsidRDefault="00F73D3B" w:rsidP="00B832D2">
      <w:pPr>
        <w:pStyle w:val="FootnoteText"/>
      </w:pPr>
      <w:r>
        <w:rPr>
          <w:rStyle w:val="FootnoteReference"/>
        </w:rPr>
        <w:footnoteRef/>
      </w:r>
      <w:r>
        <w:t xml:space="preserve"> </w:t>
      </w:r>
      <w:r w:rsidRPr="009D1967">
        <w:t xml:space="preserve">Under section 29 of the </w:t>
      </w:r>
      <w:r w:rsidRPr="009D1967">
        <w:rPr>
          <w:i/>
        </w:rPr>
        <w:t>Financial Management Act 1994</w:t>
      </w:r>
      <w:r w:rsidRPr="009D1967">
        <w:t xml:space="preserve"> (VIC) which provides for the appropriation of certain revenues for relevant purposes.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E5C37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0F8C708"/>
    <w:lvl w:ilvl="0">
      <w:start w:val="1"/>
      <w:numFmt w:val="decimal"/>
      <w:pStyle w:val="ListNumber5"/>
      <w:lvlText w:val="%1."/>
      <w:lvlJc w:val="left"/>
      <w:pPr>
        <w:tabs>
          <w:tab w:val="num" w:pos="1492"/>
        </w:tabs>
        <w:ind w:left="1492" w:hanging="360"/>
      </w:pPr>
    </w:lvl>
  </w:abstractNum>
  <w:abstractNum w:abstractNumId="2">
    <w:nsid w:val="FFFFFF7D"/>
    <w:multiLevelType w:val="singleLevel"/>
    <w:tmpl w:val="8872F636"/>
    <w:lvl w:ilvl="0">
      <w:start w:val="1"/>
      <w:numFmt w:val="decimal"/>
      <w:pStyle w:val="ListNumber4"/>
      <w:lvlText w:val="%1."/>
      <w:lvlJc w:val="left"/>
      <w:pPr>
        <w:tabs>
          <w:tab w:val="num" w:pos="1209"/>
        </w:tabs>
        <w:ind w:left="1209" w:hanging="360"/>
      </w:pPr>
    </w:lvl>
  </w:abstractNum>
  <w:abstractNum w:abstractNumId="3">
    <w:nsid w:val="FFFFFF7E"/>
    <w:multiLevelType w:val="singleLevel"/>
    <w:tmpl w:val="60D07A8A"/>
    <w:lvl w:ilvl="0">
      <w:start w:val="1"/>
      <w:numFmt w:val="decimal"/>
      <w:pStyle w:val="ListNumber3"/>
      <w:lvlText w:val="%1."/>
      <w:lvlJc w:val="left"/>
      <w:pPr>
        <w:tabs>
          <w:tab w:val="num" w:pos="926"/>
        </w:tabs>
        <w:ind w:left="926" w:hanging="360"/>
      </w:pPr>
    </w:lvl>
  </w:abstractNum>
  <w:abstractNum w:abstractNumId="4">
    <w:nsid w:val="FFFFFF7F"/>
    <w:multiLevelType w:val="singleLevel"/>
    <w:tmpl w:val="CEEA6F14"/>
    <w:lvl w:ilvl="0">
      <w:start w:val="1"/>
      <w:numFmt w:val="decimal"/>
      <w:pStyle w:val="ListNumber2"/>
      <w:lvlText w:val="%1."/>
      <w:lvlJc w:val="left"/>
      <w:pPr>
        <w:tabs>
          <w:tab w:val="num" w:pos="643"/>
        </w:tabs>
        <w:ind w:left="643" w:hanging="360"/>
      </w:pPr>
    </w:lvl>
  </w:abstractNum>
  <w:abstractNum w:abstractNumId="5">
    <w:nsid w:val="FFFFFF80"/>
    <w:multiLevelType w:val="singleLevel"/>
    <w:tmpl w:val="9776187A"/>
    <w:lvl w:ilvl="0">
      <w:start w:val="1"/>
      <w:numFmt w:val="bullet"/>
      <w:pStyle w:val="ListBullet5"/>
      <w:lvlText w:val=""/>
      <w:lvlJc w:val="left"/>
      <w:pPr>
        <w:tabs>
          <w:tab w:val="num" w:pos="1492"/>
        </w:tabs>
        <w:ind w:left="1492" w:hanging="360"/>
      </w:pPr>
      <w:rPr>
        <w:rFonts w:ascii="Symbol" w:hAnsi="Symbol" w:hint="default"/>
      </w:rPr>
    </w:lvl>
  </w:abstractNum>
  <w:abstractNum w:abstractNumId="6">
    <w:nsid w:val="FFFFFF81"/>
    <w:multiLevelType w:val="singleLevel"/>
    <w:tmpl w:val="1AF6AE4C"/>
    <w:lvl w:ilvl="0">
      <w:start w:val="1"/>
      <w:numFmt w:val="bullet"/>
      <w:pStyle w:val="ListBullet4"/>
      <w:lvlText w:val=""/>
      <w:lvlJc w:val="left"/>
      <w:pPr>
        <w:tabs>
          <w:tab w:val="num" w:pos="1209"/>
        </w:tabs>
        <w:ind w:left="1209" w:hanging="360"/>
      </w:pPr>
      <w:rPr>
        <w:rFonts w:ascii="Symbol" w:hAnsi="Symbol" w:hint="default"/>
      </w:rPr>
    </w:lvl>
  </w:abstractNum>
  <w:abstractNum w:abstractNumId="7">
    <w:nsid w:val="FFFFFF82"/>
    <w:multiLevelType w:val="singleLevel"/>
    <w:tmpl w:val="2BBAF9B4"/>
    <w:lvl w:ilvl="0">
      <w:start w:val="1"/>
      <w:numFmt w:val="bullet"/>
      <w:pStyle w:val="ListBullet3"/>
      <w:lvlText w:val=""/>
      <w:lvlJc w:val="left"/>
      <w:pPr>
        <w:tabs>
          <w:tab w:val="num" w:pos="926"/>
        </w:tabs>
        <w:ind w:left="926" w:hanging="360"/>
      </w:pPr>
      <w:rPr>
        <w:rFonts w:ascii="Symbol" w:hAnsi="Symbol" w:hint="default"/>
      </w:rPr>
    </w:lvl>
  </w:abstractNum>
  <w:abstractNum w:abstractNumId="8">
    <w:nsid w:val="FFFFFF83"/>
    <w:multiLevelType w:val="singleLevel"/>
    <w:tmpl w:val="CCDEE150"/>
    <w:lvl w:ilvl="0">
      <w:start w:val="1"/>
      <w:numFmt w:val="bullet"/>
      <w:pStyle w:val="ListBullet2"/>
      <w:lvlText w:val=""/>
      <w:lvlJc w:val="left"/>
      <w:pPr>
        <w:tabs>
          <w:tab w:val="num" w:pos="643"/>
        </w:tabs>
        <w:ind w:left="643" w:hanging="360"/>
      </w:pPr>
      <w:rPr>
        <w:rFonts w:ascii="Symbol" w:hAnsi="Symbol" w:hint="default"/>
      </w:rPr>
    </w:lvl>
  </w:abstractNum>
  <w:abstractNum w:abstractNumId="9">
    <w:nsid w:val="FFFFFF88"/>
    <w:multiLevelType w:val="singleLevel"/>
    <w:tmpl w:val="9D0673C6"/>
    <w:lvl w:ilvl="0">
      <w:start w:val="1"/>
      <w:numFmt w:val="decimal"/>
      <w:pStyle w:val="ListNumber"/>
      <w:lvlText w:val="%1."/>
      <w:lvlJc w:val="left"/>
      <w:pPr>
        <w:tabs>
          <w:tab w:val="num" w:pos="360"/>
        </w:tabs>
        <w:ind w:left="360" w:hanging="360"/>
      </w:pPr>
    </w:lvl>
  </w:abstractNum>
  <w:abstractNum w:abstractNumId="10">
    <w:nsid w:val="FFFFFF89"/>
    <w:multiLevelType w:val="singleLevel"/>
    <w:tmpl w:val="B2A4F3F8"/>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134450E"/>
    <w:multiLevelType w:val="hybridMultilevel"/>
    <w:tmpl w:val="9FC82B3A"/>
    <w:lvl w:ilvl="0" w:tplc="04090017">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3197F7E"/>
    <w:multiLevelType w:val="hybridMultilevel"/>
    <w:tmpl w:val="9D82F34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nsid w:val="132640DA"/>
    <w:multiLevelType w:val="hybridMultilevel"/>
    <w:tmpl w:val="7826DA6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186464A1"/>
    <w:multiLevelType w:val="hybridMultilevel"/>
    <w:tmpl w:val="753612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DBA3031"/>
    <w:multiLevelType w:val="multilevel"/>
    <w:tmpl w:val="0C090023"/>
    <w:styleLink w:val="ArticleSection"/>
    <w:lvl w:ilvl="0">
      <w:start w:val="1"/>
      <w:numFmt w:val="upperRoman"/>
      <w:lvlText w:val="Article %1."/>
      <w:lvlJc w:val="left"/>
      <w:pPr>
        <w:ind w:left="0" w:firstLine="0"/>
      </w:pPr>
      <w:rPr>
        <w:rFonts w:ascii="Arial" w:hAnsi="Arial" w:cs="Arial"/>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6">
    <w:nsid w:val="1F0074F0"/>
    <w:multiLevelType w:val="hybridMultilevel"/>
    <w:tmpl w:val="C86EDB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1FB766ED"/>
    <w:multiLevelType w:val="hybridMultilevel"/>
    <w:tmpl w:val="C1F2DBC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nsid w:val="22BE1988"/>
    <w:multiLevelType w:val="multilevel"/>
    <w:tmpl w:val="1EC24F2E"/>
    <w:lvl w:ilvl="0">
      <w:start w:val="1"/>
      <w:numFmt w:val="decimal"/>
      <w:pStyle w:val="NumberList1"/>
      <w:lvlText w:val="%1."/>
      <w:lvlJc w:val="left"/>
      <w:pPr>
        <w:tabs>
          <w:tab w:val="num" w:pos="357"/>
        </w:tabs>
        <w:ind w:left="357" w:hanging="357"/>
      </w:pPr>
      <w:rPr>
        <w:rFonts w:ascii="Arial" w:hAnsi="Arial" w:cs="Times New Roman" w:hint="default"/>
        <w:b w:val="0"/>
        <w:i w:val="0"/>
      </w:rPr>
    </w:lvl>
    <w:lvl w:ilvl="1">
      <w:start w:val="1"/>
      <w:numFmt w:val="lowerLetter"/>
      <w:pStyle w:val="NumberList2"/>
      <w:lvlText w:val="%2)"/>
      <w:lvlJc w:val="left"/>
      <w:pPr>
        <w:tabs>
          <w:tab w:val="num" w:pos="714"/>
        </w:tabs>
        <w:ind w:left="714" w:hanging="357"/>
      </w:pPr>
      <w:rPr>
        <w:rFonts w:cs="Times New Roman" w:hint="default"/>
      </w:rPr>
    </w:lvl>
    <w:lvl w:ilvl="2">
      <w:start w:val="1"/>
      <w:numFmt w:val="lowerRoman"/>
      <w:pStyle w:val="NumberList3"/>
      <w:lvlText w:val="%3"/>
      <w:lvlJc w:val="left"/>
      <w:pPr>
        <w:tabs>
          <w:tab w:val="num" w:pos="1134"/>
        </w:tabs>
        <w:ind w:left="1134" w:hanging="397"/>
      </w:pPr>
      <w:rPr>
        <w:rFonts w:cs="Times New Roman" w:hint="default"/>
      </w:rPr>
    </w:lvl>
    <w:lvl w:ilvl="3">
      <w:start w:val="1"/>
      <w:numFmt w:val="upperLetter"/>
      <w:lvlText w:val="(%4)"/>
      <w:lvlJc w:val="left"/>
      <w:pPr>
        <w:tabs>
          <w:tab w:val="num" w:pos="3119"/>
        </w:tabs>
        <w:ind w:left="3119" w:hanging="567"/>
      </w:pPr>
      <w:rPr>
        <w:rFonts w:cs="Times New Roman" w:hint="default"/>
      </w:rPr>
    </w:lvl>
    <w:lvl w:ilvl="4">
      <w:start w:val="1"/>
      <w:numFmt w:val="upperRoman"/>
      <w:lvlText w:val="(%5)"/>
      <w:lvlJc w:val="left"/>
      <w:pPr>
        <w:tabs>
          <w:tab w:val="num" w:pos="4253"/>
        </w:tabs>
        <w:ind w:left="4253" w:hanging="851"/>
      </w:pPr>
      <w:rPr>
        <w:rFonts w:cs="Times New Roman" w:hint="default"/>
      </w:rPr>
    </w:lvl>
    <w:lvl w:ilvl="5">
      <w:start w:val="1"/>
      <w:numFmt w:val="lowerRoman"/>
      <w:lvlText w:val="(%6)"/>
      <w:lvlJc w:val="left"/>
      <w:pPr>
        <w:tabs>
          <w:tab w:val="num" w:pos="5103"/>
        </w:tabs>
        <w:ind w:left="5103" w:hanging="850"/>
      </w:pPr>
      <w:rPr>
        <w:rFonts w:cs="Times New Roman" w:hint="default"/>
      </w:rPr>
    </w:lvl>
    <w:lvl w:ilvl="6">
      <w:start w:val="1"/>
      <w:numFmt w:val="decimal"/>
      <w:lvlText w:val="%7)"/>
      <w:lvlJc w:val="left"/>
      <w:pPr>
        <w:tabs>
          <w:tab w:val="num" w:pos="5954"/>
        </w:tabs>
        <w:ind w:left="5954" w:hanging="851"/>
      </w:pPr>
      <w:rPr>
        <w:rFonts w:cs="Times New Roman" w:hint="default"/>
      </w:rPr>
    </w:lvl>
    <w:lvl w:ilvl="7">
      <w:start w:val="1"/>
      <w:numFmt w:val="none"/>
      <w:suff w:val="nothing"/>
      <w:lvlText w:val="%8"/>
      <w:lvlJc w:val="left"/>
      <w:rPr>
        <w:rFonts w:cs="Times New Roman" w:hint="default"/>
      </w:rPr>
    </w:lvl>
    <w:lvl w:ilvl="8">
      <w:start w:val="1"/>
      <w:numFmt w:val="none"/>
      <w:suff w:val="nothing"/>
      <w:lvlText w:val="%9"/>
      <w:lvlJc w:val="left"/>
      <w:rPr>
        <w:rFonts w:cs="Times New Roman" w:hint="default"/>
      </w:rPr>
    </w:lvl>
  </w:abstractNum>
  <w:abstractNum w:abstractNumId="19">
    <w:nsid w:val="28521A80"/>
    <w:multiLevelType w:val="multilevel"/>
    <w:tmpl w:val="0C09001F"/>
    <w:styleLink w:val="111111"/>
    <w:lvl w:ilvl="0">
      <w:start w:val="1"/>
      <w:numFmt w:val="decimal"/>
      <w:lvlText w:val="%1."/>
      <w:lvlJc w:val="left"/>
      <w:pPr>
        <w:ind w:left="360" w:hanging="360"/>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E9B2156"/>
    <w:multiLevelType w:val="singleLevel"/>
    <w:tmpl w:val="F606DD84"/>
    <w:lvl w:ilvl="0">
      <w:start w:val="1"/>
      <w:numFmt w:val="bullet"/>
      <w:pStyle w:val="BodyText-List"/>
      <w:lvlText w:val=""/>
      <w:lvlJc w:val="left"/>
      <w:pPr>
        <w:ind w:left="540" w:hanging="360"/>
      </w:pPr>
      <w:rPr>
        <w:rFonts w:ascii="Wingdings 3" w:hAnsi="Wingdings 3" w:hint="default"/>
        <w:color w:val="7F7F7F"/>
        <w:sz w:val="18"/>
      </w:rPr>
    </w:lvl>
  </w:abstractNum>
  <w:abstractNum w:abstractNumId="21">
    <w:nsid w:val="30CB1AB2"/>
    <w:multiLevelType w:val="hybridMultilevel"/>
    <w:tmpl w:val="C70A53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21A530E"/>
    <w:multiLevelType w:val="hybridMultilevel"/>
    <w:tmpl w:val="12A47C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248360E"/>
    <w:multiLevelType w:val="hybridMultilevel"/>
    <w:tmpl w:val="E91431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343E7938"/>
    <w:multiLevelType w:val="hybridMultilevel"/>
    <w:tmpl w:val="3B2A06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34B969E7"/>
    <w:multiLevelType w:val="hybridMultilevel"/>
    <w:tmpl w:val="320ED0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6D33D9E"/>
    <w:multiLevelType w:val="multilevel"/>
    <w:tmpl w:val="0C09001D"/>
    <w:styleLink w:val="1ai"/>
    <w:lvl w:ilvl="0">
      <w:start w:val="1"/>
      <w:numFmt w:val="decimal"/>
      <w:lvlText w:val="%1)"/>
      <w:lvlJc w:val="left"/>
      <w:pPr>
        <w:ind w:left="360" w:hanging="360"/>
      </w:pPr>
      <w:rPr>
        <w:rFonts w:ascii="Arial"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4AC65DAF"/>
    <w:multiLevelType w:val="hybridMultilevel"/>
    <w:tmpl w:val="BD54D9F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51E742F2"/>
    <w:multiLevelType w:val="hybridMultilevel"/>
    <w:tmpl w:val="1E4468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24566F6"/>
    <w:multiLevelType w:val="hybridMultilevel"/>
    <w:tmpl w:val="D5C818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5B3536C6"/>
    <w:multiLevelType w:val="hybridMultilevel"/>
    <w:tmpl w:val="FCFE59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F9B77DA"/>
    <w:multiLevelType w:val="hybridMultilevel"/>
    <w:tmpl w:val="B4B051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3BC6D30"/>
    <w:multiLevelType w:val="hybridMultilevel"/>
    <w:tmpl w:val="175226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9AE0D8D"/>
    <w:multiLevelType w:val="hybridMultilevel"/>
    <w:tmpl w:val="33804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A796992"/>
    <w:multiLevelType w:val="hybridMultilevel"/>
    <w:tmpl w:val="9F9465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F485EB9"/>
    <w:multiLevelType w:val="hybridMultilevel"/>
    <w:tmpl w:val="50F2DD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F8E6100"/>
    <w:multiLevelType w:val="hybridMultilevel"/>
    <w:tmpl w:val="018EF7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12A3A7E"/>
    <w:multiLevelType w:val="hybridMultilevel"/>
    <w:tmpl w:val="4FF6E6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2770D9D"/>
    <w:multiLevelType w:val="hybridMultilevel"/>
    <w:tmpl w:val="09402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3A67529"/>
    <w:multiLevelType w:val="hybridMultilevel"/>
    <w:tmpl w:val="B6461D0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766728D5"/>
    <w:multiLevelType w:val="hybridMultilevel"/>
    <w:tmpl w:val="4768B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86E6815"/>
    <w:multiLevelType w:val="hybridMultilevel"/>
    <w:tmpl w:val="B6461D0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79906D01"/>
    <w:multiLevelType w:val="hybridMultilevel"/>
    <w:tmpl w:val="1F66D3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7A4B55C1"/>
    <w:multiLevelType w:val="hybridMultilevel"/>
    <w:tmpl w:val="3B5A35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26"/>
  </w:num>
  <w:num w:numId="3">
    <w:abstractNumId w:val="15"/>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22"/>
  </w:num>
  <w:num w:numId="15">
    <w:abstractNumId w:val="21"/>
  </w:num>
  <w:num w:numId="16">
    <w:abstractNumId w:val="34"/>
  </w:num>
  <w:num w:numId="17">
    <w:abstractNumId w:val="23"/>
  </w:num>
  <w:num w:numId="18">
    <w:abstractNumId w:val="20"/>
  </w:num>
  <w:num w:numId="19">
    <w:abstractNumId w:val="11"/>
  </w:num>
  <w:num w:numId="20">
    <w:abstractNumId w:val="0"/>
  </w:num>
  <w:num w:numId="21">
    <w:abstractNumId w:val="39"/>
  </w:num>
  <w:num w:numId="22">
    <w:abstractNumId w:val="16"/>
  </w:num>
  <w:num w:numId="23">
    <w:abstractNumId w:val="24"/>
  </w:num>
  <w:num w:numId="24">
    <w:abstractNumId w:val="38"/>
  </w:num>
  <w:num w:numId="25">
    <w:abstractNumId w:val="40"/>
  </w:num>
  <w:num w:numId="26">
    <w:abstractNumId w:val="41"/>
  </w:num>
  <w:num w:numId="27">
    <w:abstractNumId w:val="33"/>
  </w:num>
  <w:num w:numId="28">
    <w:abstractNumId w:val="30"/>
  </w:num>
  <w:num w:numId="29">
    <w:abstractNumId w:val="36"/>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35"/>
  </w:num>
  <w:num w:numId="33">
    <w:abstractNumId w:val="32"/>
  </w:num>
  <w:num w:numId="34">
    <w:abstractNumId w:val="28"/>
  </w:num>
  <w:num w:numId="35">
    <w:abstractNumId w:val="37"/>
  </w:num>
  <w:num w:numId="36">
    <w:abstractNumId w:val="12"/>
  </w:num>
  <w:num w:numId="37">
    <w:abstractNumId w:val="17"/>
  </w:num>
  <w:num w:numId="38">
    <w:abstractNumId w:val="27"/>
  </w:num>
  <w:num w:numId="39">
    <w:abstractNumId w:val="13"/>
  </w:num>
  <w:num w:numId="40">
    <w:abstractNumId w:val="29"/>
  </w:num>
  <w:num w:numId="41">
    <w:abstractNumId w:val="31"/>
  </w:num>
  <w:num w:numId="42">
    <w:abstractNumId w:val="25"/>
  </w:num>
  <w:num w:numId="43">
    <w:abstractNumId w:val="42"/>
  </w:num>
  <w:num w:numId="44">
    <w:abstractNumId w:val="18"/>
  </w:num>
  <w:num w:numId="4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SortMethod w:val="00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5F7"/>
    <w:rsid w:val="00006016"/>
    <w:rsid w:val="00006A66"/>
    <w:rsid w:val="00011976"/>
    <w:rsid w:val="00013DB0"/>
    <w:rsid w:val="00015B3F"/>
    <w:rsid w:val="00017C09"/>
    <w:rsid w:val="000205E6"/>
    <w:rsid w:val="00022644"/>
    <w:rsid w:val="000270B8"/>
    <w:rsid w:val="00030A31"/>
    <w:rsid w:val="0003770C"/>
    <w:rsid w:val="0004018E"/>
    <w:rsid w:val="000410C9"/>
    <w:rsid w:val="00041A46"/>
    <w:rsid w:val="00045C2D"/>
    <w:rsid w:val="00051966"/>
    <w:rsid w:val="00051E11"/>
    <w:rsid w:val="00054D9E"/>
    <w:rsid w:val="000569E0"/>
    <w:rsid w:val="00064471"/>
    <w:rsid w:val="000649CD"/>
    <w:rsid w:val="00067834"/>
    <w:rsid w:val="0007470A"/>
    <w:rsid w:val="00074D79"/>
    <w:rsid w:val="000807DD"/>
    <w:rsid w:val="0008229F"/>
    <w:rsid w:val="000836CA"/>
    <w:rsid w:val="00083CE2"/>
    <w:rsid w:val="00086B4B"/>
    <w:rsid w:val="00090510"/>
    <w:rsid w:val="000908A1"/>
    <w:rsid w:val="0009156E"/>
    <w:rsid w:val="000931B9"/>
    <w:rsid w:val="0009388F"/>
    <w:rsid w:val="000941A1"/>
    <w:rsid w:val="000A4423"/>
    <w:rsid w:val="000A612F"/>
    <w:rsid w:val="000A686B"/>
    <w:rsid w:val="000B3516"/>
    <w:rsid w:val="000B6883"/>
    <w:rsid w:val="000B6ABB"/>
    <w:rsid w:val="000C1459"/>
    <w:rsid w:val="000C5C58"/>
    <w:rsid w:val="000D1A2C"/>
    <w:rsid w:val="000D7F34"/>
    <w:rsid w:val="000E0293"/>
    <w:rsid w:val="000E4E1C"/>
    <w:rsid w:val="00100ECC"/>
    <w:rsid w:val="00101C26"/>
    <w:rsid w:val="00102875"/>
    <w:rsid w:val="00116A5F"/>
    <w:rsid w:val="00120329"/>
    <w:rsid w:val="00120470"/>
    <w:rsid w:val="00125396"/>
    <w:rsid w:val="00135E96"/>
    <w:rsid w:val="00136CEB"/>
    <w:rsid w:val="00141C1A"/>
    <w:rsid w:val="0014299E"/>
    <w:rsid w:val="00144C94"/>
    <w:rsid w:val="001545C8"/>
    <w:rsid w:val="001553F2"/>
    <w:rsid w:val="00156363"/>
    <w:rsid w:val="00156875"/>
    <w:rsid w:val="00156A58"/>
    <w:rsid w:val="00156C26"/>
    <w:rsid w:val="001579AB"/>
    <w:rsid w:val="001615E1"/>
    <w:rsid w:val="00161D77"/>
    <w:rsid w:val="0016259B"/>
    <w:rsid w:val="00163E92"/>
    <w:rsid w:val="00165450"/>
    <w:rsid w:val="0016570F"/>
    <w:rsid w:val="00170CF6"/>
    <w:rsid w:val="0017170F"/>
    <w:rsid w:val="001729D6"/>
    <w:rsid w:val="00173CF4"/>
    <w:rsid w:val="0017466D"/>
    <w:rsid w:val="001748AF"/>
    <w:rsid w:val="00175415"/>
    <w:rsid w:val="00176A5B"/>
    <w:rsid w:val="00177CC4"/>
    <w:rsid w:val="00183D28"/>
    <w:rsid w:val="0018763B"/>
    <w:rsid w:val="001900C3"/>
    <w:rsid w:val="00193030"/>
    <w:rsid w:val="00194B0A"/>
    <w:rsid w:val="0019625E"/>
    <w:rsid w:val="001A27C9"/>
    <w:rsid w:val="001A2D06"/>
    <w:rsid w:val="001A442B"/>
    <w:rsid w:val="001A675F"/>
    <w:rsid w:val="001B0757"/>
    <w:rsid w:val="001B3967"/>
    <w:rsid w:val="001B5F55"/>
    <w:rsid w:val="001B62B3"/>
    <w:rsid w:val="001B676F"/>
    <w:rsid w:val="001C4F55"/>
    <w:rsid w:val="001C5258"/>
    <w:rsid w:val="001D2BDD"/>
    <w:rsid w:val="001D3F26"/>
    <w:rsid w:val="001D6A27"/>
    <w:rsid w:val="001E18B9"/>
    <w:rsid w:val="001E1BFB"/>
    <w:rsid w:val="001E4BC9"/>
    <w:rsid w:val="001E6435"/>
    <w:rsid w:val="001F061D"/>
    <w:rsid w:val="001F075A"/>
    <w:rsid w:val="001F1297"/>
    <w:rsid w:val="001F6D68"/>
    <w:rsid w:val="00206720"/>
    <w:rsid w:val="00206EB4"/>
    <w:rsid w:val="00211DD5"/>
    <w:rsid w:val="002160F4"/>
    <w:rsid w:val="002165F9"/>
    <w:rsid w:val="002169E1"/>
    <w:rsid w:val="00217150"/>
    <w:rsid w:val="00227FFC"/>
    <w:rsid w:val="002341C4"/>
    <w:rsid w:val="00235114"/>
    <w:rsid w:val="00235185"/>
    <w:rsid w:val="00241441"/>
    <w:rsid w:val="002469C3"/>
    <w:rsid w:val="00260B60"/>
    <w:rsid w:val="0026354F"/>
    <w:rsid w:val="00266E6D"/>
    <w:rsid w:val="00273096"/>
    <w:rsid w:val="002741BE"/>
    <w:rsid w:val="00283106"/>
    <w:rsid w:val="00283968"/>
    <w:rsid w:val="00283D09"/>
    <w:rsid w:val="00283F2A"/>
    <w:rsid w:val="0028430E"/>
    <w:rsid w:val="00284D9C"/>
    <w:rsid w:val="00292FE3"/>
    <w:rsid w:val="00293C30"/>
    <w:rsid w:val="00294F67"/>
    <w:rsid w:val="002974B6"/>
    <w:rsid w:val="00297EB8"/>
    <w:rsid w:val="002A1010"/>
    <w:rsid w:val="002A19DD"/>
    <w:rsid w:val="002A25DA"/>
    <w:rsid w:val="002A4E32"/>
    <w:rsid w:val="002A6EF3"/>
    <w:rsid w:val="002B20E7"/>
    <w:rsid w:val="002B224C"/>
    <w:rsid w:val="002B2838"/>
    <w:rsid w:val="002B6010"/>
    <w:rsid w:val="002C3A56"/>
    <w:rsid w:val="002C3A8B"/>
    <w:rsid w:val="002C3B13"/>
    <w:rsid w:val="002C5623"/>
    <w:rsid w:val="002D04C8"/>
    <w:rsid w:val="002D12CC"/>
    <w:rsid w:val="002D234A"/>
    <w:rsid w:val="002D27B5"/>
    <w:rsid w:val="002D3822"/>
    <w:rsid w:val="002D5DEA"/>
    <w:rsid w:val="002D7011"/>
    <w:rsid w:val="002D7DE8"/>
    <w:rsid w:val="002E1BA0"/>
    <w:rsid w:val="002F0F12"/>
    <w:rsid w:val="002F33A6"/>
    <w:rsid w:val="002F6E01"/>
    <w:rsid w:val="00306752"/>
    <w:rsid w:val="003102AC"/>
    <w:rsid w:val="0031141A"/>
    <w:rsid w:val="00321CC7"/>
    <w:rsid w:val="00325069"/>
    <w:rsid w:val="00326EBB"/>
    <w:rsid w:val="003278E8"/>
    <w:rsid w:val="00330F06"/>
    <w:rsid w:val="00342CB2"/>
    <w:rsid w:val="00345CAA"/>
    <w:rsid w:val="00345FF1"/>
    <w:rsid w:val="003470D2"/>
    <w:rsid w:val="003507CC"/>
    <w:rsid w:val="00350D2A"/>
    <w:rsid w:val="00356648"/>
    <w:rsid w:val="003623CE"/>
    <w:rsid w:val="00366EF2"/>
    <w:rsid w:val="00370B5A"/>
    <w:rsid w:val="00373A01"/>
    <w:rsid w:val="0037629A"/>
    <w:rsid w:val="00377033"/>
    <w:rsid w:val="003875F9"/>
    <w:rsid w:val="00391E73"/>
    <w:rsid w:val="00395B12"/>
    <w:rsid w:val="00396C9C"/>
    <w:rsid w:val="003A50C3"/>
    <w:rsid w:val="003A56F9"/>
    <w:rsid w:val="003B0E5F"/>
    <w:rsid w:val="003B18FA"/>
    <w:rsid w:val="003C0243"/>
    <w:rsid w:val="003C1859"/>
    <w:rsid w:val="003C59E4"/>
    <w:rsid w:val="003C7214"/>
    <w:rsid w:val="003D1E65"/>
    <w:rsid w:val="003D2FCF"/>
    <w:rsid w:val="003E4703"/>
    <w:rsid w:val="003E53E3"/>
    <w:rsid w:val="003F0468"/>
    <w:rsid w:val="003F457C"/>
    <w:rsid w:val="003F46B8"/>
    <w:rsid w:val="003F5340"/>
    <w:rsid w:val="003F62DB"/>
    <w:rsid w:val="003F6F4B"/>
    <w:rsid w:val="00400888"/>
    <w:rsid w:val="004018D4"/>
    <w:rsid w:val="00402C4C"/>
    <w:rsid w:val="0040490C"/>
    <w:rsid w:val="004068A9"/>
    <w:rsid w:val="004079F1"/>
    <w:rsid w:val="00415236"/>
    <w:rsid w:val="00420888"/>
    <w:rsid w:val="0042278D"/>
    <w:rsid w:val="00425BF7"/>
    <w:rsid w:val="004272E2"/>
    <w:rsid w:val="0043431E"/>
    <w:rsid w:val="00437C15"/>
    <w:rsid w:val="0044109B"/>
    <w:rsid w:val="00441D08"/>
    <w:rsid w:val="00444024"/>
    <w:rsid w:val="00447FE9"/>
    <w:rsid w:val="00451CC4"/>
    <w:rsid w:val="00452532"/>
    <w:rsid w:val="00452D66"/>
    <w:rsid w:val="004540BD"/>
    <w:rsid w:val="00455430"/>
    <w:rsid w:val="00456361"/>
    <w:rsid w:val="00456FD9"/>
    <w:rsid w:val="0046332A"/>
    <w:rsid w:val="00463EC2"/>
    <w:rsid w:val="00464CAF"/>
    <w:rsid w:val="00465EC4"/>
    <w:rsid w:val="004663EF"/>
    <w:rsid w:val="004702CD"/>
    <w:rsid w:val="004754A2"/>
    <w:rsid w:val="004773FB"/>
    <w:rsid w:val="00485CC7"/>
    <w:rsid w:val="00486D52"/>
    <w:rsid w:val="004871C8"/>
    <w:rsid w:val="00491E64"/>
    <w:rsid w:val="00493135"/>
    <w:rsid w:val="00493ADA"/>
    <w:rsid w:val="00493F0C"/>
    <w:rsid w:val="0049528C"/>
    <w:rsid w:val="004A0989"/>
    <w:rsid w:val="004A584D"/>
    <w:rsid w:val="004A5C34"/>
    <w:rsid w:val="004A69BD"/>
    <w:rsid w:val="004A6BF7"/>
    <w:rsid w:val="004A7771"/>
    <w:rsid w:val="004B4179"/>
    <w:rsid w:val="004B46C5"/>
    <w:rsid w:val="004B6E8C"/>
    <w:rsid w:val="004C0BF7"/>
    <w:rsid w:val="004C3F70"/>
    <w:rsid w:val="004C4858"/>
    <w:rsid w:val="004C5298"/>
    <w:rsid w:val="004D4D16"/>
    <w:rsid w:val="004E01FA"/>
    <w:rsid w:val="004E0F54"/>
    <w:rsid w:val="004E34FC"/>
    <w:rsid w:val="004E5612"/>
    <w:rsid w:val="004F23DC"/>
    <w:rsid w:val="004F3368"/>
    <w:rsid w:val="00500CB3"/>
    <w:rsid w:val="00500DD9"/>
    <w:rsid w:val="00501D0E"/>
    <w:rsid w:val="0050558A"/>
    <w:rsid w:val="00505D15"/>
    <w:rsid w:val="00505EE1"/>
    <w:rsid w:val="005070FE"/>
    <w:rsid w:val="005108E4"/>
    <w:rsid w:val="005109D6"/>
    <w:rsid w:val="005112F0"/>
    <w:rsid w:val="00517CD1"/>
    <w:rsid w:val="0052269E"/>
    <w:rsid w:val="00522EF5"/>
    <w:rsid w:val="00525810"/>
    <w:rsid w:val="00527946"/>
    <w:rsid w:val="00530189"/>
    <w:rsid w:val="00531859"/>
    <w:rsid w:val="00532B1B"/>
    <w:rsid w:val="0054278D"/>
    <w:rsid w:val="005431AA"/>
    <w:rsid w:val="0054451F"/>
    <w:rsid w:val="005459C6"/>
    <w:rsid w:val="005465A7"/>
    <w:rsid w:val="00553410"/>
    <w:rsid w:val="005562C5"/>
    <w:rsid w:val="005565B1"/>
    <w:rsid w:val="0055688B"/>
    <w:rsid w:val="00561829"/>
    <w:rsid w:val="00562EFA"/>
    <w:rsid w:val="00563B57"/>
    <w:rsid w:val="0056687B"/>
    <w:rsid w:val="0056756E"/>
    <w:rsid w:val="005709B5"/>
    <w:rsid w:val="00572A1D"/>
    <w:rsid w:val="00574770"/>
    <w:rsid w:val="00575406"/>
    <w:rsid w:val="005767BC"/>
    <w:rsid w:val="00581CA0"/>
    <w:rsid w:val="00582EFF"/>
    <w:rsid w:val="00583014"/>
    <w:rsid w:val="00586204"/>
    <w:rsid w:val="00590D68"/>
    <w:rsid w:val="005910D5"/>
    <w:rsid w:val="005924E2"/>
    <w:rsid w:val="00594397"/>
    <w:rsid w:val="005975BD"/>
    <w:rsid w:val="005976B5"/>
    <w:rsid w:val="005A47D0"/>
    <w:rsid w:val="005A52D5"/>
    <w:rsid w:val="005A59E1"/>
    <w:rsid w:val="005A7BF9"/>
    <w:rsid w:val="005A7F23"/>
    <w:rsid w:val="005B0771"/>
    <w:rsid w:val="005B097A"/>
    <w:rsid w:val="005B2597"/>
    <w:rsid w:val="005B28C8"/>
    <w:rsid w:val="005B77AA"/>
    <w:rsid w:val="005B7DC9"/>
    <w:rsid w:val="005C2174"/>
    <w:rsid w:val="005C4439"/>
    <w:rsid w:val="005C48A7"/>
    <w:rsid w:val="005C74E1"/>
    <w:rsid w:val="005D1843"/>
    <w:rsid w:val="005D2D25"/>
    <w:rsid w:val="005D53E0"/>
    <w:rsid w:val="005D665B"/>
    <w:rsid w:val="005E0586"/>
    <w:rsid w:val="005E1898"/>
    <w:rsid w:val="005E23E0"/>
    <w:rsid w:val="005E3022"/>
    <w:rsid w:val="005E414B"/>
    <w:rsid w:val="005F300A"/>
    <w:rsid w:val="005F46AA"/>
    <w:rsid w:val="005F50DF"/>
    <w:rsid w:val="0060135D"/>
    <w:rsid w:val="0060246D"/>
    <w:rsid w:val="00602AD1"/>
    <w:rsid w:val="006051B1"/>
    <w:rsid w:val="00606643"/>
    <w:rsid w:val="00607489"/>
    <w:rsid w:val="00607ABE"/>
    <w:rsid w:val="0061013E"/>
    <w:rsid w:val="00610766"/>
    <w:rsid w:val="00610BB7"/>
    <w:rsid w:val="00614009"/>
    <w:rsid w:val="00615556"/>
    <w:rsid w:val="00616655"/>
    <w:rsid w:val="006222D0"/>
    <w:rsid w:val="00624F0D"/>
    <w:rsid w:val="006304E2"/>
    <w:rsid w:val="00631F60"/>
    <w:rsid w:val="00632E41"/>
    <w:rsid w:val="00635FF2"/>
    <w:rsid w:val="0063663A"/>
    <w:rsid w:val="006418E6"/>
    <w:rsid w:val="00643BCF"/>
    <w:rsid w:val="006473E4"/>
    <w:rsid w:val="00651A53"/>
    <w:rsid w:val="00652022"/>
    <w:rsid w:val="00653CB0"/>
    <w:rsid w:val="006557BA"/>
    <w:rsid w:val="006567EB"/>
    <w:rsid w:val="00661414"/>
    <w:rsid w:val="006630C3"/>
    <w:rsid w:val="006640BD"/>
    <w:rsid w:val="00665FC9"/>
    <w:rsid w:val="00667730"/>
    <w:rsid w:val="00667844"/>
    <w:rsid w:val="00672C52"/>
    <w:rsid w:val="00674BB8"/>
    <w:rsid w:val="00674BE1"/>
    <w:rsid w:val="006752DE"/>
    <w:rsid w:val="0068250B"/>
    <w:rsid w:val="006826C2"/>
    <w:rsid w:val="00683E5A"/>
    <w:rsid w:val="00686226"/>
    <w:rsid w:val="00686DFF"/>
    <w:rsid w:val="006902F4"/>
    <w:rsid w:val="00694D81"/>
    <w:rsid w:val="00697AB4"/>
    <w:rsid w:val="006A2887"/>
    <w:rsid w:val="006A4BFD"/>
    <w:rsid w:val="006A57E2"/>
    <w:rsid w:val="006A6290"/>
    <w:rsid w:val="006A67F1"/>
    <w:rsid w:val="006B53E1"/>
    <w:rsid w:val="006B54AE"/>
    <w:rsid w:val="006B704F"/>
    <w:rsid w:val="006C291A"/>
    <w:rsid w:val="006C2C80"/>
    <w:rsid w:val="006C3963"/>
    <w:rsid w:val="006D12EC"/>
    <w:rsid w:val="006D5B41"/>
    <w:rsid w:val="006D7D75"/>
    <w:rsid w:val="006E0EA5"/>
    <w:rsid w:val="006E1E52"/>
    <w:rsid w:val="006E4E9D"/>
    <w:rsid w:val="006E5E01"/>
    <w:rsid w:val="006E6DCE"/>
    <w:rsid w:val="006E79B5"/>
    <w:rsid w:val="006F1723"/>
    <w:rsid w:val="006F240E"/>
    <w:rsid w:val="006F3DB9"/>
    <w:rsid w:val="007045E8"/>
    <w:rsid w:val="00704CC7"/>
    <w:rsid w:val="007066C9"/>
    <w:rsid w:val="007111B2"/>
    <w:rsid w:val="00712A16"/>
    <w:rsid w:val="007132F0"/>
    <w:rsid w:val="007149E8"/>
    <w:rsid w:val="00715AB3"/>
    <w:rsid w:val="00715FD8"/>
    <w:rsid w:val="00727532"/>
    <w:rsid w:val="0073079B"/>
    <w:rsid w:val="00730FC2"/>
    <w:rsid w:val="00731B12"/>
    <w:rsid w:val="00731EBB"/>
    <w:rsid w:val="00733608"/>
    <w:rsid w:val="00733750"/>
    <w:rsid w:val="00736F7A"/>
    <w:rsid w:val="00741AE6"/>
    <w:rsid w:val="007421BC"/>
    <w:rsid w:val="00744094"/>
    <w:rsid w:val="007470AF"/>
    <w:rsid w:val="007477E2"/>
    <w:rsid w:val="007530A4"/>
    <w:rsid w:val="00754069"/>
    <w:rsid w:val="00754860"/>
    <w:rsid w:val="00754BD8"/>
    <w:rsid w:val="00754D8D"/>
    <w:rsid w:val="00754F5B"/>
    <w:rsid w:val="00755CBA"/>
    <w:rsid w:val="00760243"/>
    <w:rsid w:val="00770FDC"/>
    <w:rsid w:val="007735EF"/>
    <w:rsid w:val="0077408A"/>
    <w:rsid w:val="007761A4"/>
    <w:rsid w:val="00781075"/>
    <w:rsid w:val="007841BF"/>
    <w:rsid w:val="00785319"/>
    <w:rsid w:val="00785608"/>
    <w:rsid w:val="00786DAD"/>
    <w:rsid w:val="00792936"/>
    <w:rsid w:val="00796D12"/>
    <w:rsid w:val="007A19C4"/>
    <w:rsid w:val="007A2802"/>
    <w:rsid w:val="007A5695"/>
    <w:rsid w:val="007B10C2"/>
    <w:rsid w:val="007B502E"/>
    <w:rsid w:val="007B5338"/>
    <w:rsid w:val="007B5E4F"/>
    <w:rsid w:val="007B62A0"/>
    <w:rsid w:val="007C010B"/>
    <w:rsid w:val="007C20B8"/>
    <w:rsid w:val="007C22E8"/>
    <w:rsid w:val="007C2DF6"/>
    <w:rsid w:val="007C30BB"/>
    <w:rsid w:val="007C45FE"/>
    <w:rsid w:val="007C5F49"/>
    <w:rsid w:val="007C621B"/>
    <w:rsid w:val="007C7699"/>
    <w:rsid w:val="007C7B26"/>
    <w:rsid w:val="007D33EE"/>
    <w:rsid w:val="007D33F6"/>
    <w:rsid w:val="007E2A91"/>
    <w:rsid w:val="007E3611"/>
    <w:rsid w:val="007E79E9"/>
    <w:rsid w:val="007F02F0"/>
    <w:rsid w:val="007F0F93"/>
    <w:rsid w:val="007F4F71"/>
    <w:rsid w:val="007F7B05"/>
    <w:rsid w:val="007F7F7D"/>
    <w:rsid w:val="00802F0B"/>
    <w:rsid w:val="0080352F"/>
    <w:rsid w:val="00810485"/>
    <w:rsid w:val="00810841"/>
    <w:rsid w:val="00813845"/>
    <w:rsid w:val="008149F2"/>
    <w:rsid w:val="00820688"/>
    <w:rsid w:val="0082089A"/>
    <w:rsid w:val="00827DA5"/>
    <w:rsid w:val="00831F3E"/>
    <w:rsid w:val="008360F1"/>
    <w:rsid w:val="008375B3"/>
    <w:rsid w:val="008416B5"/>
    <w:rsid w:val="008426C5"/>
    <w:rsid w:val="00846B5B"/>
    <w:rsid w:val="008472B1"/>
    <w:rsid w:val="00847C1D"/>
    <w:rsid w:val="00847EB6"/>
    <w:rsid w:val="0085121C"/>
    <w:rsid w:val="0085476F"/>
    <w:rsid w:val="00854902"/>
    <w:rsid w:val="00855357"/>
    <w:rsid w:val="008564B7"/>
    <w:rsid w:val="0085756E"/>
    <w:rsid w:val="00862945"/>
    <w:rsid w:val="00865A15"/>
    <w:rsid w:val="00871C46"/>
    <w:rsid w:val="00873965"/>
    <w:rsid w:val="00877324"/>
    <w:rsid w:val="00881ADB"/>
    <w:rsid w:val="008827CA"/>
    <w:rsid w:val="008836AC"/>
    <w:rsid w:val="00891A96"/>
    <w:rsid w:val="00893954"/>
    <w:rsid w:val="00893ACD"/>
    <w:rsid w:val="00893C3F"/>
    <w:rsid w:val="00897D1E"/>
    <w:rsid w:val="008A203F"/>
    <w:rsid w:val="008B0315"/>
    <w:rsid w:val="008B1DF0"/>
    <w:rsid w:val="008B4982"/>
    <w:rsid w:val="008B5E3E"/>
    <w:rsid w:val="008C4DAE"/>
    <w:rsid w:val="008C66E9"/>
    <w:rsid w:val="008D1F69"/>
    <w:rsid w:val="008D2E5E"/>
    <w:rsid w:val="008D2F2C"/>
    <w:rsid w:val="008D4F7A"/>
    <w:rsid w:val="008D5D05"/>
    <w:rsid w:val="008D6712"/>
    <w:rsid w:val="008E560A"/>
    <w:rsid w:val="008E7C4E"/>
    <w:rsid w:val="008F0392"/>
    <w:rsid w:val="008F15D6"/>
    <w:rsid w:val="008F1B43"/>
    <w:rsid w:val="008F3A06"/>
    <w:rsid w:val="008F4DB4"/>
    <w:rsid w:val="0090528A"/>
    <w:rsid w:val="0091018D"/>
    <w:rsid w:val="00911A27"/>
    <w:rsid w:val="009133D6"/>
    <w:rsid w:val="009135CE"/>
    <w:rsid w:val="009209C9"/>
    <w:rsid w:val="00921DCF"/>
    <w:rsid w:val="009302CE"/>
    <w:rsid w:val="00930DFC"/>
    <w:rsid w:val="0093316E"/>
    <w:rsid w:val="00943B10"/>
    <w:rsid w:val="00945F77"/>
    <w:rsid w:val="00947E21"/>
    <w:rsid w:val="00947F49"/>
    <w:rsid w:val="00951D44"/>
    <w:rsid w:val="00956B2B"/>
    <w:rsid w:val="00957549"/>
    <w:rsid w:val="009623F1"/>
    <w:rsid w:val="00963559"/>
    <w:rsid w:val="00974AF0"/>
    <w:rsid w:val="00974D79"/>
    <w:rsid w:val="00977D46"/>
    <w:rsid w:val="00983F9B"/>
    <w:rsid w:val="00984F79"/>
    <w:rsid w:val="00990AF0"/>
    <w:rsid w:val="00994114"/>
    <w:rsid w:val="00994BA0"/>
    <w:rsid w:val="009957CE"/>
    <w:rsid w:val="009A0559"/>
    <w:rsid w:val="009A165F"/>
    <w:rsid w:val="009A4015"/>
    <w:rsid w:val="009A41BE"/>
    <w:rsid w:val="009A7164"/>
    <w:rsid w:val="009B69F4"/>
    <w:rsid w:val="009C1FA4"/>
    <w:rsid w:val="009C5B03"/>
    <w:rsid w:val="009C76D3"/>
    <w:rsid w:val="009C7996"/>
    <w:rsid w:val="009D1967"/>
    <w:rsid w:val="009D1E12"/>
    <w:rsid w:val="009D515B"/>
    <w:rsid w:val="009D6567"/>
    <w:rsid w:val="009D7DEF"/>
    <w:rsid w:val="009E1A53"/>
    <w:rsid w:val="009F1888"/>
    <w:rsid w:val="00A0100D"/>
    <w:rsid w:val="00A0189C"/>
    <w:rsid w:val="00A02000"/>
    <w:rsid w:val="00A03AA7"/>
    <w:rsid w:val="00A03B50"/>
    <w:rsid w:val="00A0469A"/>
    <w:rsid w:val="00A05D32"/>
    <w:rsid w:val="00A06390"/>
    <w:rsid w:val="00A10379"/>
    <w:rsid w:val="00A1056B"/>
    <w:rsid w:val="00A13400"/>
    <w:rsid w:val="00A13C20"/>
    <w:rsid w:val="00A14D0E"/>
    <w:rsid w:val="00A15CB7"/>
    <w:rsid w:val="00A2286C"/>
    <w:rsid w:val="00A2679F"/>
    <w:rsid w:val="00A32658"/>
    <w:rsid w:val="00A327FF"/>
    <w:rsid w:val="00A4326A"/>
    <w:rsid w:val="00A47FE8"/>
    <w:rsid w:val="00A51426"/>
    <w:rsid w:val="00A52574"/>
    <w:rsid w:val="00A54D9F"/>
    <w:rsid w:val="00A57446"/>
    <w:rsid w:val="00A61354"/>
    <w:rsid w:val="00A634F9"/>
    <w:rsid w:val="00A644E0"/>
    <w:rsid w:val="00A65269"/>
    <w:rsid w:val="00A65328"/>
    <w:rsid w:val="00A67D7E"/>
    <w:rsid w:val="00A70AA7"/>
    <w:rsid w:val="00A71AA6"/>
    <w:rsid w:val="00A72EB6"/>
    <w:rsid w:val="00A74D93"/>
    <w:rsid w:val="00A7551D"/>
    <w:rsid w:val="00A7716B"/>
    <w:rsid w:val="00A803C6"/>
    <w:rsid w:val="00A80E01"/>
    <w:rsid w:val="00A83C9D"/>
    <w:rsid w:val="00A86972"/>
    <w:rsid w:val="00A879D0"/>
    <w:rsid w:val="00A900FD"/>
    <w:rsid w:val="00A90EA1"/>
    <w:rsid w:val="00A911FE"/>
    <w:rsid w:val="00A943FC"/>
    <w:rsid w:val="00A972DD"/>
    <w:rsid w:val="00A97A91"/>
    <w:rsid w:val="00AA0710"/>
    <w:rsid w:val="00AA398D"/>
    <w:rsid w:val="00AA416D"/>
    <w:rsid w:val="00AA7417"/>
    <w:rsid w:val="00AA7C82"/>
    <w:rsid w:val="00AB101A"/>
    <w:rsid w:val="00AB1923"/>
    <w:rsid w:val="00AB2245"/>
    <w:rsid w:val="00AB3EA9"/>
    <w:rsid w:val="00AB5679"/>
    <w:rsid w:val="00AC25F8"/>
    <w:rsid w:val="00AC435A"/>
    <w:rsid w:val="00AC45DA"/>
    <w:rsid w:val="00AD17CE"/>
    <w:rsid w:val="00AD36F2"/>
    <w:rsid w:val="00AD42AD"/>
    <w:rsid w:val="00AD4C35"/>
    <w:rsid w:val="00AD7A22"/>
    <w:rsid w:val="00AE1849"/>
    <w:rsid w:val="00AE2875"/>
    <w:rsid w:val="00AF0619"/>
    <w:rsid w:val="00AF12EF"/>
    <w:rsid w:val="00AF3F4C"/>
    <w:rsid w:val="00AF6E5A"/>
    <w:rsid w:val="00B00528"/>
    <w:rsid w:val="00B0082F"/>
    <w:rsid w:val="00B00D5F"/>
    <w:rsid w:val="00B021A5"/>
    <w:rsid w:val="00B05824"/>
    <w:rsid w:val="00B17189"/>
    <w:rsid w:val="00B41C5C"/>
    <w:rsid w:val="00B4509A"/>
    <w:rsid w:val="00B4529A"/>
    <w:rsid w:val="00B45BB0"/>
    <w:rsid w:val="00B468D7"/>
    <w:rsid w:val="00B539FA"/>
    <w:rsid w:val="00B558B4"/>
    <w:rsid w:val="00B56B1C"/>
    <w:rsid w:val="00B62E9A"/>
    <w:rsid w:val="00B6510D"/>
    <w:rsid w:val="00B70772"/>
    <w:rsid w:val="00B70830"/>
    <w:rsid w:val="00B70D3C"/>
    <w:rsid w:val="00B7142F"/>
    <w:rsid w:val="00B71514"/>
    <w:rsid w:val="00B75192"/>
    <w:rsid w:val="00B76D1A"/>
    <w:rsid w:val="00B825F7"/>
    <w:rsid w:val="00B832D2"/>
    <w:rsid w:val="00B87AF0"/>
    <w:rsid w:val="00B906CE"/>
    <w:rsid w:val="00BA041E"/>
    <w:rsid w:val="00BA40EC"/>
    <w:rsid w:val="00BA4E15"/>
    <w:rsid w:val="00BB1168"/>
    <w:rsid w:val="00BB4D8B"/>
    <w:rsid w:val="00BB5FBE"/>
    <w:rsid w:val="00BC1E23"/>
    <w:rsid w:val="00BC4A64"/>
    <w:rsid w:val="00BC580F"/>
    <w:rsid w:val="00BD3DE0"/>
    <w:rsid w:val="00BD776B"/>
    <w:rsid w:val="00BD7D5C"/>
    <w:rsid w:val="00BE04CE"/>
    <w:rsid w:val="00BE2A87"/>
    <w:rsid w:val="00BE2F27"/>
    <w:rsid w:val="00BE682B"/>
    <w:rsid w:val="00BE7EE2"/>
    <w:rsid w:val="00BF0E44"/>
    <w:rsid w:val="00BF0EF3"/>
    <w:rsid w:val="00BF47BD"/>
    <w:rsid w:val="00BF7B3A"/>
    <w:rsid w:val="00C0034E"/>
    <w:rsid w:val="00C0093C"/>
    <w:rsid w:val="00C03F9F"/>
    <w:rsid w:val="00C05932"/>
    <w:rsid w:val="00C122AA"/>
    <w:rsid w:val="00C144BC"/>
    <w:rsid w:val="00C169AE"/>
    <w:rsid w:val="00C2170F"/>
    <w:rsid w:val="00C22BCE"/>
    <w:rsid w:val="00C241D2"/>
    <w:rsid w:val="00C302A6"/>
    <w:rsid w:val="00C302B0"/>
    <w:rsid w:val="00C33029"/>
    <w:rsid w:val="00C37510"/>
    <w:rsid w:val="00C40A52"/>
    <w:rsid w:val="00C41167"/>
    <w:rsid w:val="00C46694"/>
    <w:rsid w:val="00C54A4D"/>
    <w:rsid w:val="00C551B7"/>
    <w:rsid w:val="00C5766C"/>
    <w:rsid w:val="00C579FB"/>
    <w:rsid w:val="00C57E30"/>
    <w:rsid w:val="00C60580"/>
    <w:rsid w:val="00C62F57"/>
    <w:rsid w:val="00C64EBE"/>
    <w:rsid w:val="00C65C29"/>
    <w:rsid w:val="00C66CB0"/>
    <w:rsid w:val="00C70041"/>
    <w:rsid w:val="00C70B06"/>
    <w:rsid w:val="00C7187A"/>
    <w:rsid w:val="00C72766"/>
    <w:rsid w:val="00C73B1D"/>
    <w:rsid w:val="00C7480F"/>
    <w:rsid w:val="00C83A75"/>
    <w:rsid w:val="00C85682"/>
    <w:rsid w:val="00C90859"/>
    <w:rsid w:val="00C9173B"/>
    <w:rsid w:val="00C94BAB"/>
    <w:rsid w:val="00C96BBF"/>
    <w:rsid w:val="00C96EC0"/>
    <w:rsid w:val="00CA143E"/>
    <w:rsid w:val="00CA218E"/>
    <w:rsid w:val="00CA291A"/>
    <w:rsid w:val="00CA4530"/>
    <w:rsid w:val="00CA590A"/>
    <w:rsid w:val="00CA6180"/>
    <w:rsid w:val="00CB35B4"/>
    <w:rsid w:val="00CB61B5"/>
    <w:rsid w:val="00CC3B82"/>
    <w:rsid w:val="00CC6C5A"/>
    <w:rsid w:val="00CC793D"/>
    <w:rsid w:val="00CD32B9"/>
    <w:rsid w:val="00CD65B0"/>
    <w:rsid w:val="00CD68D3"/>
    <w:rsid w:val="00CE19E2"/>
    <w:rsid w:val="00CE1CA8"/>
    <w:rsid w:val="00CE2389"/>
    <w:rsid w:val="00CE257A"/>
    <w:rsid w:val="00CE2F76"/>
    <w:rsid w:val="00CE3983"/>
    <w:rsid w:val="00CE3A34"/>
    <w:rsid w:val="00CE7427"/>
    <w:rsid w:val="00CE7D09"/>
    <w:rsid w:val="00CE7F74"/>
    <w:rsid w:val="00CF0E6C"/>
    <w:rsid w:val="00CF1DD3"/>
    <w:rsid w:val="00CF1ED4"/>
    <w:rsid w:val="00CF273E"/>
    <w:rsid w:val="00CF5223"/>
    <w:rsid w:val="00D0194C"/>
    <w:rsid w:val="00D06F65"/>
    <w:rsid w:val="00D074C0"/>
    <w:rsid w:val="00D12D56"/>
    <w:rsid w:val="00D26089"/>
    <w:rsid w:val="00D26353"/>
    <w:rsid w:val="00D26CC3"/>
    <w:rsid w:val="00D34B1B"/>
    <w:rsid w:val="00D34B8C"/>
    <w:rsid w:val="00D34C5D"/>
    <w:rsid w:val="00D35369"/>
    <w:rsid w:val="00D35F6E"/>
    <w:rsid w:val="00D36E49"/>
    <w:rsid w:val="00D41C4C"/>
    <w:rsid w:val="00D431A1"/>
    <w:rsid w:val="00D44CFD"/>
    <w:rsid w:val="00D4673E"/>
    <w:rsid w:val="00D50277"/>
    <w:rsid w:val="00D52A47"/>
    <w:rsid w:val="00D53208"/>
    <w:rsid w:val="00D54E09"/>
    <w:rsid w:val="00D55913"/>
    <w:rsid w:val="00D55943"/>
    <w:rsid w:val="00D65BEB"/>
    <w:rsid w:val="00D77866"/>
    <w:rsid w:val="00D80DC8"/>
    <w:rsid w:val="00D81FDA"/>
    <w:rsid w:val="00D82198"/>
    <w:rsid w:val="00D82452"/>
    <w:rsid w:val="00D83BC0"/>
    <w:rsid w:val="00D856EE"/>
    <w:rsid w:val="00D868E9"/>
    <w:rsid w:val="00D90FEF"/>
    <w:rsid w:val="00D91529"/>
    <w:rsid w:val="00D9156A"/>
    <w:rsid w:val="00D96387"/>
    <w:rsid w:val="00DA027F"/>
    <w:rsid w:val="00DA0647"/>
    <w:rsid w:val="00DA40F1"/>
    <w:rsid w:val="00DA45B1"/>
    <w:rsid w:val="00DA5BFE"/>
    <w:rsid w:val="00DB0282"/>
    <w:rsid w:val="00DB1630"/>
    <w:rsid w:val="00DB2C39"/>
    <w:rsid w:val="00DB4477"/>
    <w:rsid w:val="00DB4FAC"/>
    <w:rsid w:val="00DB7201"/>
    <w:rsid w:val="00DB79FA"/>
    <w:rsid w:val="00DC32BF"/>
    <w:rsid w:val="00DC3C5B"/>
    <w:rsid w:val="00DD1E03"/>
    <w:rsid w:val="00DD38AE"/>
    <w:rsid w:val="00DD7624"/>
    <w:rsid w:val="00DE0284"/>
    <w:rsid w:val="00DE1EC7"/>
    <w:rsid w:val="00DE706E"/>
    <w:rsid w:val="00DE749D"/>
    <w:rsid w:val="00E02FDE"/>
    <w:rsid w:val="00E116AA"/>
    <w:rsid w:val="00E11FCC"/>
    <w:rsid w:val="00E15357"/>
    <w:rsid w:val="00E15F31"/>
    <w:rsid w:val="00E15F94"/>
    <w:rsid w:val="00E2240C"/>
    <w:rsid w:val="00E32931"/>
    <w:rsid w:val="00E32ADB"/>
    <w:rsid w:val="00E33705"/>
    <w:rsid w:val="00E3379C"/>
    <w:rsid w:val="00E343A0"/>
    <w:rsid w:val="00E36BBB"/>
    <w:rsid w:val="00E37AE1"/>
    <w:rsid w:val="00E37E4C"/>
    <w:rsid w:val="00E452D0"/>
    <w:rsid w:val="00E45544"/>
    <w:rsid w:val="00E5248C"/>
    <w:rsid w:val="00E56DB6"/>
    <w:rsid w:val="00E63C11"/>
    <w:rsid w:val="00E63F58"/>
    <w:rsid w:val="00E661B6"/>
    <w:rsid w:val="00E66B57"/>
    <w:rsid w:val="00E75CDA"/>
    <w:rsid w:val="00E801C5"/>
    <w:rsid w:val="00E83157"/>
    <w:rsid w:val="00E85561"/>
    <w:rsid w:val="00E85885"/>
    <w:rsid w:val="00E87442"/>
    <w:rsid w:val="00E90BAE"/>
    <w:rsid w:val="00E93787"/>
    <w:rsid w:val="00EA0A46"/>
    <w:rsid w:val="00EA117E"/>
    <w:rsid w:val="00EA3AC5"/>
    <w:rsid w:val="00EA3DC6"/>
    <w:rsid w:val="00EA4401"/>
    <w:rsid w:val="00EA480C"/>
    <w:rsid w:val="00EA594A"/>
    <w:rsid w:val="00EA63DD"/>
    <w:rsid w:val="00EA7BEE"/>
    <w:rsid w:val="00EB1FA7"/>
    <w:rsid w:val="00EB4C3C"/>
    <w:rsid w:val="00EB7854"/>
    <w:rsid w:val="00EC1C61"/>
    <w:rsid w:val="00EC3E91"/>
    <w:rsid w:val="00EC41FE"/>
    <w:rsid w:val="00EC488A"/>
    <w:rsid w:val="00EC49F9"/>
    <w:rsid w:val="00EC52F1"/>
    <w:rsid w:val="00EC5337"/>
    <w:rsid w:val="00EC54D7"/>
    <w:rsid w:val="00EC7EC2"/>
    <w:rsid w:val="00ED070C"/>
    <w:rsid w:val="00ED149A"/>
    <w:rsid w:val="00ED7712"/>
    <w:rsid w:val="00ED79CE"/>
    <w:rsid w:val="00EE0778"/>
    <w:rsid w:val="00EE2C3A"/>
    <w:rsid w:val="00EE2F60"/>
    <w:rsid w:val="00EE6D5D"/>
    <w:rsid w:val="00EE6F1F"/>
    <w:rsid w:val="00EF111A"/>
    <w:rsid w:val="00EF1A32"/>
    <w:rsid w:val="00EF4FDF"/>
    <w:rsid w:val="00EF507C"/>
    <w:rsid w:val="00F00065"/>
    <w:rsid w:val="00F00DC7"/>
    <w:rsid w:val="00F05791"/>
    <w:rsid w:val="00F10F4D"/>
    <w:rsid w:val="00F122CB"/>
    <w:rsid w:val="00F14C7F"/>
    <w:rsid w:val="00F219F7"/>
    <w:rsid w:val="00F22961"/>
    <w:rsid w:val="00F22CD4"/>
    <w:rsid w:val="00F23A67"/>
    <w:rsid w:val="00F242C2"/>
    <w:rsid w:val="00F27523"/>
    <w:rsid w:val="00F27E20"/>
    <w:rsid w:val="00F33C55"/>
    <w:rsid w:val="00F3474B"/>
    <w:rsid w:val="00F36E9D"/>
    <w:rsid w:val="00F373D4"/>
    <w:rsid w:val="00F4008C"/>
    <w:rsid w:val="00F54CEE"/>
    <w:rsid w:val="00F56095"/>
    <w:rsid w:val="00F56723"/>
    <w:rsid w:val="00F56DEF"/>
    <w:rsid w:val="00F572BA"/>
    <w:rsid w:val="00F57BB4"/>
    <w:rsid w:val="00F60609"/>
    <w:rsid w:val="00F61A08"/>
    <w:rsid w:val="00F6610F"/>
    <w:rsid w:val="00F6632F"/>
    <w:rsid w:val="00F73355"/>
    <w:rsid w:val="00F73D3B"/>
    <w:rsid w:val="00F748DB"/>
    <w:rsid w:val="00F81B43"/>
    <w:rsid w:val="00F82327"/>
    <w:rsid w:val="00F85EF4"/>
    <w:rsid w:val="00F86112"/>
    <w:rsid w:val="00F86564"/>
    <w:rsid w:val="00F86611"/>
    <w:rsid w:val="00F86A6D"/>
    <w:rsid w:val="00F87CA4"/>
    <w:rsid w:val="00F90D2A"/>
    <w:rsid w:val="00F91B82"/>
    <w:rsid w:val="00F91EF9"/>
    <w:rsid w:val="00F94264"/>
    <w:rsid w:val="00F96A90"/>
    <w:rsid w:val="00FA0995"/>
    <w:rsid w:val="00FA31FA"/>
    <w:rsid w:val="00FA5767"/>
    <w:rsid w:val="00FA5919"/>
    <w:rsid w:val="00FA6742"/>
    <w:rsid w:val="00FB227C"/>
    <w:rsid w:val="00FB4005"/>
    <w:rsid w:val="00FC0C37"/>
    <w:rsid w:val="00FC1501"/>
    <w:rsid w:val="00FC2309"/>
    <w:rsid w:val="00FD2484"/>
    <w:rsid w:val="00FD446D"/>
    <w:rsid w:val="00FE0E9A"/>
    <w:rsid w:val="00FE4FC2"/>
    <w:rsid w:val="00FE54A5"/>
    <w:rsid w:val="00FF2EBD"/>
    <w:rsid w:val="00FF4066"/>
    <w:rsid w:val="00FF448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78BEE353"/>
  <w15:docId w15:val="{FC3A9A98-DAA4-4BB4-9FCD-4B21D8B61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29"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D0E"/>
    <w:rPr>
      <w:rFonts w:cs="Arial"/>
      <w:sz w:val="22"/>
      <w:szCs w:val="22"/>
      <w:lang w:eastAsia="en-AU"/>
    </w:rPr>
  </w:style>
  <w:style w:type="paragraph" w:styleId="Heading1">
    <w:name w:val="heading 1"/>
    <w:next w:val="Normal"/>
    <w:link w:val="Heading1Char"/>
    <w:uiPriority w:val="9"/>
    <w:qFormat/>
    <w:rsid w:val="008426C5"/>
    <w:pPr>
      <w:keepNext/>
      <w:spacing w:after="360"/>
      <w:outlineLvl w:val="0"/>
    </w:pPr>
    <w:rPr>
      <w:rFonts w:eastAsia="Times New Roman" w:cs="Arial"/>
      <w:bCs/>
      <w:caps/>
      <w:kern w:val="32"/>
      <w:sz w:val="36"/>
      <w:szCs w:val="32"/>
      <w:lang w:eastAsia="en-AU"/>
    </w:rPr>
  </w:style>
  <w:style w:type="paragraph" w:styleId="Heading2">
    <w:name w:val="heading 2"/>
    <w:next w:val="Normal"/>
    <w:link w:val="Heading2Char"/>
    <w:uiPriority w:val="9"/>
    <w:qFormat/>
    <w:rsid w:val="00BA40EC"/>
    <w:pPr>
      <w:keepNext/>
      <w:spacing w:before="480" w:after="360"/>
      <w:outlineLvl w:val="1"/>
    </w:pPr>
    <w:rPr>
      <w:rFonts w:eastAsia="Times New Roman" w:cs="Arial"/>
      <w:bCs/>
      <w:iCs/>
      <w:caps/>
      <w:sz w:val="28"/>
      <w:szCs w:val="28"/>
      <w:lang w:eastAsia="en-AU"/>
    </w:rPr>
  </w:style>
  <w:style w:type="paragraph" w:styleId="Heading3">
    <w:name w:val="heading 3"/>
    <w:next w:val="Normal"/>
    <w:link w:val="Heading3Char"/>
    <w:uiPriority w:val="9"/>
    <w:qFormat/>
    <w:rsid w:val="008426C5"/>
    <w:pPr>
      <w:keepNext/>
      <w:spacing w:before="240" w:after="240"/>
      <w:outlineLvl w:val="2"/>
    </w:pPr>
    <w:rPr>
      <w:rFonts w:eastAsia="Times New Roman" w:cs="Arial"/>
      <w:b/>
      <w:bCs/>
      <w:sz w:val="24"/>
      <w:szCs w:val="26"/>
      <w:lang w:eastAsia="en-AU"/>
    </w:rPr>
  </w:style>
  <w:style w:type="paragraph" w:styleId="Heading4">
    <w:name w:val="heading 4"/>
    <w:next w:val="Normal"/>
    <w:link w:val="Heading4Char"/>
    <w:uiPriority w:val="9"/>
    <w:qFormat/>
    <w:rsid w:val="001748AF"/>
    <w:pPr>
      <w:keepNext/>
      <w:spacing w:before="360" w:after="240"/>
      <w:outlineLvl w:val="3"/>
    </w:pPr>
    <w:rPr>
      <w:rFonts w:eastAsia="Times New Roman" w:cs="Arial"/>
      <w:b/>
      <w:bCs/>
      <w:i/>
      <w:sz w:val="22"/>
      <w:szCs w:val="28"/>
      <w:lang w:eastAsia="en-AU"/>
    </w:rPr>
  </w:style>
  <w:style w:type="paragraph" w:styleId="Heading5">
    <w:name w:val="heading 5"/>
    <w:next w:val="Normal"/>
    <w:link w:val="Heading5Char"/>
    <w:uiPriority w:val="9"/>
    <w:qFormat/>
    <w:rsid w:val="000A4423"/>
    <w:pPr>
      <w:keepNext/>
      <w:spacing w:before="240" w:after="240"/>
      <w:outlineLvl w:val="4"/>
    </w:pPr>
    <w:rPr>
      <w:rFonts w:eastAsia="Times New Roman" w:cs="Arial"/>
      <w:bCs/>
      <w:i/>
      <w:iCs/>
      <w:sz w:val="22"/>
      <w:szCs w:val="26"/>
      <w:lang w:eastAsia="en-AU"/>
    </w:rPr>
  </w:style>
  <w:style w:type="paragraph" w:styleId="Heading6">
    <w:name w:val="heading 6"/>
    <w:next w:val="Normal"/>
    <w:link w:val="Heading6Char"/>
    <w:uiPriority w:val="9"/>
    <w:qFormat/>
    <w:rsid w:val="00B825F7"/>
    <w:pPr>
      <w:numPr>
        <w:ilvl w:val="5"/>
        <w:numId w:val="3"/>
      </w:numPr>
      <w:spacing w:before="240" w:after="60"/>
      <w:outlineLvl w:val="5"/>
    </w:pPr>
    <w:rPr>
      <w:rFonts w:eastAsia="Times New Roman" w:cs="Arial"/>
      <w:b/>
      <w:bCs/>
      <w:sz w:val="22"/>
      <w:szCs w:val="22"/>
      <w:lang w:eastAsia="en-AU"/>
    </w:rPr>
  </w:style>
  <w:style w:type="paragraph" w:styleId="Heading7">
    <w:name w:val="heading 7"/>
    <w:next w:val="Normal"/>
    <w:link w:val="Heading7Char"/>
    <w:uiPriority w:val="9"/>
    <w:qFormat/>
    <w:rsid w:val="00B825F7"/>
    <w:pPr>
      <w:numPr>
        <w:ilvl w:val="6"/>
        <w:numId w:val="3"/>
      </w:numPr>
      <w:spacing w:before="240" w:after="60"/>
      <w:outlineLvl w:val="6"/>
    </w:pPr>
    <w:rPr>
      <w:rFonts w:eastAsia="Times New Roman" w:cs="Arial"/>
      <w:sz w:val="24"/>
      <w:szCs w:val="24"/>
      <w:lang w:eastAsia="en-AU"/>
    </w:rPr>
  </w:style>
  <w:style w:type="paragraph" w:styleId="Heading8">
    <w:name w:val="heading 8"/>
    <w:next w:val="Normal"/>
    <w:link w:val="Heading8Char"/>
    <w:uiPriority w:val="9"/>
    <w:qFormat/>
    <w:rsid w:val="00B825F7"/>
    <w:pPr>
      <w:numPr>
        <w:ilvl w:val="7"/>
        <w:numId w:val="3"/>
      </w:numPr>
      <w:spacing w:before="240" w:after="60"/>
      <w:outlineLvl w:val="7"/>
    </w:pPr>
    <w:rPr>
      <w:rFonts w:eastAsia="Times New Roman" w:cs="Arial"/>
      <w:i/>
      <w:iCs/>
      <w:sz w:val="24"/>
      <w:szCs w:val="24"/>
      <w:lang w:eastAsia="en-AU"/>
    </w:rPr>
  </w:style>
  <w:style w:type="paragraph" w:styleId="Heading9">
    <w:name w:val="heading 9"/>
    <w:next w:val="Normal"/>
    <w:link w:val="Heading9Char"/>
    <w:uiPriority w:val="9"/>
    <w:qFormat/>
    <w:rsid w:val="00B825F7"/>
    <w:pPr>
      <w:numPr>
        <w:ilvl w:val="8"/>
        <w:numId w:val="3"/>
      </w:numPr>
      <w:spacing w:before="240" w:after="60"/>
      <w:outlineLvl w:val="8"/>
    </w:pPr>
    <w:rPr>
      <w:rFonts w:eastAsia="Times New Roman" w:cs="Arial"/>
      <w:sz w:val="22"/>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426C5"/>
    <w:rPr>
      <w:rFonts w:eastAsia="Times New Roman" w:cs="Arial"/>
      <w:bCs/>
      <w:caps/>
      <w:kern w:val="32"/>
      <w:sz w:val="36"/>
      <w:szCs w:val="32"/>
    </w:rPr>
  </w:style>
  <w:style w:type="numbering" w:styleId="111111">
    <w:name w:val="Outline List 2"/>
    <w:uiPriority w:val="99"/>
    <w:semiHidden/>
    <w:unhideWhenUsed/>
    <w:rsid w:val="00B825F7"/>
    <w:pPr>
      <w:numPr>
        <w:numId w:val="1"/>
      </w:numPr>
    </w:pPr>
  </w:style>
  <w:style w:type="numbering" w:styleId="1ai">
    <w:name w:val="Outline List 1"/>
    <w:uiPriority w:val="99"/>
    <w:semiHidden/>
    <w:unhideWhenUsed/>
    <w:rsid w:val="00B825F7"/>
    <w:pPr>
      <w:numPr>
        <w:numId w:val="2"/>
      </w:numPr>
    </w:pPr>
  </w:style>
  <w:style w:type="character" w:customStyle="1" w:styleId="Heading2Char">
    <w:name w:val="Heading 2 Char"/>
    <w:link w:val="Heading2"/>
    <w:uiPriority w:val="9"/>
    <w:rsid w:val="00BA40EC"/>
    <w:rPr>
      <w:rFonts w:eastAsia="Times New Roman" w:cs="Arial"/>
      <w:bCs/>
      <w:iCs/>
      <w:caps/>
      <w:sz w:val="28"/>
      <w:szCs w:val="28"/>
    </w:rPr>
  </w:style>
  <w:style w:type="character" w:customStyle="1" w:styleId="Heading3Char">
    <w:name w:val="Heading 3 Char"/>
    <w:link w:val="Heading3"/>
    <w:uiPriority w:val="9"/>
    <w:rsid w:val="008426C5"/>
    <w:rPr>
      <w:rFonts w:eastAsia="Times New Roman" w:cs="Arial"/>
      <w:b/>
      <w:bCs/>
      <w:sz w:val="24"/>
      <w:szCs w:val="26"/>
    </w:rPr>
  </w:style>
  <w:style w:type="character" w:customStyle="1" w:styleId="Heading4Char">
    <w:name w:val="Heading 4 Char"/>
    <w:link w:val="Heading4"/>
    <w:uiPriority w:val="9"/>
    <w:rsid w:val="001748AF"/>
    <w:rPr>
      <w:rFonts w:eastAsia="Times New Roman" w:cs="Arial"/>
      <w:b/>
      <w:bCs/>
      <w:i/>
      <w:sz w:val="22"/>
      <w:szCs w:val="28"/>
    </w:rPr>
  </w:style>
  <w:style w:type="character" w:customStyle="1" w:styleId="Heading5Char">
    <w:name w:val="Heading 5 Char"/>
    <w:link w:val="Heading5"/>
    <w:uiPriority w:val="9"/>
    <w:rsid w:val="000A4423"/>
    <w:rPr>
      <w:rFonts w:eastAsia="Times New Roman" w:cs="Arial"/>
      <w:bCs/>
      <w:i/>
      <w:iCs/>
      <w:sz w:val="22"/>
      <w:szCs w:val="26"/>
    </w:rPr>
  </w:style>
  <w:style w:type="character" w:customStyle="1" w:styleId="Heading6Char">
    <w:name w:val="Heading 6 Char"/>
    <w:link w:val="Heading6"/>
    <w:uiPriority w:val="9"/>
    <w:semiHidden/>
    <w:rsid w:val="00B825F7"/>
    <w:rPr>
      <w:rFonts w:ascii="Arial" w:eastAsia="Times New Roman" w:hAnsi="Arial" w:cs="Arial"/>
      <w:b/>
      <w:bCs/>
    </w:rPr>
  </w:style>
  <w:style w:type="character" w:customStyle="1" w:styleId="Heading7Char">
    <w:name w:val="Heading 7 Char"/>
    <w:link w:val="Heading7"/>
    <w:uiPriority w:val="9"/>
    <w:semiHidden/>
    <w:rsid w:val="00B825F7"/>
    <w:rPr>
      <w:rFonts w:ascii="Arial" w:eastAsia="Times New Roman" w:hAnsi="Arial" w:cs="Arial"/>
      <w:sz w:val="24"/>
      <w:szCs w:val="24"/>
    </w:rPr>
  </w:style>
  <w:style w:type="character" w:customStyle="1" w:styleId="Heading8Char">
    <w:name w:val="Heading 8 Char"/>
    <w:link w:val="Heading8"/>
    <w:uiPriority w:val="9"/>
    <w:semiHidden/>
    <w:rsid w:val="00B825F7"/>
    <w:rPr>
      <w:rFonts w:ascii="Arial" w:eastAsia="Times New Roman" w:hAnsi="Arial" w:cs="Arial"/>
      <w:i/>
      <w:iCs/>
      <w:sz w:val="24"/>
      <w:szCs w:val="24"/>
    </w:rPr>
  </w:style>
  <w:style w:type="character" w:customStyle="1" w:styleId="Heading9Char">
    <w:name w:val="Heading 9 Char"/>
    <w:link w:val="Heading9"/>
    <w:uiPriority w:val="9"/>
    <w:semiHidden/>
    <w:rsid w:val="00B825F7"/>
    <w:rPr>
      <w:rFonts w:ascii="Arial" w:eastAsia="Times New Roman" w:hAnsi="Arial" w:cs="Arial"/>
    </w:rPr>
  </w:style>
  <w:style w:type="numbering" w:styleId="ArticleSection">
    <w:name w:val="Outline List 3"/>
    <w:uiPriority w:val="99"/>
    <w:semiHidden/>
    <w:unhideWhenUsed/>
    <w:rsid w:val="00B825F7"/>
    <w:pPr>
      <w:numPr>
        <w:numId w:val="3"/>
      </w:numPr>
    </w:pPr>
  </w:style>
  <w:style w:type="paragraph" w:styleId="BalloonText">
    <w:name w:val="Balloon Text"/>
    <w:link w:val="BalloonTextChar"/>
    <w:uiPriority w:val="99"/>
    <w:semiHidden/>
    <w:unhideWhenUsed/>
    <w:rsid w:val="00B825F7"/>
    <w:rPr>
      <w:rFonts w:cs="Arial"/>
      <w:sz w:val="18"/>
      <w:szCs w:val="18"/>
      <w:lang w:eastAsia="en-AU"/>
    </w:rPr>
  </w:style>
  <w:style w:type="character" w:customStyle="1" w:styleId="BalloonTextChar">
    <w:name w:val="Balloon Text Char"/>
    <w:link w:val="BalloonText"/>
    <w:uiPriority w:val="99"/>
    <w:semiHidden/>
    <w:rsid w:val="00B825F7"/>
    <w:rPr>
      <w:rFonts w:ascii="Arial" w:hAnsi="Arial" w:cs="Arial"/>
      <w:sz w:val="18"/>
      <w:szCs w:val="18"/>
    </w:rPr>
  </w:style>
  <w:style w:type="paragraph" w:customStyle="1" w:styleId="GridTable21">
    <w:name w:val="Grid Table 21"/>
    <w:next w:val="Normal"/>
    <w:uiPriority w:val="37"/>
    <w:semiHidden/>
    <w:unhideWhenUsed/>
    <w:rsid w:val="00B825F7"/>
    <w:rPr>
      <w:rFonts w:cs="Arial"/>
      <w:sz w:val="22"/>
      <w:szCs w:val="22"/>
      <w:lang w:eastAsia="en-AU"/>
    </w:rPr>
  </w:style>
  <w:style w:type="paragraph" w:styleId="BlockText">
    <w:name w:val="Block Text"/>
    <w:uiPriority w:val="99"/>
    <w:semiHidden/>
    <w:unhideWhenUsed/>
    <w:rsid w:val="00B825F7"/>
    <w:pPr>
      <w:spacing w:after="120"/>
      <w:ind w:left="1440" w:right="1440"/>
    </w:pPr>
    <w:rPr>
      <w:rFonts w:cs="Arial"/>
      <w:sz w:val="22"/>
      <w:szCs w:val="22"/>
      <w:lang w:eastAsia="en-AU"/>
    </w:rPr>
  </w:style>
  <w:style w:type="paragraph" w:styleId="BodyText">
    <w:name w:val="Body Text"/>
    <w:link w:val="BodyTextChar"/>
    <w:unhideWhenUsed/>
    <w:rsid w:val="00B825F7"/>
    <w:pPr>
      <w:spacing w:after="120"/>
    </w:pPr>
    <w:rPr>
      <w:rFonts w:cs="Arial"/>
      <w:sz w:val="22"/>
      <w:szCs w:val="22"/>
      <w:lang w:eastAsia="en-AU"/>
    </w:rPr>
  </w:style>
  <w:style w:type="character" w:customStyle="1" w:styleId="BodyTextChar">
    <w:name w:val="Body Text Char"/>
    <w:link w:val="BodyText"/>
    <w:rsid w:val="00B825F7"/>
    <w:rPr>
      <w:rFonts w:ascii="Arial" w:hAnsi="Arial" w:cs="Arial"/>
    </w:rPr>
  </w:style>
  <w:style w:type="paragraph" w:styleId="BodyText2">
    <w:name w:val="Body Text 2"/>
    <w:link w:val="BodyText2Char"/>
    <w:uiPriority w:val="99"/>
    <w:semiHidden/>
    <w:unhideWhenUsed/>
    <w:rsid w:val="00B825F7"/>
    <w:pPr>
      <w:spacing w:after="120" w:line="480" w:lineRule="auto"/>
    </w:pPr>
    <w:rPr>
      <w:rFonts w:cs="Arial"/>
      <w:sz w:val="22"/>
      <w:szCs w:val="22"/>
      <w:lang w:eastAsia="en-AU"/>
    </w:rPr>
  </w:style>
  <w:style w:type="character" w:customStyle="1" w:styleId="BodyText2Char">
    <w:name w:val="Body Text 2 Char"/>
    <w:link w:val="BodyText2"/>
    <w:uiPriority w:val="99"/>
    <w:semiHidden/>
    <w:rsid w:val="00B825F7"/>
    <w:rPr>
      <w:rFonts w:ascii="Arial" w:hAnsi="Arial" w:cs="Arial"/>
    </w:rPr>
  </w:style>
  <w:style w:type="paragraph" w:styleId="BodyText3">
    <w:name w:val="Body Text 3"/>
    <w:link w:val="BodyText3Char"/>
    <w:uiPriority w:val="99"/>
    <w:semiHidden/>
    <w:unhideWhenUsed/>
    <w:rsid w:val="00B825F7"/>
    <w:pPr>
      <w:spacing w:after="120"/>
    </w:pPr>
    <w:rPr>
      <w:rFonts w:cs="Arial"/>
      <w:sz w:val="16"/>
      <w:szCs w:val="16"/>
      <w:lang w:eastAsia="en-AU"/>
    </w:rPr>
  </w:style>
  <w:style w:type="character" w:customStyle="1" w:styleId="BodyText3Char">
    <w:name w:val="Body Text 3 Char"/>
    <w:link w:val="BodyText3"/>
    <w:uiPriority w:val="99"/>
    <w:semiHidden/>
    <w:rsid w:val="00B825F7"/>
    <w:rPr>
      <w:rFonts w:ascii="Arial" w:hAnsi="Arial" w:cs="Arial"/>
      <w:sz w:val="16"/>
      <w:szCs w:val="16"/>
    </w:rPr>
  </w:style>
  <w:style w:type="paragraph" w:styleId="BodyTextFirstIndent">
    <w:name w:val="Body Text First Indent"/>
    <w:link w:val="BodyTextFirstIndentChar"/>
    <w:uiPriority w:val="99"/>
    <w:semiHidden/>
    <w:unhideWhenUsed/>
    <w:rsid w:val="00B825F7"/>
    <w:pPr>
      <w:ind w:firstLine="210"/>
    </w:pPr>
    <w:rPr>
      <w:rFonts w:cs="Arial"/>
      <w:sz w:val="22"/>
      <w:szCs w:val="22"/>
      <w:lang w:eastAsia="en-AU"/>
    </w:rPr>
  </w:style>
  <w:style w:type="character" w:customStyle="1" w:styleId="BodyTextFirstIndentChar">
    <w:name w:val="Body Text First Indent Char"/>
    <w:link w:val="BodyTextFirstIndent"/>
    <w:uiPriority w:val="99"/>
    <w:semiHidden/>
    <w:rsid w:val="00B825F7"/>
    <w:rPr>
      <w:rFonts w:ascii="Arial" w:hAnsi="Arial" w:cs="Arial"/>
    </w:rPr>
  </w:style>
  <w:style w:type="paragraph" w:styleId="BodyTextIndent">
    <w:name w:val="Body Text Indent"/>
    <w:link w:val="BodyTextIndentChar"/>
    <w:uiPriority w:val="99"/>
    <w:semiHidden/>
    <w:unhideWhenUsed/>
    <w:rsid w:val="00B825F7"/>
    <w:pPr>
      <w:spacing w:after="120"/>
      <w:ind w:left="283"/>
    </w:pPr>
    <w:rPr>
      <w:rFonts w:cs="Arial"/>
      <w:sz w:val="22"/>
      <w:szCs w:val="22"/>
      <w:lang w:eastAsia="en-AU"/>
    </w:rPr>
  </w:style>
  <w:style w:type="character" w:customStyle="1" w:styleId="BodyTextIndentChar">
    <w:name w:val="Body Text Indent Char"/>
    <w:link w:val="BodyTextIndent"/>
    <w:uiPriority w:val="99"/>
    <w:semiHidden/>
    <w:rsid w:val="00B825F7"/>
    <w:rPr>
      <w:rFonts w:ascii="Arial" w:hAnsi="Arial" w:cs="Arial"/>
    </w:rPr>
  </w:style>
  <w:style w:type="paragraph" w:styleId="BodyTextFirstIndent2">
    <w:name w:val="Body Text First Indent 2"/>
    <w:link w:val="BodyTextFirstIndent2Char"/>
    <w:uiPriority w:val="99"/>
    <w:semiHidden/>
    <w:unhideWhenUsed/>
    <w:rsid w:val="00B825F7"/>
    <w:pPr>
      <w:ind w:firstLine="210"/>
    </w:pPr>
    <w:rPr>
      <w:rFonts w:cs="Arial"/>
      <w:sz w:val="22"/>
      <w:szCs w:val="22"/>
      <w:lang w:eastAsia="en-AU"/>
    </w:rPr>
  </w:style>
  <w:style w:type="character" w:customStyle="1" w:styleId="BodyTextFirstIndent2Char">
    <w:name w:val="Body Text First Indent 2 Char"/>
    <w:link w:val="BodyTextFirstIndent2"/>
    <w:uiPriority w:val="99"/>
    <w:semiHidden/>
    <w:rsid w:val="00B825F7"/>
    <w:rPr>
      <w:rFonts w:ascii="Arial" w:hAnsi="Arial" w:cs="Arial"/>
    </w:rPr>
  </w:style>
  <w:style w:type="paragraph" w:styleId="BodyTextIndent2">
    <w:name w:val="Body Text Indent 2"/>
    <w:link w:val="BodyTextIndent2Char"/>
    <w:uiPriority w:val="99"/>
    <w:semiHidden/>
    <w:unhideWhenUsed/>
    <w:rsid w:val="00B825F7"/>
    <w:pPr>
      <w:spacing w:after="120" w:line="480" w:lineRule="auto"/>
      <w:ind w:left="283"/>
    </w:pPr>
    <w:rPr>
      <w:rFonts w:cs="Arial"/>
      <w:sz w:val="22"/>
      <w:szCs w:val="22"/>
      <w:lang w:eastAsia="en-AU"/>
    </w:rPr>
  </w:style>
  <w:style w:type="character" w:customStyle="1" w:styleId="BodyTextIndent2Char">
    <w:name w:val="Body Text Indent 2 Char"/>
    <w:link w:val="BodyTextIndent2"/>
    <w:uiPriority w:val="99"/>
    <w:semiHidden/>
    <w:rsid w:val="00B825F7"/>
    <w:rPr>
      <w:rFonts w:ascii="Arial" w:hAnsi="Arial" w:cs="Arial"/>
    </w:rPr>
  </w:style>
  <w:style w:type="paragraph" w:styleId="BodyTextIndent3">
    <w:name w:val="Body Text Indent 3"/>
    <w:link w:val="BodyTextIndent3Char"/>
    <w:uiPriority w:val="99"/>
    <w:semiHidden/>
    <w:unhideWhenUsed/>
    <w:rsid w:val="00B825F7"/>
    <w:pPr>
      <w:spacing w:after="120"/>
      <w:ind w:left="283"/>
    </w:pPr>
    <w:rPr>
      <w:rFonts w:cs="Arial"/>
      <w:sz w:val="16"/>
      <w:szCs w:val="16"/>
      <w:lang w:eastAsia="en-AU"/>
    </w:rPr>
  </w:style>
  <w:style w:type="character" w:customStyle="1" w:styleId="BodyTextIndent3Char">
    <w:name w:val="Body Text Indent 3 Char"/>
    <w:link w:val="BodyTextIndent3"/>
    <w:uiPriority w:val="99"/>
    <w:semiHidden/>
    <w:rsid w:val="00B825F7"/>
    <w:rPr>
      <w:rFonts w:ascii="Arial" w:hAnsi="Arial" w:cs="Arial"/>
      <w:sz w:val="16"/>
      <w:szCs w:val="16"/>
    </w:rPr>
  </w:style>
  <w:style w:type="character" w:customStyle="1" w:styleId="GridTable1Light1">
    <w:name w:val="Grid Table 1 Light1"/>
    <w:uiPriority w:val="33"/>
    <w:rsid w:val="00B825F7"/>
    <w:rPr>
      <w:b/>
      <w:bCs/>
      <w:i/>
      <w:iCs/>
      <w:spacing w:val="5"/>
    </w:rPr>
  </w:style>
  <w:style w:type="paragraph" w:styleId="Caption">
    <w:name w:val="caption"/>
    <w:next w:val="Normal"/>
    <w:uiPriority w:val="35"/>
    <w:qFormat/>
    <w:rsid w:val="00CE2389"/>
    <w:pPr>
      <w:keepNext/>
      <w:tabs>
        <w:tab w:val="left" w:pos="1134"/>
      </w:tabs>
      <w:spacing w:after="120"/>
    </w:pPr>
    <w:rPr>
      <w:rFonts w:cs="Arial"/>
      <w:b/>
      <w:bCs/>
      <w:i/>
      <w:lang w:eastAsia="en-AU"/>
    </w:rPr>
  </w:style>
  <w:style w:type="paragraph" w:styleId="Closing">
    <w:name w:val="Closing"/>
    <w:link w:val="ClosingChar"/>
    <w:uiPriority w:val="99"/>
    <w:semiHidden/>
    <w:unhideWhenUsed/>
    <w:rsid w:val="00B825F7"/>
    <w:pPr>
      <w:ind w:left="4252"/>
    </w:pPr>
    <w:rPr>
      <w:rFonts w:cs="Arial"/>
      <w:sz w:val="22"/>
      <w:szCs w:val="22"/>
      <w:lang w:eastAsia="en-AU"/>
    </w:rPr>
  </w:style>
  <w:style w:type="character" w:customStyle="1" w:styleId="ClosingChar">
    <w:name w:val="Closing Char"/>
    <w:link w:val="Closing"/>
    <w:uiPriority w:val="99"/>
    <w:semiHidden/>
    <w:rsid w:val="00B825F7"/>
    <w:rPr>
      <w:rFonts w:ascii="Arial" w:hAnsi="Arial" w:cs="Arial"/>
    </w:rPr>
  </w:style>
  <w:style w:type="paragraph" w:styleId="Quote">
    <w:name w:val="Quote"/>
    <w:basedOn w:val="Normal"/>
    <w:next w:val="Normal"/>
    <w:link w:val="QuoteChar"/>
    <w:uiPriority w:val="29"/>
    <w:qFormat/>
    <w:rsid w:val="005D2D25"/>
    <w:pPr>
      <w:spacing w:before="200" w:after="160"/>
      <w:ind w:left="864" w:right="864"/>
      <w:jc w:val="center"/>
    </w:pPr>
    <w:rPr>
      <w:i/>
      <w:iCs/>
      <w:color w:val="404040"/>
    </w:rPr>
  </w:style>
  <w:style w:type="table" w:styleId="MediumGrid2-Accent2">
    <w:name w:val="Medium Grid 2 Accent 2"/>
    <w:uiPriority w:val="73"/>
    <w:semiHidden/>
    <w:unhideWhenUsed/>
    <w:rsid w:val="00B825F7"/>
    <w:rPr>
      <w:color w:val="000000"/>
      <w:sz w:val="22"/>
      <w:szCs w:val="22"/>
      <w:lang w:eastAsia="en-AU"/>
    </w:rPr>
    <w:tblPr>
      <w:tblStyleRowBandSize w:val="1"/>
      <w:tblStyleColBandSize w:val="1"/>
      <w:tblBorders>
        <w:insideH w:val="single" w:sz="4" w:space="0" w:color="FFFFFF"/>
      </w:tblBorders>
      <w:tblCellMar>
        <w:top w:w="0" w:type="dxa"/>
        <w:left w:w="0" w:type="dxa"/>
        <w:bottom w:w="0" w:type="dxa"/>
        <w:right w:w="0" w:type="dxa"/>
      </w:tblCellMar>
    </w:tblPr>
    <w:tcPr>
      <w:shd w:val="clear" w:color="auto" w:fill="DEEAF6"/>
    </w:tcPr>
  </w:style>
  <w:style w:type="table" w:styleId="MediumGrid2-Accent3">
    <w:name w:val="Medium Grid 2 Accent 3"/>
    <w:uiPriority w:val="73"/>
    <w:semiHidden/>
    <w:unhideWhenUsed/>
    <w:rsid w:val="00B825F7"/>
    <w:rPr>
      <w:color w:val="000000"/>
      <w:sz w:val="22"/>
      <w:szCs w:val="22"/>
      <w:lang w:eastAsia="en-AU"/>
    </w:rPr>
    <w:tblPr>
      <w:tblStyleRowBandSize w:val="1"/>
      <w:tblStyleColBandSize w:val="1"/>
      <w:tblBorders>
        <w:insideH w:val="single" w:sz="4" w:space="0" w:color="FFFFFF"/>
      </w:tblBorders>
      <w:tblCellMar>
        <w:top w:w="0" w:type="dxa"/>
        <w:left w:w="0" w:type="dxa"/>
        <w:bottom w:w="0" w:type="dxa"/>
        <w:right w:w="0" w:type="dxa"/>
      </w:tblCellMar>
    </w:tblPr>
    <w:tcPr>
      <w:shd w:val="clear" w:color="auto" w:fill="FBE4D5"/>
    </w:tcPr>
  </w:style>
  <w:style w:type="table" w:styleId="MediumGrid2-Accent4">
    <w:name w:val="Medium Grid 2 Accent 4"/>
    <w:uiPriority w:val="73"/>
    <w:semiHidden/>
    <w:unhideWhenUsed/>
    <w:rsid w:val="00B825F7"/>
    <w:rPr>
      <w:color w:val="000000"/>
      <w:sz w:val="22"/>
      <w:szCs w:val="22"/>
      <w:lang w:eastAsia="en-AU"/>
    </w:rPr>
    <w:tblPr>
      <w:tblStyleRowBandSize w:val="1"/>
      <w:tblStyleColBandSize w:val="1"/>
      <w:tblBorders>
        <w:insideH w:val="single" w:sz="4" w:space="0" w:color="FFFFFF"/>
      </w:tblBorders>
      <w:tblCellMar>
        <w:top w:w="0" w:type="dxa"/>
        <w:left w:w="0" w:type="dxa"/>
        <w:bottom w:w="0" w:type="dxa"/>
        <w:right w:w="0" w:type="dxa"/>
      </w:tblCellMar>
    </w:tblPr>
    <w:tcPr>
      <w:shd w:val="clear" w:color="auto" w:fill="EDEDED"/>
    </w:tcPr>
  </w:style>
  <w:style w:type="table" w:styleId="MediumGrid2-Accent5">
    <w:name w:val="Medium Grid 2 Accent 5"/>
    <w:uiPriority w:val="73"/>
    <w:semiHidden/>
    <w:unhideWhenUsed/>
    <w:rsid w:val="00B825F7"/>
    <w:rPr>
      <w:color w:val="000000"/>
      <w:sz w:val="22"/>
      <w:szCs w:val="22"/>
      <w:lang w:eastAsia="en-AU"/>
    </w:rPr>
    <w:tblPr>
      <w:tblStyleRowBandSize w:val="1"/>
      <w:tblStyleColBandSize w:val="1"/>
      <w:tblBorders>
        <w:insideH w:val="single" w:sz="4" w:space="0" w:color="FFFFFF"/>
      </w:tblBorders>
      <w:tblCellMar>
        <w:top w:w="0" w:type="dxa"/>
        <w:left w:w="0" w:type="dxa"/>
        <w:bottom w:w="0" w:type="dxa"/>
        <w:right w:w="0" w:type="dxa"/>
      </w:tblCellMar>
    </w:tblPr>
    <w:tcPr>
      <w:shd w:val="clear" w:color="auto" w:fill="FFF2CC"/>
    </w:tcPr>
  </w:style>
  <w:style w:type="table" w:styleId="MediumGrid2-Accent6">
    <w:name w:val="Medium Grid 2 Accent 6"/>
    <w:uiPriority w:val="73"/>
    <w:semiHidden/>
    <w:unhideWhenUsed/>
    <w:rsid w:val="00B825F7"/>
    <w:rPr>
      <w:color w:val="000000"/>
      <w:sz w:val="22"/>
      <w:szCs w:val="22"/>
      <w:lang w:eastAsia="en-AU"/>
    </w:rPr>
    <w:tblPr>
      <w:tblStyleRowBandSize w:val="1"/>
      <w:tblStyleColBandSize w:val="1"/>
      <w:tblBorders>
        <w:insideH w:val="single" w:sz="4" w:space="0" w:color="FFFFFF"/>
      </w:tblBorders>
      <w:tblCellMar>
        <w:top w:w="0" w:type="dxa"/>
        <w:left w:w="0" w:type="dxa"/>
        <w:bottom w:w="0" w:type="dxa"/>
        <w:right w:w="0" w:type="dxa"/>
      </w:tblCellMar>
    </w:tblPr>
    <w:tcPr>
      <w:shd w:val="clear" w:color="auto" w:fill="D9E2F3"/>
    </w:tcPr>
  </w:style>
  <w:style w:type="table" w:customStyle="1" w:styleId="PlainTable21">
    <w:name w:val="Plain Table 21"/>
    <w:uiPriority w:val="73"/>
    <w:semiHidden/>
    <w:unhideWhenUsed/>
    <w:rsid w:val="00B825F7"/>
    <w:rPr>
      <w:color w:val="000000"/>
      <w:sz w:val="22"/>
      <w:szCs w:val="22"/>
      <w:lang w:eastAsia="en-AU"/>
    </w:rPr>
    <w:tblPr>
      <w:tblStyleRowBandSize w:val="1"/>
      <w:tblStyleColBandSize w:val="1"/>
      <w:tblBorders>
        <w:insideH w:val="single" w:sz="4" w:space="0" w:color="FFFFFF"/>
      </w:tblBorders>
      <w:tblCellMar>
        <w:top w:w="0" w:type="dxa"/>
        <w:left w:w="0" w:type="dxa"/>
        <w:bottom w:w="0" w:type="dxa"/>
        <w:right w:w="0" w:type="dxa"/>
      </w:tblCellMar>
    </w:tblPr>
    <w:tcPr>
      <w:shd w:val="clear" w:color="auto" w:fill="E2EFD9"/>
    </w:tcPr>
  </w:style>
  <w:style w:type="table" w:customStyle="1" w:styleId="ListParagraph1">
    <w:name w:val="List Paragraph1"/>
    <w:uiPriority w:val="34"/>
    <w:qFormat/>
    <w:rsid w:val="00B825F7"/>
    <w:rPr>
      <w:color w:val="000000"/>
      <w:sz w:val="22"/>
      <w:szCs w:val="22"/>
      <w:lang w:eastAsia="en-AU"/>
    </w:rPr>
    <w:tblPr>
      <w:tblStyleRowBandSize w:val="1"/>
      <w:tblStyleColBandSize w:val="1"/>
      <w:tblCellMar>
        <w:top w:w="0" w:type="dxa"/>
        <w:left w:w="0" w:type="dxa"/>
        <w:bottom w:w="0" w:type="dxa"/>
        <w:right w:w="0" w:type="dxa"/>
      </w:tblCellMar>
    </w:tblPr>
    <w:tcPr>
      <w:shd w:val="clear" w:color="auto" w:fill="E6E6E6"/>
    </w:tcPr>
  </w:style>
  <w:style w:type="table" w:styleId="MediumGrid1-Accent2">
    <w:name w:val="Medium Grid 1 Accent 2"/>
    <w:uiPriority w:val="72"/>
    <w:semiHidden/>
    <w:unhideWhenUsed/>
    <w:rsid w:val="00B825F7"/>
    <w:rPr>
      <w:color w:val="000000"/>
      <w:sz w:val="22"/>
      <w:szCs w:val="22"/>
      <w:lang w:eastAsia="en-AU"/>
    </w:rPr>
    <w:tblPr>
      <w:tblStyleRowBandSize w:val="1"/>
      <w:tblStyleColBandSize w:val="1"/>
      <w:tblCellMar>
        <w:top w:w="0" w:type="dxa"/>
        <w:left w:w="0" w:type="dxa"/>
        <w:bottom w:w="0" w:type="dxa"/>
        <w:right w:w="0" w:type="dxa"/>
      </w:tblCellMar>
    </w:tblPr>
    <w:tcPr>
      <w:shd w:val="clear" w:color="auto" w:fill="EEF5FB"/>
    </w:tcPr>
  </w:style>
  <w:style w:type="table" w:styleId="MediumGrid1-Accent3">
    <w:name w:val="Medium Grid 1 Accent 3"/>
    <w:uiPriority w:val="72"/>
    <w:semiHidden/>
    <w:unhideWhenUsed/>
    <w:rsid w:val="00B825F7"/>
    <w:rPr>
      <w:color w:val="000000"/>
      <w:sz w:val="22"/>
      <w:szCs w:val="22"/>
      <w:lang w:eastAsia="en-AU"/>
    </w:rPr>
    <w:tblPr>
      <w:tblStyleRowBandSize w:val="1"/>
      <w:tblStyleColBandSize w:val="1"/>
      <w:tblCellMar>
        <w:top w:w="0" w:type="dxa"/>
        <w:left w:w="0" w:type="dxa"/>
        <w:bottom w:w="0" w:type="dxa"/>
        <w:right w:w="0" w:type="dxa"/>
      </w:tblCellMar>
    </w:tblPr>
    <w:tcPr>
      <w:shd w:val="clear" w:color="auto" w:fill="FDF2EA"/>
    </w:tcPr>
  </w:style>
  <w:style w:type="table" w:styleId="MediumGrid1-Accent4">
    <w:name w:val="Medium Grid 1 Accent 4"/>
    <w:uiPriority w:val="72"/>
    <w:semiHidden/>
    <w:unhideWhenUsed/>
    <w:rsid w:val="00B825F7"/>
    <w:rPr>
      <w:color w:val="000000"/>
      <w:sz w:val="22"/>
      <w:szCs w:val="22"/>
      <w:lang w:eastAsia="en-AU"/>
    </w:rPr>
    <w:tblPr>
      <w:tblStyleRowBandSize w:val="1"/>
      <w:tblStyleColBandSize w:val="1"/>
      <w:tblCellMar>
        <w:top w:w="0" w:type="dxa"/>
        <w:left w:w="0" w:type="dxa"/>
        <w:bottom w:w="0" w:type="dxa"/>
        <w:right w:w="0" w:type="dxa"/>
      </w:tblCellMar>
    </w:tblPr>
    <w:tcPr>
      <w:shd w:val="clear" w:color="auto" w:fill="F6F6F6"/>
    </w:tcPr>
  </w:style>
  <w:style w:type="table" w:styleId="MediumGrid1-Accent5">
    <w:name w:val="Medium Grid 1 Accent 5"/>
    <w:uiPriority w:val="72"/>
    <w:semiHidden/>
    <w:unhideWhenUsed/>
    <w:rsid w:val="00B825F7"/>
    <w:rPr>
      <w:color w:val="000000"/>
      <w:sz w:val="22"/>
      <w:szCs w:val="22"/>
      <w:lang w:eastAsia="en-AU"/>
    </w:rPr>
    <w:tblPr>
      <w:tblStyleRowBandSize w:val="1"/>
      <w:tblStyleColBandSize w:val="1"/>
      <w:tblCellMar>
        <w:top w:w="0" w:type="dxa"/>
        <w:left w:w="0" w:type="dxa"/>
        <w:bottom w:w="0" w:type="dxa"/>
        <w:right w:w="0" w:type="dxa"/>
      </w:tblCellMar>
    </w:tblPr>
    <w:tcPr>
      <w:shd w:val="clear" w:color="auto" w:fill="FFF8E6"/>
    </w:tcPr>
  </w:style>
  <w:style w:type="table" w:styleId="MediumGrid1-Accent6">
    <w:name w:val="Medium Grid 1 Accent 6"/>
    <w:uiPriority w:val="72"/>
    <w:semiHidden/>
    <w:unhideWhenUsed/>
    <w:rsid w:val="00B825F7"/>
    <w:rPr>
      <w:color w:val="000000"/>
      <w:sz w:val="22"/>
      <w:szCs w:val="22"/>
      <w:lang w:eastAsia="en-AU"/>
    </w:rPr>
    <w:tblPr>
      <w:tblStyleRowBandSize w:val="1"/>
      <w:tblStyleColBandSize w:val="1"/>
      <w:tblCellMar>
        <w:top w:w="0" w:type="dxa"/>
        <w:left w:w="0" w:type="dxa"/>
        <w:bottom w:w="0" w:type="dxa"/>
        <w:right w:w="0" w:type="dxa"/>
      </w:tblCellMar>
    </w:tblPr>
    <w:tcPr>
      <w:shd w:val="clear" w:color="auto" w:fill="ECF1F9"/>
    </w:tcPr>
  </w:style>
  <w:style w:type="table" w:customStyle="1" w:styleId="PlainTable11">
    <w:name w:val="Plain Table 11"/>
    <w:uiPriority w:val="72"/>
    <w:semiHidden/>
    <w:unhideWhenUsed/>
    <w:rsid w:val="00B825F7"/>
    <w:rPr>
      <w:color w:val="000000"/>
      <w:sz w:val="22"/>
      <w:szCs w:val="22"/>
      <w:lang w:eastAsia="en-AU"/>
    </w:rPr>
    <w:tblPr>
      <w:tblStyleRowBandSize w:val="1"/>
      <w:tblStyleColBandSize w:val="1"/>
      <w:tblCellMar>
        <w:top w:w="0" w:type="dxa"/>
        <w:left w:w="0" w:type="dxa"/>
        <w:bottom w:w="0" w:type="dxa"/>
        <w:right w:w="0" w:type="dxa"/>
      </w:tblCellMar>
    </w:tblPr>
    <w:tcPr>
      <w:shd w:val="clear" w:color="auto" w:fill="F0F7EC"/>
    </w:tcPr>
  </w:style>
  <w:style w:type="table" w:customStyle="1" w:styleId="Revision1">
    <w:name w:val="Revision1"/>
    <w:uiPriority w:val="71"/>
    <w:semiHidden/>
    <w:unhideWhenUsed/>
    <w:rsid w:val="00B825F7"/>
    <w:rPr>
      <w:color w:val="000000"/>
      <w:sz w:val="22"/>
      <w:szCs w:val="22"/>
      <w:lang w:eastAsia="en-AU"/>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CellMar>
        <w:top w:w="0" w:type="dxa"/>
        <w:left w:w="0" w:type="dxa"/>
        <w:bottom w:w="0" w:type="dxa"/>
        <w:right w:w="0" w:type="dxa"/>
      </w:tblCellMar>
    </w:tblPr>
    <w:tcPr>
      <w:shd w:val="clear" w:color="auto" w:fill="E6E6E6"/>
    </w:tcPr>
  </w:style>
  <w:style w:type="table" w:styleId="MediumList2-Accent2">
    <w:name w:val="Medium List 2 Accent 2"/>
    <w:uiPriority w:val="71"/>
    <w:semiHidden/>
    <w:unhideWhenUsed/>
    <w:rsid w:val="00B825F7"/>
    <w:rPr>
      <w:color w:val="000000"/>
      <w:sz w:val="22"/>
      <w:szCs w:val="22"/>
      <w:lang w:eastAsia="en-AU"/>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0" w:type="dxa"/>
        <w:bottom w:w="0" w:type="dxa"/>
        <w:right w:w="0" w:type="dxa"/>
      </w:tblCellMar>
    </w:tblPr>
    <w:tcPr>
      <w:shd w:val="clear" w:color="auto" w:fill="EEF5FB"/>
    </w:tcPr>
  </w:style>
  <w:style w:type="table" w:styleId="MediumList2-Accent3">
    <w:name w:val="Medium List 2 Accent 3"/>
    <w:uiPriority w:val="71"/>
    <w:semiHidden/>
    <w:unhideWhenUsed/>
    <w:rsid w:val="00B825F7"/>
    <w:rPr>
      <w:color w:val="000000"/>
      <w:sz w:val="22"/>
      <w:szCs w:val="22"/>
      <w:lang w:eastAsia="en-AU"/>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CellMar>
        <w:top w:w="0" w:type="dxa"/>
        <w:left w:w="0" w:type="dxa"/>
        <w:bottom w:w="0" w:type="dxa"/>
        <w:right w:w="0" w:type="dxa"/>
      </w:tblCellMar>
    </w:tblPr>
    <w:tcPr>
      <w:shd w:val="clear" w:color="auto" w:fill="FDF2EA"/>
    </w:tcPr>
  </w:style>
  <w:style w:type="table" w:styleId="MediumList2-Accent4">
    <w:name w:val="Medium List 2 Accent 4"/>
    <w:uiPriority w:val="71"/>
    <w:semiHidden/>
    <w:unhideWhenUsed/>
    <w:rsid w:val="00B825F7"/>
    <w:rPr>
      <w:color w:val="000000"/>
      <w:sz w:val="22"/>
      <w:szCs w:val="22"/>
      <w:lang w:eastAsia="en-AU"/>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CellMar>
        <w:top w:w="0" w:type="dxa"/>
        <w:left w:w="0" w:type="dxa"/>
        <w:bottom w:w="0" w:type="dxa"/>
        <w:right w:w="0" w:type="dxa"/>
      </w:tblCellMar>
    </w:tblPr>
    <w:tcPr>
      <w:shd w:val="clear" w:color="auto" w:fill="F6F6F6"/>
    </w:tcPr>
  </w:style>
  <w:style w:type="table" w:styleId="MediumList2-Accent5">
    <w:name w:val="Medium List 2 Accent 5"/>
    <w:uiPriority w:val="71"/>
    <w:semiHidden/>
    <w:unhideWhenUsed/>
    <w:rsid w:val="00B825F7"/>
    <w:rPr>
      <w:color w:val="000000"/>
      <w:sz w:val="22"/>
      <w:szCs w:val="22"/>
      <w:lang w:eastAsia="en-AU"/>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CellMar>
        <w:top w:w="0" w:type="dxa"/>
        <w:left w:w="0" w:type="dxa"/>
        <w:bottom w:w="0" w:type="dxa"/>
        <w:right w:w="0" w:type="dxa"/>
      </w:tblCellMar>
    </w:tblPr>
    <w:tcPr>
      <w:shd w:val="clear" w:color="auto" w:fill="FFF8E6"/>
    </w:tcPr>
  </w:style>
  <w:style w:type="table" w:styleId="MediumList2-Accent6">
    <w:name w:val="Medium List 2 Accent 6"/>
    <w:uiPriority w:val="71"/>
    <w:semiHidden/>
    <w:unhideWhenUsed/>
    <w:rsid w:val="00B825F7"/>
    <w:rPr>
      <w:color w:val="000000"/>
      <w:sz w:val="22"/>
      <w:szCs w:val="22"/>
      <w:lang w:eastAsia="en-AU"/>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CellMar>
        <w:top w:w="0" w:type="dxa"/>
        <w:left w:w="0" w:type="dxa"/>
        <w:bottom w:w="0" w:type="dxa"/>
        <w:right w:w="0" w:type="dxa"/>
      </w:tblCellMar>
    </w:tblPr>
    <w:tcPr>
      <w:shd w:val="clear" w:color="auto" w:fill="ECF1F9"/>
    </w:tcPr>
  </w:style>
  <w:style w:type="table" w:customStyle="1" w:styleId="TOCHeading1">
    <w:name w:val="TOC Heading1"/>
    <w:uiPriority w:val="71"/>
    <w:qFormat/>
    <w:rsid w:val="00B825F7"/>
    <w:rPr>
      <w:color w:val="000000"/>
      <w:sz w:val="22"/>
      <w:szCs w:val="22"/>
      <w:lang w:eastAsia="en-AU"/>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CellMar>
        <w:top w:w="0" w:type="dxa"/>
        <w:left w:w="0" w:type="dxa"/>
        <w:bottom w:w="0" w:type="dxa"/>
        <w:right w:w="0" w:type="dxa"/>
      </w:tblCellMar>
    </w:tblPr>
    <w:tcPr>
      <w:shd w:val="clear" w:color="auto" w:fill="F0F7EC"/>
    </w:tcPr>
  </w:style>
  <w:style w:type="character" w:styleId="CommentReference">
    <w:name w:val="annotation reference"/>
    <w:uiPriority w:val="99"/>
    <w:semiHidden/>
    <w:unhideWhenUsed/>
    <w:rsid w:val="00B825F7"/>
    <w:rPr>
      <w:sz w:val="16"/>
      <w:szCs w:val="16"/>
    </w:rPr>
  </w:style>
  <w:style w:type="paragraph" w:styleId="CommentText">
    <w:name w:val="annotation text"/>
    <w:link w:val="CommentTextChar"/>
    <w:uiPriority w:val="99"/>
    <w:semiHidden/>
    <w:unhideWhenUsed/>
    <w:rsid w:val="00B825F7"/>
    <w:rPr>
      <w:rFonts w:cs="Arial"/>
      <w:lang w:eastAsia="en-AU"/>
    </w:rPr>
  </w:style>
  <w:style w:type="character" w:customStyle="1" w:styleId="CommentTextChar">
    <w:name w:val="Comment Text Char"/>
    <w:link w:val="CommentText"/>
    <w:uiPriority w:val="99"/>
    <w:semiHidden/>
    <w:rsid w:val="00B825F7"/>
    <w:rPr>
      <w:rFonts w:ascii="Arial" w:hAnsi="Arial" w:cs="Arial"/>
      <w:sz w:val="20"/>
      <w:szCs w:val="20"/>
    </w:rPr>
  </w:style>
  <w:style w:type="paragraph" w:styleId="CommentSubject">
    <w:name w:val="annotation subject"/>
    <w:next w:val="CommentText"/>
    <w:link w:val="CommentSubjectChar"/>
    <w:uiPriority w:val="99"/>
    <w:semiHidden/>
    <w:unhideWhenUsed/>
    <w:rsid w:val="00B825F7"/>
    <w:rPr>
      <w:rFonts w:cs="Arial"/>
      <w:b/>
      <w:bCs/>
      <w:lang w:eastAsia="en-AU"/>
    </w:rPr>
  </w:style>
  <w:style w:type="character" w:customStyle="1" w:styleId="CommentSubjectChar">
    <w:name w:val="Comment Subject Char"/>
    <w:link w:val="CommentSubject"/>
    <w:uiPriority w:val="99"/>
    <w:semiHidden/>
    <w:rsid w:val="00B825F7"/>
    <w:rPr>
      <w:rFonts w:ascii="Arial" w:hAnsi="Arial" w:cs="Arial"/>
      <w:b/>
      <w:bCs/>
      <w:sz w:val="20"/>
      <w:szCs w:val="20"/>
    </w:rPr>
  </w:style>
  <w:style w:type="table" w:styleId="MediumList1-Accent1">
    <w:name w:val="Medium List 1 Accent 1"/>
    <w:uiPriority w:val="70"/>
    <w:semiHidden/>
    <w:unhideWhenUsed/>
    <w:rsid w:val="00B825F7"/>
    <w:rPr>
      <w:color w:val="FFFFFF"/>
      <w:sz w:val="22"/>
      <w:szCs w:val="22"/>
      <w:lang w:eastAsia="en-AU"/>
    </w:rPr>
    <w:tblPr>
      <w:tblStyleRowBandSize w:val="1"/>
      <w:tblStyleColBandSize w:val="1"/>
      <w:tblCellMar>
        <w:top w:w="0" w:type="dxa"/>
        <w:left w:w="0" w:type="dxa"/>
        <w:bottom w:w="0" w:type="dxa"/>
        <w:right w:w="0" w:type="dxa"/>
      </w:tblCellMar>
    </w:tblPr>
    <w:tcPr>
      <w:shd w:val="clear" w:color="auto" w:fill="000000"/>
    </w:tcPr>
  </w:style>
  <w:style w:type="table" w:styleId="MediumList1-Accent2">
    <w:name w:val="Medium List 1 Accent 2"/>
    <w:uiPriority w:val="70"/>
    <w:semiHidden/>
    <w:unhideWhenUsed/>
    <w:rsid w:val="00B825F7"/>
    <w:rPr>
      <w:color w:val="FFFFFF"/>
      <w:sz w:val="22"/>
      <w:szCs w:val="22"/>
      <w:lang w:eastAsia="en-AU"/>
    </w:rPr>
    <w:tblPr>
      <w:tblStyleRowBandSize w:val="1"/>
      <w:tblStyleColBandSize w:val="1"/>
      <w:tblCellMar>
        <w:top w:w="0" w:type="dxa"/>
        <w:left w:w="0" w:type="dxa"/>
        <w:bottom w:w="0" w:type="dxa"/>
        <w:right w:w="0" w:type="dxa"/>
      </w:tblCellMar>
    </w:tblPr>
    <w:tcPr>
      <w:shd w:val="clear" w:color="auto" w:fill="5B9BD5"/>
    </w:tcPr>
  </w:style>
  <w:style w:type="table" w:styleId="MediumList1-Accent3">
    <w:name w:val="Medium List 1 Accent 3"/>
    <w:uiPriority w:val="70"/>
    <w:semiHidden/>
    <w:unhideWhenUsed/>
    <w:rsid w:val="00B825F7"/>
    <w:rPr>
      <w:color w:val="FFFFFF"/>
      <w:sz w:val="22"/>
      <w:szCs w:val="22"/>
      <w:lang w:eastAsia="en-AU"/>
    </w:rPr>
    <w:tblPr>
      <w:tblStyleRowBandSize w:val="1"/>
      <w:tblStyleColBandSize w:val="1"/>
      <w:tblCellMar>
        <w:top w:w="0" w:type="dxa"/>
        <w:left w:w="0" w:type="dxa"/>
        <w:bottom w:w="0" w:type="dxa"/>
        <w:right w:w="0" w:type="dxa"/>
      </w:tblCellMar>
    </w:tblPr>
    <w:tcPr>
      <w:shd w:val="clear" w:color="auto" w:fill="ED7D31"/>
    </w:tcPr>
  </w:style>
  <w:style w:type="table" w:styleId="MediumList1-Accent4">
    <w:name w:val="Medium List 1 Accent 4"/>
    <w:uiPriority w:val="70"/>
    <w:semiHidden/>
    <w:unhideWhenUsed/>
    <w:rsid w:val="00B825F7"/>
    <w:rPr>
      <w:color w:val="FFFFFF"/>
      <w:sz w:val="22"/>
      <w:szCs w:val="22"/>
      <w:lang w:eastAsia="en-AU"/>
    </w:rPr>
    <w:tblPr>
      <w:tblStyleRowBandSize w:val="1"/>
      <w:tblStyleColBandSize w:val="1"/>
      <w:tblCellMar>
        <w:top w:w="0" w:type="dxa"/>
        <w:left w:w="0" w:type="dxa"/>
        <w:bottom w:w="0" w:type="dxa"/>
        <w:right w:w="0" w:type="dxa"/>
      </w:tblCellMar>
    </w:tblPr>
    <w:tcPr>
      <w:shd w:val="clear" w:color="auto" w:fill="A5A5A5"/>
    </w:tcPr>
  </w:style>
  <w:style w:type="table" w:styleId="MediumList1-Accent5">
    <w:name w:val="Medium List 1 Accent 5"/>
    <w:uiPriority w:val="70"/>
    <w:semiHidden/>
    <w:unhideWhenUsed/>
    <w:rsid w:val="00B825F7"/>
    <w:rPr>
      <w:color w:val="FFFFFF"/>
      <w:sz w:val="22"/>
      <w:szCs w:val="22"/>
      <w:lang w:eastAsia="en-AU"/>
    </w:rPr>
    <w:tblPr>
      <w:tblStyleRowBandSize w:val="1"/>
      <w:tblStyleColBandSize w:val="1"/>
      <w:tblCellMar>
        <w:top w:w="0" w:type="dxa"/>
        <w:left w:w="0" w:type="dxa"/>
        <w:bottom w:w="0" w:type="dxa"/>
        <w:right w:w="0" w:type="dxa"/>
      </w:tblCellMar>
    </w:tblPr>
    <w:tcPr>
      <w:shd w:val="clear" w:color="auto" w:fill="FFC000"/>
    </w:tcPr>
  </w:style>
  <w:style w:type="table" w:styleId="MediumList1-Accent6">
    <w:name w:val="Medium List 1 Accent 6"/>
    <w:uiPriority w:val="70"/>
    <w:semiHidden/>
    <w:unhideWhenUsed/>
    <w:rsid w:val="00B825F7"/>
    <w:rPr>
      <w:color w:val="FFFFFF"/>
      <w:sz w:val="22"/>
      <w:szCs w:val="22"/>
      <w:lang w:eastAsia="en-AU"/>
    </w:rPr>
    <w:tblPr>
      <w:tblStyleRowBandSize w:val="1"/>
      <w:tblStyleColBandSize w:val="1"/>
      <w:tblCellMar>
        <w:top w:w="0" w:type="dxa"/>
        <w:left w:w="0" w:type="dxa"/>
        <w:bottom w:w="0" w:type="dxa"/>
        <w:right w:w="0" w:type="dxa"/>
      </w:tblCellMar>
    </w:tblPr>
    <w:tcPr>
      <w:shd w:val="clear" w:color="auto" w:fill="4472C4"/>
    </w:tcPr>
  </w:style>
  <w:style w:type="table" w:customStyle="1" w:styleId="Bibliography1">
    <w:name w:val="Bibliography1"/>
    <w:uiPriority w:val="70"/>
    <w:semiHidden/>
    <w:unhideWhenUsed/>
    <w:rsid w:val="00B825F7"/>
    <w:rPr>
      <w:color w:val="FFFFFF"/>
      <w:sz w:val="22"/>
      <w:szCs w:val="22"/>
      <w:lang w:eastAsia="en-AU"/>
    </w:rPr>
    <w:tblPr>
      <w:tblStyleRowBandSize w:val="1"/>
      <w:tblStyleColBandSize w:val="1"/>
      <w:tblCellMar>
        <w:top w:w="0" w:type="dxa"/>
        <w:left w:w="0" w:type="dxa"/>
        <w:bottom w:w="0" w:type="dxa"/>
        <w:right w:w="0" w:type="dxa"/>
      </w:tblCellMar>
    </w:tblPr>
    <w:tcPr>
      <w:shd w:val="clear" w:color="auto" w:fill="70AD47"/>
    </w:tcPr>
  </w:style>
  <w:style w:type="paragraph" w:styleId="Date">
    <w:name w:val="Date"/>
    <w:next w:val="Normal"/>
    <w:link w:val="DateChar"/>
    <w:uiPriority w:val="99"/>
    <w:semiHidden/>
    <w:unhideWhenUsed/>
    <w:rsid w:val="00B825F7"/>
    <w:rPr>
      <w:rFonts w:cs="Arial"/>
      <w:sz w:val="22"/>
      <w:szCs w:val="22"/>
      <w:lang w:eastAsia="en-AU"/>
    </w:rPr>
  </w:style>
  <w:style w:type="character" w:customStyle="1" w:styleId="DateChar">
    <w:name w:val="Date Char"/>
    <w:link w:val="Date"/>
    <w:uiPriority w:val="99"/>
    <w:semiHidden/>
    <w:rsid w:val="00B825F7"/>
    <w:rPr>
      <w:rFonts w:ascii="Arial" w:hAnsi="Arial" w:cs="Arial"/>
    </w:rPr>
  </w:style>
  <w:style w:type="paragraph" w:styleId="DocumentMap">
    <w:name w:val="Document Map"/>
    <w:link w:val="DocumentMapChar"/>
    <w:uiPriority w:val="99"/>
    <w:semiHidden/>
    <w:unhideWhenUsed/>
    <w:rsid w:val="00B825F7"/>
    <w:rPr>
      <w:rFonts w:cs="Arial"/>
      <w:sz w:val="16"/>
      <w:szCs w:val="16"/>
      <w:lang w:eastAsia="en-AU"/>
    </w:rPr>
  </w:style>
  <w:style w:type="character" w:customStyle="1" w:styleId="DocumentMapChar">
    <w:name w:val="Document Map Char"/>
    <w:link w:val="DocumentMap"/>
    <w:uiPriority w:val="99"/>
    <w:semiHidden/>
    <w:rsid w:val="00B825F7"/>
    <w:rPr>
      <w:rFonts w:ascii="Arial" w:hAnsi="Arial" w:cs="Arial"/>
      <w:sz w:val="16"/>
      <w:szCs w:val="16"/>
    </w:rPr>
  </w:style>
  <w:style w:type="paragraph" w:styleId="E-mailSignature">
    <w:name w:val="E-mail Signature"/>
    <w:link w:val="E-mailSignatureChar"/>
    <w:uiPriority w:val="99"/>
    <w:semiHidden/>
    <w:unhideWhenUsed/>
    <w:rsid w:val="00B825F7"/>
    <w:rPr>
      <w:rFonts w:cs="Arial"/>
      <w:sz w:val="22"/>
      <w:szCs w:val="22"/>
      <w:lang w:eastAsia="en-AU"/>
    </w:rPr>
  </w:style>
  <w:style w:type="character" w:customStyle="1" w:styleId="E-mailSignatureChar">
    <w:name w:val="E-mail Signature Char"/>
    <w:link w:val="E-mailSignature"/>
    <w:uiPriority w:val="99"/>
    <w:semiHidden/>
    <w:rsid w:val="00B825F7"/>
    <w:rPr>
      <w:rFonts w:ascii="Arial" w:hAnsi="Arial" w:cs="Arial"/>
    </w:rPr>
  </w:style>
  <w:style w:type="character" w:styleId="Emphasis">
    <w:name w:val="Emphasis"/>
    <w:uiPriority w:val="20"/>
    <w:qFormat/>
    <w:rsid w:val="00B825F7"/>
    <w:rPr>
      <w:i/>
      <w:iCs/>
    </w:rPr>
  </w:style>
  <w:style w:type="character" w:styleId="EndnoteReference">
    <w:name w:val="endnote reference"/>
    <w:uiPriority w:val="99"/>
    <w:semiHidden/>
    <w:unhideWhenUsed/>
    <w:rsid w:val="00B825F7"/>
    <w:rPr>
      <w:vertAlign w:val="superscript"/>
    </w:rPr>
  </w:style>
  <w:style w:type="paragraph" w:styleId="EndnoteText">
    <w:name w:val="endnote text"/>
    <w:link w:val="EndnoteTextChar"/>
    <w:uiPriority w:val="99"/>
    <w:semiHidden/>
    <w:unhideWhenUsed/>
    <w:rsid w:val="00B825F7"/>
    <w:rPr>
      <w:rFonts w:cs="Arial"/>
      <w:lang w:eastAsia="en-AU"/>
    </w:rPr>
  </w:style>
  <w:style w:type="character" w:customStyle="1" w:styleId="EndnoteTextChar">
    <w:name w:val="Endnote Text Char"/>
    <w:link w:val="EndnoteText"/>
    <w:uiPriority w:val="99"/>
    <w:semiHidden/>
    <w:rsid w:val="00B825F7"/>
    <w:rPr>
      <w:rFonts w:ascii="Arial" w:hAnsi="Arial" w:cs="Arial"/>
      <w:sz w:val="20"/>
      <w:szCs w:val="20"/>
    </w:rPr>
  </w:style>
  <w:style w:type="paragraph" w:styleId="EnvelopeAddress">
    <w:name w:val="envelope address"/>
    <w:uiPriority w:val="99"/>
    <w:semiHidden/>
    <w:unhideWhenUsed/>
    <w:rsid w:val="00B825F7"/>
    <w:pPr>
      <w:framePr w:w="7920" w:h="1980" w:hRule="exact" w:hSpace="180" w:wrap="auto" w:hAnchor="page" w:xAlign="center" w:yAlign="bottom"/>
      <w:ind w:left="2880"/>
    </w:pPr>
    <w:rPr>
      <w:rFonts w:eastAsia="Times New Roman" w:cs="Arial"/>
      <w:sz w:val="24"/>
      <w:szCs w:val="24"/>
      <w:lang w:eastAsia="en-AU"/>
    </w:rPr>
  </w:style>
  <w:style w:type="paragraph" w:styleId="EnvelopeReturn">
    <w:name w:val="envelope return"/>
    <w:uiPriority w:val="99"/>
    <w:semiHidden/>
    <w:unhideWhenUsed/>
    <w:rsid w:val="00B825F7"/>
    <w:rPr>
      <w:rFonts w:eastAsia="Times New Roman" w:cs="Arial"/>
      <w:lang w:eastAsia="en-AU"/>
    </w:rPr>
  </w:style>
  <w:style w:type="character" w:styleId="FollowedHyperlink">
    <w:name w:val="FollowedHyperlink"/>
    <w:uiPriority w:val="99"/>
    <w:semiHidden/>
    <w:unhideWhenUsed/>
    <w:rsid w:val="00B825F7"/>
    <w:rPr>
      <w:color w:val="954F72"/>
      <w:u w:val="single"/>
    </w:rPr>
  </w:style>
  <w:style w:type="paragraph" w:styleId="Footer">
    <w:name w:val="footer"/>
    <w:link w:val="FooterChar"/>
    <w:uiPriority w:val="99"/>
    <w:unhideWhenUsed/>
    <w:rsid w:val="00B825F7"/>
    <w:pPr>
      <w:tabs>
        <w:tab w:val="center" w:pos="4513"/>
        <w:tab w:val="right" w:pos="9026"/>
      </w:tabs>
    </w:pPr>
    <w:rPr>
      <w:rFonts w:cs="Arial"/>
      <w:sz w:val="22"/>
      <w:szCs w:val="22"/>
      <w:lang w:eastAsia="en-AU"/>
    </w:rPr>
  </w:style>
  <w:style w:type="character" w:customStyle="1" w:styleId="FooterChar">
    <w:name w:val="Footer Char"/>
    <w:link w:val="Footer"/>
    <w:uiPriority w:val="99"/>
    <w:rsid w:val="00B825F7"/>
    <w:rPr>
      <w:rFonts w:ascii="Arial" w:hAnsi="Arial" w:cs="Arial"/>
    </w:rPr>
  </w:style>
  <w:style w:type="character" w:styleId="FootnoteReference">
    <w:name w:val="footnote reference"/>
    <w:uiPriority w:val="99"/>
    <w:semiHidden/>
    <w:unhideWhenUsed/>
    <w:rsid w:val="00B825F7"/>
    <w:rPr>
      <w:vertAlign w:val="superscript"/>
    </w:rPr>
  </w:style>
  <w:style w:type="paragraph" w:styleId="FootnoteText">
    <w:name w:val="footnote text"/>
    <w:link w:val="FootnoteTextChar"/>
    <w:uiPriority w:val="99"/>
    <w:semiHidden/>
    <w:unhideWhenUsed/>
    <w:rsid w:val="00B825F7"/>
    <w:rPr>
      <w:rFonts w:cs="Arial"/>
      <w:lang w:eastAsia="en-AU"/>
    </w:rPr>
  </w:style>
  <w:style w:type="character" w:customStyle="1" w:styleId="FootnoteTextChar">
    <w:name w:val="Footnote Text Char"/>
    <w:link w:val="FootnoteText"/>
    <w:uiPriority w:val="99"/>
    <w:semiHidden/>
    <w:rsid w:val="00B825F7"/>
    <w:rPr>
      <w:rFonts w:ascii="Arial" w:hAnsi="Arial" w:cs="Arial"/>
      <w:sz w:val="20"/>
      <w:szCs w:val="20"/>
    </w:rPr>
  </w:style>
  <w:style w:type="table" w:customStyle="1" w:styleId="GridTable1Light2">
    <w:name w:val="Grid Table 1 Light2"/>
    <w:uiPriority w:val="46"/>
    <w:rsid w:val="00B825F7"/>
    <w:rPr>
      <w:sz w:val="22"/>
      <w:szCs w:val="22"/>
      <w:lang w:eastAsia="en-AU"/>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0" w:type="dxa"/>
        <w:bottom w:w="0" w:type="dxa"/>
        <w:right w:w="0" w:type="dxa"/>
      </w:tblCellMar>
    </w:tblPr>
  </w:style>
  <w:style w:type="table" w:customStyle="1" w:styleId="GridTable1Light-Accent11">
    <w:name w:val="Grid Table 1 Light - Accent 11"/>
    <w:uiPriority w:val="46"/>
    <w:rsid w:val="00B825F7"/>
    <w:rPr>
      <w:sz w:val="22"/>
      <w:szCs w:val="22"/>
      <w:lang w:eastAsia="en-AU"/>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0" w:type="dxa"/>
        <w:bottom w:w="0" w:type="dxa"/>
        <w:right w:w="0" w:type="dxa"/>
      </w:tblCellMar>
    </w:tblPr>
  </w:style>
  <w:style w:type="table" w:customStyle="1" w:styleId="GridTable1Light-Accent21">
    <w:name w:val="Grid Table 1 Light - Accent 21"/>
    <w:uiPriority w:val="46"/>
    <w:rsid w:val="00B825F7"/>
    <w:rPr>
      <w:sz w:val="22"/>
      <w:szCs w:val="22"/>
      <w:lang w:eastAsia="en-AU"/>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CellMar>
        <w:top w:w="0" w:type="dxa"/>
        <w:left w:w="0" w:type="dxa"/>
        <w:bottom w:w="0" w:type="dxa"/>
        <w:right w:w="0" w:type="dxa"/>
      </w:tblCellMar>
    </w:tblPr>
  </w:style>
  <w:style w:type="table" w:customStyle="1" w:styleId="GridTable1Light-Accent31">
    <w:name w:val="Grid Table 1 Light - Accent 31"/>
    <w:uiPriority w:val="46"/>
    <w:rsid w:val="00B825F7"/>
    <w:rPr>
      <w:sz w:val="22"/>
      <w:szCs w:val="22"/>
      <w:lang w:eastAsia="en-AU"/>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CellMar>
        <w:top w:w="0" w:type="dxa"/>
        <w:left w:w="0" w:type="dxa"/>
        <w:bottom w:w="0" w:type="dxa"/>
        <w:right w:w="0" w:type="dxa"/>
      </w:tblCellMar>
    </w:tblPr>
  </w:style>
  <w:style w:type="table" w:customStyle="1" w:styleId="GridTable1Light-Accent41">
    <w:name w:val="Grid Table 1 Light - Accent 41"/>
    <w:uiPriority w:val="46"/>
    <w:rsid w:val="00B825F7"/>
    <w:rPr>
      <w:sz w:val="22"/>
      <w:szCs w:val="22"/>
      <w:lang w:eastAsia="en-AU"/>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CellMar>
        <w:top w:w="0" w:type="dxa"/>
        <w:left w:w="0" w:type="dxa"/>
        <w:bottom w:w="0" w:type="dxa"/>
        <w:right w:w="0" w:type="dxa"/>
      </w:tblCellMar>
    </w:tblPr>
  </w:style>
  <w:style w:type="table" w:customStyle="1" w:styleId="GridTable1Light-Accent51">
    <w:name w:val="Grid Table 1 Light - Accent 51"/>
    <w:uiPriority w:val="46"/>
    <w:rsid w:val="00B825F7"/>
    <w:rPr>
      <w:sz w:val="22"/>
      <w:szCs w:val="22"/>
      <w:lang w:eastAsia="en-AU"/>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0" w:type="dxa"/>
        <w:bottom w:w="0" w:type="dxa"/>
        <w:right w:w="0" w:type="dxa"/>
      </w:tblCellMar>
    </w:tblPr>
  </w:style>
  <w:style w:type="table" w:customStyle="1" w:styleId="GridTable1Light-Accent61">
    <w:name w:val="Grid Table 1 Light - Accent 61"/>
    <w:uiPriority w:val="46"/>
    <w:rsid w:val="00B825F7"/>
    <w:rPr>
      <w:sz w:val="22"/>
      <w:szCs w:val="22"/>
      <w:lang w:eastAsia="en-AU"/>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CellMar>
        <w:top w:w="0" w:type="dxa"/>
        <w:left w:w="0" w:type="dxa"/>
        <w:bottom w:w="0" w:type="dxa"/>
        <w:right w:w="0" w:type="dxa"/>
      </w:tblCellMar>
    </w:tblPr>
  </w:style>
  <w:style w:type="table" w:customStyle="1" w:styleId="GridTable22">
    <w:name w:val="Grid Table 22"/>
    <w:uiPriority w:val="47"/>
    <w:rsid w:val="00B825F7"/>
    <w:rPr>
      <w:sz w:val="22"/>
      <w:szCs w:val="22"/>
      <w:lang w:eastAsia="en-AU"/>
    </w:rPr>
    <w:tblPr>
      <w:tblStyleRowBandSize w:val="1"/>
      <w:tblStyleColBandSize w:val="1"/>
      <w:tblBorders>
        <w:top w:val="single" w:sz="2" w:space="0" w:color="666666"/>
        <w:bottom w:val="single" w:sz="2" w:space="0" w:color="666666"/>
        <w:insideH w:val="single" w:sz="2" w:space="0" w:color="666666"/>
        <w:insideV w:val="single" w:sz="2" w:space="0" w:color="666666"/>
      </w:tblBorders>
      <w:tblCellMar>
        <w:top w:w="0" w:type="dxa"/>
        <w:left w:w="0" w:type="dxa"/>
        <w:bottom w:w="0" w:type="dxa"/>
        <w:right w:w="0" w:type="dxa"/>
      </w:tblCellMar>
    </w:tblPr>
  </w:style>
  <w:style w:type="table" w:customStyle="1" w:styleId="GridTable2-Accent11">
    <w:name w:val="Grid Table 2 - Accent 11"/>
    <w:uiPriority w:val="47"/>
    <w:rsid w:val="00B825F7"/>
    <w:rPr>
      <w:sz w:val="22"/>
      <w:szCs w:val="22"/>
      <w:lang w:eastAsia="en-AU"/>
    </w:rPr>
    <w:tblPr>
      <w:tblStyleRowBandSize w:val="1"/>
      <w:tblStyleColBandSize w:val="1"/>
      <w:tblBorders>
        <w:top w:val="single" w:sz="2" w:space="0" w:color="9CC2E5"/>
        <w:bottom w:val="single" w:sz="2" w:space="0" w:color="9CC2E5"/>
        <w:insideH w:val="single" w:sz="2" w:space="0" w:color="9CC2E5"/>
        <w:insideV w:val="single" w:sz="2" w:space="0" w:color="9CC2E5"/>
      </w:tblBorders>
      <w:tblCellMar>
        <w:top w:w="0" w:type="dxa"/>
        <w:left w:w="0" w:type="dxa"/>
        <w:bottom w:w="0" w:type="dxa"/>
        <w:right w:w="0" w:type="dxa"/>
      </w:tblCellMar>
    </w:tblPr>
  </w:style>
  <w:style w:type="table" w:customStyle="1" w:styleId="GridTable2-Accent21">
    <w:name w:val="Grid Table 2 - Accent 21"/>
    <w:uiPriority w:val="47"/>
    <w:rsid w:val="00B825F7"/>
    <w:rPr>
      <w:sz w:val="22"/>
      <w:szCs w:val="22"/>
      <w:lang w:eastAsia="en-AU"/>
    </w:rPr>
    <w:tblPr>
      <w:tblStyleRowBandSize w:val="1"/>
      <w:tblStyleColBandSize w:val="1"/>
      <w:tblBorders>
        <w:top w:val="single" w:sz="2" w:space="0" w:color="F4B083"/>
        <w:bottom w:val="single" w:sz="2" w:space="0" w:color="F4B083"/>
        <w:insideH w:val="single" w:sz="2" w:space="0" w:color="F4B083"/>
        <w:insideV w:val="single" w:sz="2" w:space="0" w:color="F4B083"/>
      </w:tblBorders>
      <w:tblCellMar>
        <w:top w:w="0" w:type="dxa"/>
        <w:left w:w="0" w:type="dxa"/>
        <w:bottom w:w="0" w:type="dxa"/>
        <w:right w:w="0" w:type="dxa"/>
      </w:tblCellMar>
    </w:tblPr>
  </w:style>
  <w:style w:type="table" w:customStyle="1" w:styleId="GridTable2-Accent31">
    <w:name w:val="Grid Table 2 - Accent 31"/>
    <w:uiPriority w:val="47"/>
    <w:rsid w:val="00B825F7"/>
    <w:rPr>
      <w:sz w:val="22"/>
      <w:szCs w:val="22"/>
      <w:lang w:eastAsia="en-AU"/>
    </w:rPr>
    <w:tblPr>
      <w:tblStyleRowBandSize w:val="1"/>
      <w:tblStyleColBandSize w:val="1"/>
      <w:tblBorders>
        <w:top w:val="single" w:sz="2" w:space="0" w:color="C9C9C9"/>
        <w:bottom w:val="single" w:sz="2" w:space="0" w:color="C9C9C9"/>
        <w:insideH w:val="single" w:sz="2" w:space="0" w:color="C9C9C9"/>
        <w:insideV w:val="single" w:sz="2" w:space="0" w:color="C9C9C9"/>
      </w:tblBorders>
      <w:tblCellMar>
        <w:top w:w="0" w:type="dxa"/>
        <w:left w:w="0" w:type="dxa"/>
        <w:bottom w:w="0" w:type="dxa"/>
        <w:right w:w="0" w:type="dxa"/>
      </w:tblCellMar>
    </w:tblPr>
  </w:style>
  <w:style w:type="table" w:customStyle="1" w:styleId="GridTable2-Accent41">
    <w:name w:val="Grid Table 2 - Accent 41"/>
    <w:uiPriority w:val="47"/>
    <w:rsid w:val="00B825F7"/>
    <w:rPr>
      <w:sz w:val="22"/>
      <w:szCs w:val="22"/>
      <w:lang w:eastAsia="en-AU"/>
    </w:rPr>
    <w:tblPr>
      <w:tblStyleRowBandSize w:val="1"/>
      <w:tblStyleColBandSize w:val="1"/>
      <w:tblBorders>
        <w:top w:val="single" w:sz="2" w:space="0" w:color="FFD966"/>
        <w:bottom w:val="single" w:sz="2" w:space="0" w:color="FFD966"/>
        <w:insideH w:val="single" w:sz="2" w:space="0" w:color="FFD966"/>
        <w:insideV w:val="single" w:sz="2" w:space="0" w:color="FFD966"/>
      </w:tblBorders>
      <w:tblCellMar>
        <w:top w:w="0" w:type="dxa"/>
        <w:left w:w="0" w:type="dxa"/>
        <w:bottom w:w="0" w:type="dxa"/>
        <w:right w:w="0" w:type="dxa"/>
      </w:tblCellMar>
    </w:tblPr>
  </w:style>
  <w:style w:type="table" w:customStyle="1" w:styleId="GridTable2-Accent51">
    <w:name w:val="Grid Table 2 - Accent 51"/>
    <w:uiPriority w:val="47"/>
    <w:rsid w:val="00B825F7"/>
    <w:rPr>
      <w:sz w:val="22"/>
      <w:szCs w:val="22"/>
      <w:lang w:eastAsia="en-AU"/>
    </w:rPr>
    <w:tblPr>
      <w:tblStyleRowBandSize w:val="1"/>
      <w:tblStyleColBandSize w:val="1"/>
      <w:tblBorders>
        <w:top w:val="single" w:sz="2" w:space="0" w:color="8EAADB"/>
        <w:bottom w:val="single" w:sz="2" w:space="0" w:color="8EAADB"/>
        <w:insideH w:val="single" w:sz="2" w:space="0" w:color="8EAADB"/>
        <w:insideV w:val="single" w:sz="2" w:space="0" w:color="8EAADB"/>
      </w:tblBorders>
      <w:tblCellMar>
        <w:top w:w="0" w:type="dxa"/>
        <w:left w:w="0" w:type="dxa"/>
        <w:bottom w:w="0" w:type="dxa"/>
        <w:right w:w="0" w:type="dxa"/>
      </w:tblCellMar>
    </w:tblPr>
  </w:style>
  <w:style w:type="table" w:customStyle="1" w:styleId="GridTable2-Accent61">
    <w:name w:val="Grid Table 2 - Accent 61"/>
    <w:uiPriority w:val="47"/>
    <w:rsid w:val="00B825F7"/>
    <w:rPr>
      <w:sz w:val="22"/>
      <w:szCs w:val="22"/>
      <w:lang w:eastAsia="en-AU"/>
    </w:rPr>
    <w:tblPr>
      <w:tblStyleRowBandSize w:val="1"/>
      <w:tblStyleColBandSize w:val="1"/>
      <w:tblBorders>
        <w:top w:val="single" w:sz="2" w:space="0" w:color="A8D08D"/>
        <w:bottom w:val="single" w:sz="2" w:space="0" w:color="A8D08D"/>
        <w:insideH w:val="single" w:sz="2" w:space="0" w:color="A8D08D"/>
        <w:insideV w:val="single" w:sz="2" w:space="0" w:color="A8D08D"/>
      </w:tblBorders>
      <w:tblCellMar>
        <w:top w:w="0" w:type="dxa"/>
        <w:left w:w="0" w:type="dxa"/>
        <w:bottom w:w="0" w:type="dxa"/>
        <w:right w:w="0" w:type="dxa"/>
      </w:tblCellMar>
    </w:tblPr>
  </w:style>
  <w:style w:type="table" w:customStyle="1" w:styleId="GridTable31">
    <w:name w:val="Grid Table 31"/>
    <w:uiPriority w:val="48"/>
    <w:rsid w:val="00B825F7"/>
    <w:rPr>
      <w:sz w:val="22"/>
      <w:szCs w:val="22"/>
      <w:lang w:eastAsia="en-AU"/>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0" w:type="dxa"/>
        <w:bottom w:w="0" w:type="dxa"/>
        <w:right w:w="0" w:type="dxa"/>
      </w:tblCellMar>
    </w:tblPr>
  </w:style>
  <w:style w:type="table" w:customStyle="1" w:styleId="GridTable3-Accent11">
    <w:name w:val="Grid Table 3 - Accent 11"/>
    <w:uiPriority w:val="48"/>
    <w:rsid w:val="00B825F7"/>
    <w:rPr>
      <w:sz w:val="22"/>
      <w:szCs w:val="22"/>
      <w:lang w:eastAsia="en-AU"/>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0" w:type="dxa"/>
        <w:bottom w:w="0" w:type="dxa"/>
        <w:right w:w="0" w:type="dxa"/>
      </w:tblCellMar>
    </w:tblPr>
  </w:style>
  <w:style w:type="table" w:customStyle="1" w:styleId="GridTable3-Accent21">
    <w:name w:val="Grid Table 3 - Accent 21"/>
    <w:uiPriority w:val="48"/>
    <w:rsid w:val="00B825F7"/>
    <w:rPr>
      <w:sz w:val="22"/>
      <w:szCs w:val="22"/>
      <w:lang w:eastAsia="en-AU"/>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0" w:type="dxa"/>
        <w:bottom w:w="0" w:type="dxa"/>
        <w:right w:w="0" w:type="dxa"/>
      </w:tblCellMar>
    </w:tblPr>
  </w:style>
  <w:style w:type="table" w:customStyle="1" w:styleId="GridTable3-Accent31">
    <w:name w:val="Grid Table 3 - Accent 31"/>
    <w:uiPriority w:val="48"/>
    <w:rsid w:val="00B825F7"/>
    <w:rPr>
      <w:sz w:val="22"/>
      <w:szCs w:val="22"/>
      <w:lang w:eastAsia="en-AU"/>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0" w:type="dxa"/>
        <w:bottom w:w="0" w:type="dxa"/>
        <w:right w:w="0" w:type="dxa"/>
      </w:tblCellMar>
    </w:tblPr>
  </w:style>
  <w:style w:type="table" w:customStyle="1" w:styleId="GridTable3-Accent41">
    <w:name w:val="Grid Table 3 - Accent 41"/>
    <w:uiPriority w:val="48"/>
    <w:rsid w:val="00B825F7"/>
    <w:rPr>
      <w:sz w:val="22"/>
      <w:szCs w:val="22"/>
      <w:lang w:eastAsia="en-AU"/>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0" w:type="dxa"/>
        <w:bottom w:w="0" w:type="dxa"/>
        <w:right w:w="0" w:type="dxa"/>
      </w:tblCellMar>
    </w:tblPr>
  </w:style>
  <w:style w:type="table" w:customStyle="1" w:styleId="GridTable3-Accent51">
    <w:name w:val="Grid Table 3 - Accent 51"/>
    <w:uiPriority w:val="48"/>
    <w:rsid w:val="00B825F7"/>
    <w:rPr>
      <w:sz w:val="22"/>
      <w:szCs w:val="22"/>
      <w:lang w:eastAsia="en-AU"/>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0" w:type="dxa"/>
        <w:bottom w:w="0" w:type="dxa"/>
        <w:right w:w="0" w:type="dxa"/>
      </w:tblCellMar>
    </w:tblPr>
  </w:style>
  <w:style w:type="table" w:customStyle="1" w:styleId="GridTable3-Accent61">
    <w:name w:val="Grid Table 3 - Accent 61"/>
    <w:uiPriority w:val="48"/>
    <w:rsid w:val="00B825F7"/>
    <w:rPr>
      <w:sz w:val="22"/>
      <w:szCs w:val="22"/>
      <w:lang w:eastAsia="en-AU"/>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0" w:type="dxa"/>
        <w:bottom w:w="0" w:type="dxa"/>
        <w:right w:w="0" w:type="dxa"/>
      </w:tblCellMar>
    </w:tblPr>
  </w:style>
  <w:style w:type="table" w:customStyle="1" w:styleId="GridTable41">
    <w:name w:val="Grid Table 41"/>
    <w:uiPriority w:val="49"/>
    <w:rsid w:val="00B825F7"/>
    <w:rPr>
      <w:sz w:val="22"/>
      <w:szCs w:val="22"/>
      <w:lang w:eastAsia="en-AU"/>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0" w:type="dxa"/>
        <w:bottom w:w="0" w:type="dxa"/>
        <w:right w:w="0" w:type="dxa"/>
      </w:tblCellMar>
    </w:tblPr>
  </w:style>
  <w:style w:type="table" w:customStyle="1" w:styleId="GridTable4-Accent11">
    <w:name w:val="Grid Table 4 - Accent 11"/>
    <w:uiPriority w:val="49"/>
    <w:rsid w:val="00B825F7"/>
    <w:rPr>
      <w:sz w:val="22"/>
      <w:szCs w:val="22"/>
      <w:lang w:eastAsia="en-AU"/>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0" w:type="dxa"/>
        <w:bottom w:w="0" w:type="dxa"/>
        <w:right w:w="0" w:type="dxa"/>
      </w:tblCellMar>
    </w:tblPr>
  </w:style>
  <w:style w:type="table" w:customStyle="1" w:styleId="GridTable4-Accent21">
    <w:name w:val="Grid Table 4 - Accent 21"/>
    <w:uiPriority w:val="49"/>
    <w:rsid w:val="00B825F7"/>
    <w:rPr>
      <w:sz w:val="22"/>
      <w:szCs w:val="22"/>
      <w:lang w:eastAsia="en-AU"/>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0" w:type="dxa"/>
        <w:bottom w:w="0" w:type="dxa"/>
        <w:right w:w="0" w:type="dxa"/>
      </w:tblCellMar>
    </w:tblPr>
  </w:style>
  <w:style w:type="table" w:customStyle="1" w:styleId="GridTable4-Accent31">
    <w:name w:val="Grid Table 4 - Accent 31"/>
    <w:uiPriority w:val="49"/>
    <w:rsid w:val="00B825F7"/>
    <w:rPr>
      <w:sz w:val="22"/>
      <w:szCs w:val="22"/>
      <w:lang w:eastAsia="en-AU"/>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0" w:type="dxa"/>
        <w:bottom w:w="0" w:type="dxa"/>
        <w:right w:w="0" w:type="dxa"/>
      </w:tblCellMar>
    </w:tblPr>
  </w:style>
  <w:style w:type="table" w:customStyle="1" w:styleId="GridTable4-Accent41">
    <w:name w:val="Grid Table 4 - Accent 41"/>
    <w:uiPriority w:val="49"/>
    <w:rsid w:val="00B825F7"/>
    <w:rPr>
      <w:sz w:val="22"/>
      <w:szCs w:val="22"/>
      <w:lang w:eastAsia="en-AU"/>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0" w:type="dxa"/>
        <w:bottom w:w="0" w:type="dxa"/>
        <w:right w:w="0" w:type="dxa"/>
      </w:tblCellMar>
    </w:tblPr>
  </w:style>
  <w:style w:type="table" w:customStyle="1" w:styleId="GridTable4-Accent51">
    <w:name w:val="Grid Table 4 - Accent 51"/>
    <w:uiPriority w:val="49"/>
    <w:rsid w:val="00B825F7"/>
    <w:rPr>
      <w:sz w:val="22"/>
      <w:szCs w:val="22"/>
      <w:lang w:eastAsia="en-AU"/>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0" w:type="dxa"/>
        <w:bottom w:w="0" w:type="dxa"/>
        <w:right w:w="0" w:type="dxa"/>
      </w:tblCellMar>
    </w:tblPr>
  </w:style>
  <w:style w:type="table" w:customStyle="1" w:styleId="GridTable4-Accent61">
    <w:name w:val="Grid Table 4 - Accent 61"/>
    <w:uiPriority w:val="49"/>
    <w:rsid w:val="00B825F7"/>
    <w:rPr>
      <w:sz w:val="22"/>
      <w:szCs w:val="22"/>
      <w:lang w:eastAsia="en-AU"/>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0" w:type="dxa"/>
        <w:bottom w:w="0" w:type="dxa"/>
        <w:right w:w="0" w:type="dxa"/>
      </w:tblCellMar>
    </w:tblPr>
  </w:style>
  <w:style w:type="table" w:customStyle="1" w:styleId="GridTable5Dark1">
    <w:name w:val="Grid Table 5 Dark1"/>
    <w:uiPriority w:val="50"/>
    <w:rsid w:val="00B825F7"/>
    <w:rPr>
      <w:sz w:val="22"/>
      <w:szCs w:val="22"/>
      <w:lang w:eastAsia="en-A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cPr>
      <w:shd w:val="clear" w:color="auto" w:fill="CCCCCC"/>
    </w:tcPr>
  </w:style>
  <w:style w:type="table" w:customStyle="1" w:styleId="GridTable5Dark-Accent11">
    <w:name w:val="Grid Table 5 Dark - Accent 11"/>
    <w:uiPriority w:val="50"/>
    <w:rsid w:val="00B825F7"/>
    <w:rPr>
      <w:sz w:val="22"/>
      <w:szCs w:val="22"/>
      <w:lang w:eastAsia="en-A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cPr>
      <w:shd w:val="clear" w:color="auto" w:fill="DEEAF6"/>
    </w:tcPr>
  </w:style>
  <w:style w:type="table" w:customStyle="1" w:styleId="GridTable5Dark-Accent21">
    <w:name w:val="Grid Table 5 Dark - Accent 21"/>
    <w:uiPriority w:val="50"/>
    <w:rsid w:val="00B825F7"/>
    <w:rPr>
      <w:sz w:val="22"/>
      <w:szCs w:val="22"/>
      <w:lang w:eastAsia="en-A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cPr>
      <w:shd w:val="clear" w:color="auto" w:fill="FBE4D5"/>
    </w:tcPr>
  </w:style>
  <w:style w:type="table" w:customStyle="1" w:styleId="GridTable5Dark-Accent31">
    <w:name w:val="Grid Table 5 Dark - Accent 31"/>
    <w:uiPriority w:val="50"/>
    <w:rsid w:val="00B825F7"/>
    <w:rPr>
      <w:sz w:val="22"/>
      <w:szCs w:val="22"/>
      <w:lang w:eastAsia="en-A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cPr>
      <w:shd w:val="clear" w:color="auto" w:fill="EDEDED"/>
    </w:tcPr>
  </w:style>
  <w:style w:type="table" w:customStyle="1" w:styleId="GridTable5Dark-Accent41">
    <w:name w:val="Grid Table 5 Dark - Accent 41"/>
    <w:uiPriority w:val="50"/>
    <w:rsid w:val="00B825F7"/>
    <w:rPr>
      <w:sz w:val="22"/>
      <w:szCs w:val="22"/>
      <w:lang w:eastAsia="en-A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cPr>
      <w:shd w:val="clear" w:color="auto" w:fill="FFF2CC"/>
    </w:tcPr>
  </w:style>
  <w:style w:type="table" w:customStyle="1" w:styleId="GridTable5Dark-Accent51">
    <w:name w:val="Grid Table 5 Dark - Accent 51"/>
    <w:uiPriority w:val="50"/>
    <w:rsid w:val="00B825F7"/>
    <w:rPr>
      <w:sz w:val="22"/>
      <w:szCs w:val="22"/>
      <w:lang w:eastAsia="en-A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cPr>
      <w:shd w:val="clear" w:color="auto" w:fill="D9E2F3"/>
    </w:tcPr>
  </w:style>
  <w:style w:type="table" w:customStyle="1" w:styleId="GridTable5Dark-Accent61">
    <w:name w:val="Grid Table 5 Dark - Accent 61"/>
    <w:uiPriority w:val="50"/>
    <w:rsid w:val="00B825F7"/>
    <w:rPr>
      <w:sz w:val="22"/>
      <w:szCs w:val="22"/>
      <w:lang w:eastAsia="en-A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cPr>
      <w:shd w:val="clear" w:color="auto" w:fill="E2EFD9"/>
    </w:tcPr>
  </w:style>
  <w:style w:type="table" w:customStyle="1" w:styleId="GridTable6Colorful1">
    <w:name w:val="Grid Table 6 Colorful1"/>
    <w:uiPriority w:val="51"/>
    <w:rsid w:val="00B825F7"/>
    <w:rPr>
      <w:color w:val="000000"/>
      <w:sz w:val="22"/>
      <w:szCs w:val="22"/>
      <w:lang w:eastAsia="en-AU"/>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0" w:type="dxa"/>
        <w:bottom w:w="0" w:type="dxa"/>
        <w:right w:w="0" w:type="dxa"/>
      </w:tblCellMar>
    </w:tblPr>
  </w:style>
  <w:style w:type="table" w:customStyle="1" w:styleId="GridTable6Colorful-Accent11">
    <w:name w:val="Grid Table 6 Colorful - Accent 11"/>
    <w:uiPriority w:val="51"/>
    <w:rsid w:val="00B825F7"/>
    <w:rPr>
      <w:color w:val="2E74B5"/>
      <w:sz w:val="22"/>
      <w:szCs w:val="22"/>
      <w:lang w:eastAsia="en-AU"/>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0" w:type="dxa"/>
        <w:bottom w:w="0" w:type="dxa"/>
        <w:right w:w="0" w:type="dxa"/>
      </w:tblCellMar>
    </w:tblPr>
  </w:style>
  <w:style w:type="table" w:customStyle="1" w:styleId="GridTable6Colorful-Accent21">
    <w:name w:val="Grid Table 6 Colorful - Accent 21"/>
    <w:uiPriority w:val="51"/>
    <w:rsid w:val="00B825F7"/>
    <w:rPr>
      <w:color w:val="C45911"/>
      <w:sz w:val="22"/>
      <w:szCs w:val="22"/>
      <w:lang w:eastAsia="en-AU"/>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0" w:type="dxa"/>
        <w:bottom w:w="0" w:type="dxa"/>
        <w:right w:w="0" w:type="dxa"/>
      </w:tblCellMar>
    </w:tblPr>
  </w:style>
  <w:style w:type="table" w:customStyle="1" w:styleId="GridTable6Colorful-Accent31">
    <w:name w:val="Grid Table 6 Colorful - Accent 31"/>
    <w:uiPriority w:val="51"/>
    <w:rsid w:val="00B825F7"/>
    <w:rPr>
      <w:color w:val="7B7B7B"/>
      <w:sz w:val="22"/>
      <w:szCs w:val="22"/>
      <w:lang w:eastAsia="en-AU"/>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0" w:type="dxa"/>
        <w:bottom w:w="0" w:type="dxa"/>
        <w:right w:w="0" w:type="dxa"/>
      </w:tblCellMar>
    </w:tblPr>
  </w:style>
  <w:style w:type="table" w:customStyle="1" w:styleId="GridTable6Colorful-Accent41">
    <w:name w:val="Grid Table 6 Colorful - Accent 41"/>
    <w:uiPriority w:val="51"/>
    <w:rsid w:val="00B825F7"/>
    <w:rPr>
      <w:color w:val="BF8F00"/>
      <w:sz w:val="22"/>
      <w:szCs w:val="22"/>
      <w:lang w:eastAsia="en-AU"/>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0" w:type="dxa"/>
        <w:bottom w:w="0" w:type="dxa"/>
        <w:right w:w="0" w:type="dxa"/>
      </w:tblCellMar>
    </w:tblPr>
  </w:style>
  <w:style w:type="table" w:customStyle="1" w:styleId="GridTable6Colorful-Accent51">
    <w:name w:val="Grid Table 6 Colorful - Accent 51"/>
    <w:uiPriority w:val="51"/>
    <w:rsid w:val="00B825F7"/>
    <w:rPr>
      <w:color w:val="2F5496"/>
      <w:sz w:val="22"/>
      <w:szCs w:val="22"/>
      <w:lang w:eastAsia="en-AU"/>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0" w:type="dxa"/>
        <w:bottom w:w="0" w:type="dxa"/>
        <w:right w:w="0" w:type="dxa"/>
      </w:tblCellMar>
    </w:tblPr>
  </w:style>
  <w:style w:type="table" w:customStyle="1" w:styleId="GridTable6Colorful-Accent61">
    <w:name w:val="Grid Table 6 Colorful - Accent 61"/>
    <w:uiPriority w:val="51"/>
    <w:rsid w:val="00B825F7"/>
    <w:rPr>
      <w:color w:val="538135"/>
      <w:sz w:val="22"/>
      <w:szCs w:val="22"/>
      <w:lang w:eastAsia="en-AU"/>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0" w:type="dxa"/>
        <w:bottom w:w="0" w:type="dxa"/>
        <w:right w:w="0" w:type="dxa"/>
      </w:tblCellMar>
    </w:tblPr>
  </w:style>
  <w:style w:type="table" w:customStyle="1" w:styleId="GridTable7Colorful1">
    <w:name w:val="Grid Table 7 Colorful1"/>
    <w:uiPriority w:val="52"/>
    <w:rsid w:val="00B825F7"/>
    <w:rPr>
      <w:color w:val="000000"/>
      <w:sz w:val="22"/>
      <w:szCs w:val="22"/>
      <w:lang w:eastAsia="en-AU"/>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0" w:type="dxa"/>
        <w:bottom w:w="0" w:type="dxa"/>
        <w:right w:w="0" w:type="dxa"/>
      </w:tblCellMar>
    </w:tblPr>
  </w:style>
  <w:style w:type="table" w:customStyle="1" w:styleId="GridTable7Colorful-Accent11">
    <w:name w:val="Grid Table 7 Colorful - Accent 11"/>
    <w:uiPriority w:val="52"/>
    <w:rsid w:val="00B825F7"/>
    <w:rPr>
      <w:color w:val="2E74B5"/>
      <w:sz w:val="22"/>
      <w:szCs w:val="22"/>
      <w:lang w:eastAsia="en-AU"/>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0" w:type="dxa"/>
        <w:bottom w:w="0" w:type="dxa"/>
        <w:right w:w="0" w:type="dxa"/>
      </w:tblCellMar>
    </w:tblPr>
  </w:style>
  <w:style w:type="table" w:customStyle="1" w:styleId="GridTable7Colorful-Accent21">
    <w:name w:val="Grid Table 7 Colorful - Accent 21"/>
    <w:uiPriority w:val="52"/>
    <w:rsid w:val="00B825F7"/>
    <w:rPr>
      <w:color w:val="C45911"/>
      <w:sz w:val="22"/>
      <w:szCs w:val="22"/>
      <w:lang w:eastAsia="en-AU"/>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0" w:type="dxa"/>
        <w:bottom w:w="0" w:type="dxa"/>
        <w:right w:w="0" w:type="dxa"/>
      </w:tblCellMar>
    </w:tblPr>
  </w:style>
  <w:style w:type="table" w:customStyle="1" w:styleId="GridTable7Colorful-Accent31">
    <w:name w:val="Grid Table 7 Colorful - Accent 31"/>
    <w:uiPriority w:val="52"/>
    <w:rsid w:val="00B825F7"/>
    <w:rPr>
      <w:color w:val="7B7B7B"/>
      <w:sz w:val="22"/>
      <w:szCs w:val="22"/>
      <w:lang w:eastAsia="en-AU"/>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0" w:type="dxa"/>
        <w:bottom w:w="0" w:type="dxa"/>
        <w:right w:w="0" w:type="dxa"/>
      </w:tblCellMar>
    </w:tblPr>
  </w:style>
  <w:style w:type="table" w:customStyle="1" w:styleId="GridTable7Colorful-Accent41">
    <w:name w:val="Grid Table 7 Colorful - Accent 41"/>
    <w:uiPriority w:val="52"/>
    <w:rsid w:val="00B825F7"/>
    <w:rPr>
      <w:color w:val="BF8F00"/>
      <w:sz w:val="22"/>
      <w:szCs w:val="22"/>
      <w:lang w:eastAsia="en-AU"/>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0" w:type="dxa"/>
        <w:bottom w:w="0" w:type="dxa"/>
        <w:right w:w="0" w:type="dxa"/>
      </w:tblCellMar>
    </w:tblPr>
  </w:style>
  <w:style w:type="table" w:customStyle="1" w:styleId="GridTable7Colorful-Accent51">
    <w:name w:val="Grid Table 7 Colorful - Accent 51"/>
    <w:uiPriority w:val="52"/>
    <w:rsid w:val="00B825F7"/>
    <w:rPr>
      <w:color w:val="2F5496"/>
      <w:sz w:val="22"/>
      <w:szCs w:val="22"/>
      <w:lang w:eastAsia="en-AU"/>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0" w:type="dxa"/>
        <w:bottom w:w="0" w:type="dxa"/>
        <w:right w:w="0" w:type="dxa"/>
      </w:tblCellMar>
    </w:tblPr>
  </w:style>
  <w:style w:type="table" w:customStyle="1" w:styleId="GridTable7Colorful-Accent61">
    <w:name w:val="Grid Table 7 Colorful - Accent 61"/>
    <w:uiPriority w:val="52"/>
    <w:rsid w:val="00B825F7"/>
    <w:rPr>
      <w:color w:val="538135"/>
      <w:sz w:val="22"/>
      <w:szCs w:val="22"/>
      <w:lang w:eastAsia="en-AU"/>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0" w:type="dxa"/>
        <w:bottom w:w="0" w:type="dxa"/>
        <w:right w:w="0" w:type="dxa"/>
      </w:tblCellMar>
    </w:tblPr>
  </w:style>
  <w:style w:type="paragraph" w:styleId="Header">
    <w:name w:val="header"/>
    <w:link w:val="HeaderChar"/>
    <w:uiPriority w:val="99"/>
    <w:unhideWhenUsed/>
    <w:rsid w:val="00B825F7"/>
    <w:pPr>
      <w:tabs>
        <w:tab w:val="center" w:pos="4513"/>
        <w:tab w:val="right" w:pos="9026"/>
      </w:tabs>
    </w:pPr>
    <w:rPr>
      <w:rFonts w:cs="Arial"/>
      <w:sz w:val="22"/>
      <w:szCs w:val="22"/>
      <w:lang w:eastAsia="en-AU"/>
    </w:rPr>
  </w:style>
  <w:style w:type="character" w:customStyle="1" w:styleId="HeaderChar">
    <w:name w:val="Header Char"/>
    <w:link w:val="Header"/>
    <w:uiPriority w:val="99"/>
    <w:rsid w:val="00B825F7"/>
    <w:rPr>
      <w:rFonts w:ascii="Arial" w:hAnsi="Arial" w:cs="Arial"/>
    </w:rPr>
  </w:style>
  <w:style w:type="character" w:styleId="HTMLAcronym">
    <w:name w:val="HTML Acronym"/>
    <w:uiPriority w:val="99"/>
    <w:semiHidden/>
    <w:unhideWhenUsed/>
    <w:rsid w:val="00B825F7"/>
  </w:style>
  <w:style w:type="paragraph" w:styleId="HTMLAddress">
    <w:name w:val="HTML Address"/>
    <w:link w:val="HTMLAddressChar"/>
    <w:uiPriority w:val="99"/>
    <w:semiHidden/>
    <w:unhideWhenUsed/>
    <w:rsid w:val="00B825F7"/>
    <w:rPr>
      <w:rFonts w:cs="Arial"/>
      <w:i/>
      <w:iCs/>
      <w:sz w:val="22"/>
      <w:szCs w:val="22"/>
      <w:lang w:eastAsia="en-AU"/>
    </w:rPr>
  </w:style>
  <w:style w:type="character" w:customStyle="1" w:styleId="HTMLAddressChar">
    <w:name w:val="HTML Address Char"/>
    <w:link w:val="HTMLAddress"/>
    <w:uiPriority w:val="99"/>
    <w:semiHidden/>
    <w:rsid w:val="00B825F7"/>
    <w:rPr>
      <w:rFonts w:ascii="Arial" w:hAnsi="Arial" w:cs="Arial"/>
      <w:i/>
      <w:iCs/>
    </w:rPr>
  </w:style>
  <w:style w:type="character" w:styleId="HTMLCite">
    <w:name w:val="HTML Cite"/>
    <w:uiPriority w:val="99"/>
    <w:semiHidden/>
    <w:unhideWhenUsed/>
    <w:rsid w:val="00B825F7"/>
    <w:rPr>
      <w:i/>
      <w:iCs/>
    </w:rPr>
  </w:style>
  <w:style w:type="character" w:styleId="HTMLCode">
    <w:name w:val="HTML Code"/>
    <w:uiPriority w:val="99"/>
    <w:semiHidden/>
    <w:unhideWhenUsed/>
    <w:rsid w:val="00B825F7"/>
    <w:rPr>
      <w:sz w:val="20"/>
      <w:szCs w:val="20"/>
    </w:rPr>
  </w:style>
  <w:style w:type="character" w:styleId="HTMLDefinition">
    <w:name w:val="HTML Definition"/>
    <w:uiPriority w:val="99"/>
    <w:semiHidden/>
    <w:unhideWhenUsed/>
    <w:rsid w:val="00B825F7"/>
    <w:rPr>
      <w:i/>
      <w:iCs/>
    </w:rPr>
  </w:style>
  <w:style w:type="character" w:styleId="HTMLKeyboard">
    <w:name w:val="HTML Keyboard"/>
    <w:uiPriority w:val="99"/>
    <w:semiHidden/>
    <w:unhideWhenUsed/>
    <w:rsid w:val="00B825F7"/>
    <w:rPr>
      <w:sz w:val="20"/>
      <w:szCs w:val="20"/>
    </w:rPr>
  </w:style>
  <w:style w:type="paragraph" w:styleId="HTMLPreformatted">
    <w:name w:val="HTML Preformatted"/>
    <w:link w:val="HTMLPreformattedChar"/>
    <w:uiPriority w:val="99"/>
    <w:semiHidden/>
    <w:unhideWhenUsed/>
    <w:rsid w:val="00B825F7"/>
    <w:rPr>
      <w:rFonts w:cs="Arial"/>
      <w:lang w:eastAsia="en-AU"/>
    </w:rPr>
  </w:style>
  <w:style w:type="character" w:customStyle="1" w:styleId="HTMLPreformattedChar">
    <w:name w:val="HTML Preformatted Char"/>
    <w:link w:val="HTMLPreformatted"/>
    <w:uiPriority w:val="99"/>
    <w:semiHidden/>
    <w:rsid w:val="00B825F7"/>
    <w:rPr>
      <w:rFonts w:ascii="Arial" w:hAnsi="Arial" w:cs="Arial"/>
      <w:sz w:val="20"/>
      <w:szCs w:val="20"/>
    </w:rPr>
  </w:style>
  <w:style w:type="character" w:styleId="HTMLSample">
    <w:name w:val="HTML Sample"/>
    <w:uiPriority w:val="99"/>
    <w:semiHidden/>
    <w:unhideWhenUsed/>
    <w:rsid w:val="00B825F7"/>
  </w:style>
  <w:style w:type="character" w:styleId="HTMLTypewriter">
    <w:name w:val="HTML Typewriter"/>
    <w:uiPriority w:val="99"/>
    <w:semiHidden/>
    <w:unhideWhenUsed/>
    <w:rsid w:val="00B825F7"/>
    <w:rPr>
      <w:sz w:val="20"/>
      <w:szCs w:val="20"/>
    </w:rPr>
  </w:style>
  <w:style w:type="character" w:styleId="HTMLVariable">
    <w:name w:val="HTML Variable"/>
    <w:uiPriority w:val="99"/>
    <w:semiHidden/>
    <w:unhideWhenUsed/>
    <w:rsid w:val="00B825F7"/>
    <w:rPr>
      <w:i/>
      <w:iCs/>
    </w:rPr>
  </w:style>
  <w:style w:type="character" w:styleId="Hyperlink">
    <w:name w:val="Hyperlink"/>
    <w:uiPriority w:val="99"/>
    <w:unhideWhenUsed/>
    <w:rsid w:val="00B825F7"/>
    <w:rPr>
      <w:color w:val="0563C1"/>
      <w:u w:val="single"/>
    </w:rPr>
  </w:style>
  <w:style w:type="paragraph" w:styleId="Index1">
    <w:name w:val="index 1"/>
    <w:next w:val="Normal"/>
    <w:autoRedefine/>
    <w:uiPriority w:val="99"/>
    <w:semiHidden/>
    <w:unhideWhenUsed/>
    <w:rsid w:val="00B825F7"/>
    <w:pPr>
      <w:ind w:left="220" w:hanging="220"/>
    </w:pPr>
    <w:rPr>
      <w:rFonts w:cs="Arial"/>
      <w:sz w:val="22"/>
      <w:szCs w:val="22"/>
      <w:lang w:eastAsia="en-AU"/>
    </w:rPr>
  </w:style>
  <w:style w:type="paragraph" w:styleId="Index2">
    <w:name w:val="index 2"/>
    <w:next w:val="Normal"/>
    <w:autoRedefine/>
    <w:uiPriority w:val="99"/>
    <w:semiHidden/>
    <w:unhideWhenUsed/>
    <w:rsid w:val="00B825F7"/>
    <w:pPr>
      <w:ind w:left="440" w:hanging="220"/>
    </w:pPr>
    <w:rPr>
      <w:rFonts w:cs="Arial"/>
      <w:sz w:val="22"/>
      <w:szCs w:val="22"/>
      <w:lang w:eastAsia="en-AU"/>
    </w:rPr>
  </w:style>
  <w:style w:type="paragraph" w:styleId="Index3">
    <w:name w:val="index 3"/>
    <w:next w:val="Normal"/>
    <w:autoRedefine/>
    <w:uiPriority w:val="99"/>
    <w:semiHidden/>
    <w:unhideWhenUsed/>
    <w:rsid w:val="00B825F7"/>
    <w:pPr>
      <w:ind w:left="660" w:hanging="220"/>
    </w:pPr>
    <w:rPr>
      <w:rFonts w:cs="Arial"/>
      <w:sz w:val="22"/>
      <w:szCs w:val="22"/>
      <w:lang w:eastAsia="en-AU"/>
    </w:rPr>
  </w:style>
  <w:style w:type="paragraph" w:styleId="Index4">
    <w:name w:val="index 4"/>
    <w:next w:val="Normal"/>
    <w:autoRedefine/>
    <w:uiPriority w:val="99"/>
    <w:semiHidden/>
    <w:unhideWhenUsed/>
    <w:rsid w:val="00B825F7"/>
    <w:pPr>
      <w:ind w:left="880" w:hanging="220"/>
    </w:pPr>
    <w:rPr>
      <w:rFonts w:cs="Arial"/>
      <w:sz w:val="22"/>
      <w:szCs w:val="22"/>
      <w:lang w:eastAsia="en-AU"/>
    </w:rPr>
  </w:style>
  <w:style w:type="paragraph" w:styleId="Index5">
    <w:name w:val="index 5"/>
    <w:next w:val="Normal"/>
    <w:autoRedefine/>
    <w:uiPriority w:val="99"/>
    <w:semiHidden/>
    <w:unhideWhenUsed/>
    <w:rsid w:val="00B825F7"/>
    <w:pPr>
      <w:ind w:left="1100" w:hanging="220"/>
    </w:pPr>
    <w:rPr>
      <w:rFonts w:cs="Arial"/>
      <w:sz w:val="22"/>
      <w:szCs w:val="22"/>
      <w:lang w:eastAsia="en-AU"/>
    </w:rPr>
  </w:style>
  <w:style w:type="paragraph" w:styleId="Index6">
    <w:name w:val="index 6"/>
    <w:next w:val="Normal"/>
    <w:autoRedefine/>
    <w:uiPriority w:val="99"/>
    <w:semiHidden/>
    <w:unhideWhenUsed/>
    <w:rsid w:val="00B825F7"/>
    <w:pPr>
      <w:ind w:left="1320" w:hanging="220"/>
    </w:pPr>
    <w:rPr>
      <w:rFonts w:cs="Arial"/>
      <w:sz w:val="22"/>
      <w:szCs w:val="22"/>
      <w:lang w:eastAsia="en-AU"/>
    </w:rPr>
  </w:style>
  <w:style w:type="paragraph" w:styleId="Index7">
    <w:name w:val="index 7"/>
    <w:next w:val="Normal"/>
    <w:autoRedefine/>
    <w:uiPriority w:val="99"/>
    <w:semiHidden/>
    <w:unhideWhenUsed/>
    <w:rsid w:val="00B825F7"/>
    <w:pPr>
      <w:ind w:left="1540" w:hanging="220"/>
    </w:pPr>
    <w:rPr>
      <w:rFonts w:cs="Arial"/>
      <w:sz w:val="22"/>
      <w:szCs w:val="22"/>
      <w:lang w:eastAsia="en-AU"/>
    </w:rPr>
  </w:style>
  <w:style w:type="paragraph" w:styleId="Index8">
    <w:name w:val="index 8"/>
    <w:next w:val="Normal"/>
    <w:autoRedefine/>
    <w:uiPriority w:val="99"/>
    <w:semiHidden/>
    <w:unhideWhenUsed/>
    <w:rsid w:val="00B825F7"/>
    <w:pPr>
      <w:ind w:left="1760" w:hanging="220"/>
    </w:pPr>
    <w:rPr>
      <w:rFonts w:cs="Arial"/>
      <w:sz w:val="22"/>
      <w:szCs w:val="22"/>
      <w:lang w:eastAsia="en-AU"/>
    </w:rPr>
  </w:style>
  <w:style w:type="paragraph" w:styleId="Index9">
    <w:name w:val="index 9"/>
    <w:next w:val="Normal"/>
    <w:autoRedefine/>
    <w:uiPriority w:val="99"/>
    <w:semiHidden/>
    <w:unhideWhenUsed/>
    <w:rsid w:val="00B825F7"/>
    <w:pPr>
      <w:ind w:left="1980" w:hanging="220"/>
    </w:pPr>
    <w:rPr>
      <w:rFonts w:cs="Arial"/>
      <w:sz w:val="22"/>
      <w:szCs w:val="22"/>
      <w:lang w:eastAsia="en-AU"/>
    </w:rPr>
  </w:style>
  <w:style w:type="paragraph" w:styleId="IndexHeading">
    <w:name w:val="index heading"/>
    <w:next w:val="Index1"/>
    <w:uiPriority w:val="99"/>
    <w:semiHidden/>
    <w:unhideWhenUsed/>
    <w:rsid w:val="00B825F7"/>
    <w:rPr>
      <w:rFonts w:eastAsia="Times New Roman" w:cs="Arial"/>
      <w:b/>
      <w:bCs/>
      <w:sz w:val="22"/>
      <w:szCs w:val="22"/>
      <w:lang w:eastAsia="en-AU"/>
    </w:rPr>
  </w:style>
  <w:style w:type="character" w:customStyle="1" w:styleId="PlainTable41">
    <w:name w:val="Plain Table 41"/>
    <w:uiPriority w:val="21"/>
    <w:qFormat/>
    <w:rsid w:val="00B825F7"/>
    <w:rPr>
      <w:i/>
      <w:iCs/>
      <w:color w:val="5B9BD5"/>
    </w:rPr>
  </w:style>
  <w:style w:type="paragraph" w:customStyle="1" w:styleId="LightShading-Accent21">
    <w:name w:val="Light Shading - Accent 21"/>
    <w:next w:val="Normal"/>
    <w:link w:val="LightShading-Accent2Char"/>
    <w:uiPriority w:val="30"/>
    <w:qFormat/>
    <w:rsid w:val="00451CC4"/>
    <w:pPr>
      <w:pBdr>
        <w:top w:val="single" w:sz="4" w:space="10" w:color="5B9BD5"/>
        <w:bottom w:val="single" w:sz="4" w:space="10" w:color="5B9BD5"/>
      </w:pBdr>
      <w:spacing w:before="360" w:after="360"/>
      <w:ind w:left="864" w:right="864"/>
      <w:jc w:val="center"/>
    </w:pPr>
    <w:rPr>
      <w:rFonts w:cs="Arial"/>
      <w:i/>
      <w:iCs/>
      <w:color w:val="006DA5"/>
      <w:sz w:val="22"/>
      <w:szCs w:val="22"/>
      <w:lang w:eastAsia="en-AU"/>
    </w:rPr>
  </w:style>
  <w:style w:type="character" w:customStyle="1" w:styleId="LightShading-Accent2Char">
    <w:name w:val="Light Shading - Accent 2 Char"/>
    <w:link w:val="LightShading-Accent21"/>
    <w:uiPriority w:val="30"/>
    <w:rsid w:val="00451CC4"/>
    <w:rPr>
      <w:rFonts w:ascii="Arial" w:hAnsi="Arial" w:cs="Arial"/>
      <w:i/>
      <w:iCs/>
      <w:color w:val="006DA5"/>
    </w:rPr>
  </w:style>
  <w:style w:type="character" w:customStyle="1" w:styleId="TableGridLight1">
    <w:name w:val="Table Grid Light1"/>
    <w:uiPriority w:val="32"/>
    <w:qFormat/>
    <w:rsid w:val="00B825F7"/>
    <w:rPr>
      <w:b/>
      <w:bCs/>
      <w:smallCaps/>
      <w:color w:val="5B9BD5"/>
      <w:spacing w:val="5"/>
    </w:rPr>
  </w:style>
  <w:style w:type="table" w:styleId="ColorfulShading">
    <w:name w:val="Colorful Shading"/>
    <w:uiPriority w:val="62"/>
    <w:semiHidden/>
    <w:unhideWhenUsed/>
    <w:rsid w:val="00B825F7"/>
    <w:rPr>
      <w:sz w:val="22"/>
      <w:szCs w:val="22"/>
      <w:lang w:eastAsia="en-A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table" w:styleId="MediumGrid1-Accent1">
    <w:name w:val="Medium Grid 1 Accent 1"/>
    <w:uiPriority w:val="62"/>
    <w:semiHidden/>
    <w:unhideWhenUsed/>
    <w:rsid w:val="00B825F7"/>
    <w:rPr>
      <w:sz w:val="22"/>
      <w:szCs w:val="22"/>
      <w:lang w:eastAsia="en-AU"/>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0" w:type="dxa"/>
        <w:bottom w:w="0" w:type="dxa"/>
        <w:right w:w="0" w:type="dxa"/>
      </w:tblCellMar>
    </w:tblPr>
  </w:style>
  <w:style w:type="table" w:styleId="ColorfulShading-Accent2">
    <w:name w:val="Colorful Shading Accent 2"/>
    <w:uiPriority w:val="62"/>
    <w:semiHidden/>
    <w:unhideWhenUsed/>
    <w:rsid w:val="00B825F7"/>
    <w:rPr>
      <w:sz w:val="22"/>
      <w:szCs w:val="22"/>
      <w:lang w:eastAsia="en-AU"/>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CellMar>
        <w:top w:w="0" w:type="dxa"/>
        <w:left w:w="0" w:type="dxa"/>
        <w:bottom w:w="0" w:type="dxa"/>
        <w:right w:w="0" w:type="dxa"/>
      </w:tblCellMar>
    </w:tblPr>
  </w:style>
  <w:style w:type="table" w:styleId="ColorfulShading-Accent3">
    <w:name w:val="Colorful Shading Accent 3"/>
    <w:uiPriority w:val="62"/>
    <w:semiHidden/>
    <w:unhideWhenUsed/>
    <w:rsid w:val="00B825F7"/>
    <w:rPr>
      <w:sz w:val="22"/>
      <w:szCs w:val="22"/>
      <w:lang w:eastAsia="en-AU"/>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0" w:type="dxa"/>
        <w:bottom w:w="0" w:type="dxa"/>
        <w:right w:w="0" w:type="dxa"/>
      </w:tblCellMar>
    </w:tblPr>
  </w:style>
  <w:style w:type="table" w:styleId="ColorfulShading-Accent4">
    <w:name w:val="Colorful Shading Accent 4"/>
    <w:uiPriority w:val="62"/>
    <w:semiHidden/>
    <w:unhideWhenUsed/>
    <w:rsid w:val="00B825F7"/>
    <w:rPr>
      <w:sz w:val="22"/>
      <w:szCs w:val="22"/>
      <w:lang w:eastAsia="en-AU"/>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CellMar>
        <w:top w:w="0" w:type="dxa"/>
        <w:left w:w="0" w:type="dxa"/>
        <w:bottom w:w="0" w:type="dxa"/>
        <w:right w:w="0" w:type="dxa"/>
      </w:tblCellMar>
    </w:tblPr>
  </w:style>
  <w:style w:type="table" w:styleId="ColorfulShading-Accent5">
    <w:name w:val="Colorful Shading Accent 5"/>
    <w:uiPriority w:val="62"/>
    <w:semiHidden/>
    <w:unhideWhenUsed/>
    <w:rsid w:val="00B825F7"/>
    <w:rPr>
      <w:sz w:val="22"/>
      <w:szCs w:val="22"/>
      <w:lang w:eastAsia="en-AU"/>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0" w:type="dxa"/>
        <w:bottom w:w="0" w:type="dxa"/>
        <w:right w:w="0" w:type="dxa"/>
      </w:tblCellMar>
    </w:tblPr>
  </w:style>
  <w:style w:type="table" w:styleId="ColorfulShading-Accent6">
    <w:name w:val="Colorful Shading Accent 6"/>
    <w:uiPriority w:val="62"/>
    <w:semiHidden/>
    <w:unhideWhenUsed/>
    <w:rsid w:val="00B825F7"/>
    <w:rPr>
      <w:sz w:val="22"/>
      <w:szCs w:val="22"/>
      <w:lang w:eastAsia="en-AU"/>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0" w:type="dxa"/>
        <w:bottom w:w="0" w:type="dxa"/>
        <w:right w:w="0" w:type="dxa"/>
      </w:tblCellMar>
    </w:tblPr>
  </w:style>
  <w:style w:type="table" w:styleId="DarkList">
    <w:name w:val="Dark List"/>
    <w:uiPriority w:val="61"/>
    <w:semiHidden/>
    <w:unhideWhenUsed/>
    <w:rsid w:val="00B825F7"/>
    <w:rPr>
      <w:sz w:val="22"/>
      <w:szCs w:val="22"/>
      <w:lang w:eastAsia="en-AU"/>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0" w:type="dxa"/>
        <w:bottom w:w="0" w:type="dxa"/>
        <w:right w:w="0" w:type="dxa"/>
      </w:tblCellMar>
    </w:tblPr>
  </w:style>
  <w:style w:type="table" w:styleId="MediumList2-Accent1">
    <w:name w:val="Medium List 2 Accent 1"/>
    <w:uiPriority w:val="61"/>
    <w:semiHidden/>
    <w:unhideWhenUsed/>
    <w:rsid w:val="00B825F7"/>
    <w:rPr>
      <w:sz w:val="22"/>
      <w:szCs w:val="22"/>
      <w:lang w:eastAsia="en-AU"/>
    </w:rPr>
    <w:tblPr>
      <w:tblStyleRowBandSize w:val="1"/>
      <w:tblStyleColBandSize w:val="1"/>
      <w:tblBorders>
        <w:top w:val="single" w:sz="8" w:space="0" w:color="5B9BD5"/>
        <w:left w:val="single" w:sz="8" w:space="0" w:color="5B9BD5"/>
        <w:bottom w:val="single" w:sz="8" w:space="0" w:color="5B9BD5"/>
        <w:right w:val="single" w:sz="8" w:space="0" w:color="5B9BD5"/>
      </w:tblBorders>
      <w:tblCellMar>
        <w:top w:w="0" w:type="dxa"/>
        <w:left w:w="0" w:type="dxa"/>
        <w:bottom w:w="0" w:type="dxa"/>
        <w:right w:w="0" w:type="dxa"/>
      </w:tblCellMar>
    </w:tblPr>
  </w:style>
  <w:style w:type="table" w:styleId="DarkList-Accent2">
    <w:name w:val="Dark List Accent 2"/>
    <w:uiPriority w:val="61"/>
    <w:semiHidden/>
    <w:unhideWhenUsed/>
    <w:rsid w:val="00B825F7"/>
    <w:rPr>
      <w:sz w:val="22"/>
      <w:szCs w:val="22"/>
      <w:lang w:eastAsia="en-AU"/>
    </w:rPr>
    <w:tblPr>
      <w:tblStyleRowBandSize w:val="1"/>
      <w:tblStyleColBandSize w:val="1"/>
      <w:tblBorders>
        <w:top w:val="single" w:sz="8" w:space="0" w:color="ED7D31"/>
        <w:left w:val="single" w:sz="8" w:space="0" w:color="ED7D31"/>
        <w:bottom w:val="single" w:sz="8" w:space="0" w:color="ED7D31"/>
        <w:right w:val="single" w:sz="8" w:space="0" w:color="ED7D31"/>
      </w:tblBorders>
      <w:tblCellMar>
        <w:top w:w="0" w:type="dxa"/>
        <w:left w:w="0" w:type="dxa"/>
        <w:bottom w:w="0" w:type="dxa"/>
        <w:right w:w="0" w:type="dxa"/>
      </w:tblCellMar>
    </w:tblPr>
  </w:style>
  <w:style w:type="table" w:styleId="DarkList-Accent3">
    <w:name w:val="Dark List Accent 3"/>
    <w:uiPriority w:val="61"/>
    <w:semiHidden/>
    <w:unhideWhenUsed/>
    <w:rsid w:val="00B825F7"/>
    <w:rPr>
      <w:sz w:val="22"/>
      <w:szCs w:val="22"/>
      <w:lang w:eastAsia="en-AU"/>
    </w:rPr>
    <w:tblPr>
      <w:tblStyleRowBandSize w:val="1"/>
      <w:tblStyleColBandSize w:val="1"/>
      <w:tblBorders>
        <w:top w:val="single" w:sz="8" w:space="0" w:color="A5A5A5"/>
        <w:left w:val="single" w:sz="8" w:space="0" w:color="A5A5A5"/>
        <w:bottom w:val="single" w:sz="8" w:space="0" w:color="A5A5A5"/>
        <w:right w:val="single" w:sz="8" w:space="0" w:color="A5A5A5"/>
      </w:tblBorders>
      <w:tblCellMar>
        <w:top w:w="0" w:type="dxa"/>
        <w:left w:w="0" w:type="dxa"/>
        <w:bottom w:w="0" w:type="dxa"/>
        <w:right w:w="0" w:type="dxa"/>
      </w:tblCellMar>
    </w:tblPr>
  </w:style>
  <w:style w:type="table" w:styleId="DarkList-Accent4">
    <w:name w:val="Dark List Accent 4"/>
    <w:uiPriority w:val="61"/>
    <w:semiHidden/>
    <w:unhideWhenUsed/>
    <w:rsid w:val="00B825F7"/>
    <w:rPr>
      <w:sz w:val="22"/>
      <w:szCs w:val="22"/>
      <w:lang w:eastAsia="en-AU"/>
    </w:rPr>
    <w:tblPr>
      <w:tblStyleRowBandSize w:val="1"/>
      <w:tblStyleColBandSize w:val="1"/>
      <w:tblBorders>
        <w:top w:val="single" w:sz="8" w:space="0" w:color="FFC000"/>
        <w:left w:val="single" w:sz="8" w:space="0" w:color="FFC000"/>
        <w:bottom w:val="single" w:sz="8" w:space="0" w:color="FFC000"/>
        <w:right w:val="single" w:sz="8" w:space="0" w:color="FFC000"/>
      </w:tblBorders>
      <w:tblCellMar>
        <w:top w:w="0" w:type="dxa"/>
        <w:left w:w="0" w:type="dxa"/>
        <w:bottom w:w="0" w:type="dxa"/>
        <w:right w:w="0" w:type="dxa"/>
      </w:tblCellMar>
    </w:tblPr>
  </w:style>
  <w:style w:type="table" w:styleId="DarkList-Accent5">
    <w:name w:val="Dark List Accent 5"/>
    <w:uiPriority w:val="61"/>
    <w:semiHidden/>
    <w:unhideWhenUsed/>
    <w:rsid w:val="00B825F7"/>
    <w:rPr>
      <w:sz w:val="22"/>
      <w:szCs w:val="22"/>
      <w:lang w:eastAsia="en-AU"/>
    </w:rPr>
    <w:tblPr>
      <w:tblStyleRowBandSize w:val="1"/>
      <w:tblStyleColBandSize w:val="1"/>
      <w:tblBorders>
        <w:top w:val="single" w:sz="8" w:space="0" w:color="4472C4"/>
        <w:left w:val="single" w:sz="8" w:space="0" w:color="4472C4"/>
        <w:bottom w:val="single" w:sz="8" w:space="0" w:color="4472C4"/>
        <w:right w:val="single" w:sz="8" w:space="0" w:color="4472C4"/>
      </w:tblBorders>
      <w:tblCellMar>
        <w:top w:w="0" w:type="dxa"/>
        <w:left w:w="0" w:type="dxa"/>
        <w:bottom w:w="0" w:type="dxa"/>
        <w:right w:w="0" w:type="dxa"/>
      </w:tblCellMar>
    </w:tblPr>
  </w:style>
  <w:style w:type="table" w:styleId="DarkList-Accent6">
    <w:name w:val="Dark List Accent 6"/>
    <w:uiPriority w:val="61"/>
    <w:semiHidden/>
    <w:unhideWhenUsed/>
    <w:rsid w:val="00B825F7"/>
    <w:rPr>
      <w:sz w:val="22"/>
      <w:szCs w:val="22"/>
      <w:lang w:eastAsia="en-AU"/>
    </w:rPr>
    <w:tblPr>
      <w:tblStyleRowBandSize w:val="1"/>
      <w:tblStyleColBandSize w:val="1"/>
      <w:tblBorders>
        <w:top w:val="single" w:sz="8" w:space="0" w:color="70AD47"/>
        <w:left w:val="single" w:sz="8" w:space="0" w:color="70AD47"/>
        <w:bottom w:val="single" w:sz="8" w:space="0" w:color="70AD47"/>
        <w:right w:val="single" w:sz="8" w:space="0" w:color="70AD47"/>
      </w:tblBorders>
      <w:tblCellMar>
        <w:top w:w="0" w:type="dxa"/>
        <w:left w:w="0" w:type="dxa"/>
        <w:bottom w:w="0" w:type="dxa"/>
        <w:right w:w="0" w:type="dxa"/>
      </w:tblCellMar>
    </w:tblPr>
  </w:style>
  <w:style w:type="table" w:styleId="MediumGrid3">
    <w:name w:val="Medium Grid 3"/>
    <w:uiPriority w:val="60"/>
    <w:semiHidden/>
    <w:unhideWhenUsed/>
    <w:rsid w:val="00B825F7"/>
    <w:rPr>
      <w:color w:val="000000"/>
      <w:sz w:val="22"/>
      <w:szCs w:val="22"/>
      <w:lang w:eastAsia="en-AU"/>
    </w:rPr>
    <w:tblPr>
      <w:tblStyleRowBandSize w:val="1"/>
      <w:tblStyleColBandSize w:val="1"/>
      <w:tblBorders>
        <w:top w:val="single" w:sz="8" w:space="0" w:color="000000"/>
        <w:bottom w:val="single" w:sz="8" w:space="0" w:color="000000"/>
      </w:tblBorders>
      <w:tblCellMar>
        <w:top w:w="0" w:type="dxa"/>
        <w:left w:w="0" w:type="dxa"/>
        <w:bottom w:w="0" w:type="dxa"/>
        <w:right w:w="0" w:type="dxa"/>
      </w:tblCellMar>
    </w:tblPr>
  </w:style>
  <w:style w:type="table" w:customStyle="1" w:styleId="IntenseQuote1">
    <w:name w:val="Intense Quote1"/>
    <w:uiPriority w:val="60"/>
    <w:qFormat/>
    <w:rsid w:val="00B825F7"/>
    <w:rPr>
      <w:color w:val="2E74B5"/>
      <w:sz w:val="22"/>
      <w:szCs w:val="22"/>
      <w:lang w:eastAsia="en-AU"/>
    </w:rPr>
    <w:tblPr>
      <w:tblStyleRowBandSize w:val="1"/>
      <w:tblStyleColBandSize w:val="1"/>
      <w:tblBorders>
        <w:top w:val="single" w:sz="8" w:space="0" w:color="5B9BD5"/>
        <w:bottom w:val="single" w:sz="8" w:space="0" w:color="5B9BD5"/>
      </w:tblBorders>
      <w:tblCellMar>
        <w:top w:w="0" w:type="dxa"/>
        <w:left w:w="0" w:type="dxa"/>
        <w:bottom w:w="0" w:type="dxa"/>
        <w:right w:w="0" w:type="dxa"/>
      </w:tblCellMar>
    </w:tblPr>
  </w:style>
  <w:style w:type="table" w:styleId="MediumGrid3-Accent2">
    <w:name w:val="Medium Grid 3 Accent 2"/>
    <w:uiPriority w:val="60"/>
    <w:semiHidden/>
    <w:unhideWhenUsed/>
    <w:rsid w:val="00B825F7"/>
    <w:rPr>
      <w:color w:val="C45911"/>
      <w:sz w:val="22"/>
      <w:szCs w:val="22"/>
      <w:lang w:eastAsia="en-AU"/>
    </w:rPr>
    <w:tblPr>
      <w:tblStyleRowBandSize w:val="1"/>
      <w:tblStyleColBandSize w:val="1"/>
      <w:tblBorders>
        <w:top w:val="single" w:sz="8" w:space="0" w:color="ED7D31"/>
        <w:bottom w:val="single" w:sz="8" w:space="0" w:color="ED7D31"/>
      </w:tblBorders>
      <w:tblCellMar>
        <w:top w:w="0" w:type="dxa"/>
        <w:left w:w="0" w:type="dxa"/>
        <w:bottom w:w="0" w:type="dxa"/>
        <w:right w:w="0" w:type="dxa"/>
      </w:tblCellMar>
    </w:tblPr>
  </w:style>
  <w:style w:type="table" w:styleId="MediumGrid3-Accent3">
    <w:name w:val="Medium Grid 3 Accent 3"/>
    <w:uiPriority w:val="60"/>
    <w:semiHidden/>
    <w:unhideWhenUsed/>
    <w:rsid w:val="00B825F7"/>
    <w:rPr>
      <w:color w:val="7B7B7B"/>
      <w:sz w:val="22"/>
      <w:szCs w:val="22"/>
      <w:lang w:eastAsia="en-AU"/>
    </w:rPr>
    <w:tblPr>
      <w:tblStyleRowBandSize w:val="1"/>
      <w:tblStyleColBandSize w:val="1"/>
      <w:tblBorders>
        <w:top w:val="single" w:sz="8" w:space="0" w:color="A5A5A5"/>
        <w:bottom w:val="single" w:sz="8" w:space="0" w:color="A5A5A5"/>
      </w:tblBorders>
      <w:tblCellMar>
        <w:top w:w="0" w:type="dxa"/>
        <w:left w:w="0" w:type="dxa"/>
        <w:bottom w:w="0" w:type="dxa"/>
        <w:right w:w="0" w:type="dxa"/>
      </w:tblCellMar>
    </w:tblPr>
  </w:style>
  <w:style w:type="table" w:styleId="MediumGrid3-Accent4">
    <w:name w:val="Medium Grid 3 Accent 4"/>
    <w:uiPriority w:val="60"/>
    <w:semiHidden/>
    <w:unhideWhenUsed/>
    <w:rsid w:val="00B825F7"/>
    <w:rPr>
      <w:color w:val="BF8F00"/>
      <w:sz w:val="22"/>
      <w:szCs w:val="22"/>
      <w:lang w:eastAsia="en-AU"/>
    </w:rPr>
    <w:tblPr>
      <w:tblStyleRowBandSize w:val="1"/>
      <w:tblStyleColBandSize w:val="1"/>
      <w:tblBorders>
        <w:top w:val="single" w:sz="8" w:space="0" w:color="FFC000"/>
        <w:bottom w:val="single" w:sz="8" w:space="0" w:color="FFC000"/>
      </w:tblBorders>
      <w:tblCellMar>
        <w:top w:w="0" w:type="dxa"/>
        <w:left w:w="0" w:type="dxa"/>
        <w:bottom w:w="0" w:type="dxa"/>
        <w:right w:w="0" w:type="dxa"/>
      </w:tblCellMar>
    </w:tblPr>
  </w:style>
  <w:style w:type="table" w:styleId="MediumGrid3-Accent5">
    <w:name w:val="Medium Grid 3 Accent 5"/>
    <w:uiPriority w:val="60"/>
    <w:semiHidden/>
    <w:unhideWhenUsed/>
    <w:rsid w:val="00B825F7"/>
    <w:rPr>
      <w:color w:val="2F5496"/>
      <w:sz w:val="22"/>
      <w:szCs w:val="22"/>
      <w:lang w:eastAsia="en-AU"/>
    </w:rPr>
    <w:tblPr>
      <w:tblStyleRowBandSize w:val="1"/>
      <w:tblStyleColBandSize w:val="1"/>
      <w:tblBorders>
        <w:top w:val="single" w:sz="8" w:space="0" w:color="4472C4"/>
        <w:bottom w:val="single" w:sz="8" w:space="0" w:color="4472C4"/>
      </w:tblBorders>
      <w:tblCellMar>
        <w:top w:w="0" w:type="dxa"/>
        <w:left w:w="0" w:type="dxa"/>
        <w:bottom w:w="0" w:type="dxa"/>
        <w:right w:w="0" w:type="dxa"/>
      </w:tblCellMar>
    </w:tblPr>
  </w:style>
  <w:style w:type="table" w:styleId="MediumGrid3-Accent6">
    <w:name w:val="Medium Grid 3 Accent 6"/>
    <w:uiPriority w:val="60"/>
    <w:semiHidden/>
    <w:unhideWhenUsed/>
    <w:rsid w:val="00B825F7"/>
    <w:rPr>
      <w:color w:val="538135"/>
      <w:sz w:val="22"/>
      <w:szCs w:val="22"/>
      <w:lang w:eastAsia="en-AU"/>
    </w:rPr>
    <w:tblPr>
      <w:tblStyleRowBandSize w:val="1"/>
      <w:tblStyleColBandSize w:val="1"/>
      <w:tblBorders>
        <w:top w:val="single" w:sz="8" w:space="0" w:color="70AD47"/>
        <w:bottom w:val="single" w:sz="8" w:space="0" w:color="70AD47"/>
      </w:tblBorders>
      <w:tblCellMar>
        <w:top w:w="0" w:type="dxa"/>
        <w:left w:w="0" w:type="dxa"/>
        <w:bottom w:w="0" w:type="dxa"/>
        <w:right w:w="0" w:type="dxa"/>
      </w:tblCellMar>
    </w:tblPr>
  </w:style>
  <w:style w:type="character" w:styleId="LineNumber">
    <w:name w:val="line number"/>
    <w:uiPriority w:val="99"/>
    <w:semiHidden/>
    <w:unhideWhenUsed/>
    <w:rsid w:val="00B825F7"/>
  </w:style>
  <w:style w:type="paragraph" w:styleId="List">
    <w:name w:val="List"/>
    <w:uiPriority w:val="99"/>
    <w:semiHidden/>
    <w:unhideWhenUsed/>
    <w:rsid w:val="00B825F7"/>
    <w:pPr>
      <w:ind w:left="283" w:hanging="283"/>
      <w:contextualSpacing/>
    </w:pPr>
    <w:rPr>
      <w:rFonts w:cs="Arial"/>
      <w:sz w:val="22"/>
      <w:szCs w:val="22"/>
      <w:lang w:eastAsia="en-AU"/>
    </w:rPr>
  </w:style>
  <w:style w:type="paragraph" w:styleId="List2">
    <w:name w:val="List 2"/>
    <w:uiPriority w:val="99"/>
    <w:semiHidden/>
    <w:unhideWhenUsed/>
    <w:rsid w:val="00B825F7"/>
    <w:pPr>
      <w:ind w:left="566" w:hanging="283"/>
      <w:contextualSpacing/>
    </w:pPr>
    <w:rPr>
      <w:rFonts w:cs="Arial"/>
      <w:sz w:val="22"/>
      <w:szCs w:val="22"/>
      <w:lang w:eastAsia="en-AU"/>
    </w:rPr>
  </w:style>
  <w:style w:type="paragraph" w:styleId="List3">
    <w:name w:val="List 3"/>
    <w:uiPriority w:val="99"/>
    <w:semiHidden/>
    <w:unhideWhenUsed/>
    <w:rsid w:val="00B825F7"/>
    <w:pPr>
      <w:ind w:left="849" w:hanging="283"/>
      <w:contextualSpacing/>
    </w:pPr>
    <w:rPr>
      <w:rFonts w:cs="Arial"/>
      <w:sz w:val="22"/>
      <w:szCs w:val="22"/>
      <w:lang w:eastAsia="en-AU"/>
    </w:rPr>
  </w:style>
  <w:style w:type="paragraph" w:styleId="List4">
    <w:name w:val="List 4"/>
    <w:uiPriority w:val="99"/>
    <w:semiHidden/>
    <w:unhideWhenUsed/>
    <w:rsid w:val="00B825F7"/>
    <w:pPr>
      <w:ind w:left="1132" w:hanging="283"/>
      <w:contextualSpacing/>
    </w:pPr>
    <w:rPr>
      <w:rFonts w:cs="Arial"/>
      <w:sz w:val="22"/>
      <w:szCs w:val="22"/>
      <w:lang w:eastAsia="en-AU"/>
    </w:rPr>
  </w:style>
  <w:style w:type="paragraph" w:styleId="List5">
    <w:name w:val="List 5"/>
    <w:uiPriority w:val="99"/>
    <w:semiHidden/>
    <w:unhideWhenUsed/>
    <w:rsid w:val="00B825F7"/>
    <w:pPr>
      <w:ind w:left="1415" w:hanging="283"/>
      <w:contextualSpacing/>
    </w:pPr>
    <w:rPr>
      <w:rFonts w:cs="Arial"/>
      <w:sz w:val="22"/>
      <w:szCs w:val="22"/>
      <w:lang w:eastAsia="en-AU"/>
    </w:rPr>
  </w:style>
  <w:style w:type="paragraph" w:styleId="ListBullet">
    <w:name w:val="List Bullet"/>
    <w:link w:val="ListBulletChar"/>
    <w:uiPriority w:val="99"/>
    <w:unhideWhenUsed/>
    <w:rsid w:val="00847C1D"/>
    <w:pPr>
      <w:numPr>
        <w:numId w:val="4"/>
      </w:numPr>
      <w:spacing w:after="120"/>
      <w:ind w:left="357" w:hanging="357"/>
    </w:pPr>
    <w:rPr>
      <w:rFonts w:cs="Arial"/>
      <w:sz w:val="22"/>
      <w:szCs w:val="22"/>
      <w:lang w:eastAsia="en-AU"/>
    </w:rPr>
  </w:style>
  <w:style w:type="paragraph" w:styleId="ListBullet2">
    <w:name w:val="List Bullet 2"/>
    <w:uiPriority w:val="99"/>
    <w:semiHidden/>
    <w:unhideWhenUsed/>
    <w:rsid w:val="00B825F7"/>
    <w:pPr>
      <w:numPr>
        <w:numId w:val="5"/>
      </w:numPr>
      <w:contextualSpacing/>
    </w:pPr>
    <w:rPr>
      <w:rFonts w:cs="Arial"/>
      <w:sz w:val="22"/>
      <w:szCs w:val="22"/>
      <w:lang w:eastAsia="en-AU"/>
    </w:rPr>
  </w:style>
  <w:style w:type="paragraph" w:styleId="ListBullet3">
    <w:name w:val="List Bullet 3"/>
    <w:uiPriority w:val="99"/>
    <w:semiHidden/>
    <w:unhideWhenUsed/>
    <w:rsid w:val="00B825F7"/>
    <w:pPr>
      <w:numPr>
        <w:numId w:val="6"/>
      </w:numPr>
      <w:contextualSpacing/>
    </w:pPr>
    <w:rPr>
      <w:rFonts w:cs="Arial"/>
      <w:sz w:val="22"/>
      <w:szCs w:val="22"/>
      <w:lang w:eastAsia="en-AU"/>
    </w:rPr>
  </w:style>
  <w:style w:type="paragraph" w:styleId="ListBullet4">
    <w:name w:val="List Bullet 4"/>
    <w:uiPriority w:val="99"/>
    <w:semiHidden/>
    <w:unhideWhenUsed/>
    <w:rsid w:val="00B825F7"/>
    <w:pPr>
      <w:numPr>
        <w:numId w:val="7"/>
      </w:numPr>
      <w:contextualSpacing/>
    </w:pPr>
    <w:rPr>
      <w:rFonts w:cs="Arial"/>
      <w:sz w:val="22"/>
      <w:szCs w:val="22"/>
      <w:lang w:eastAsia="en-AU"/>
    </w:rPr>
  </w:style>
  <w:style w:type="paragraph" w:styleId="ListBullet5">
    <w:name w:val="List Bullet 5"/>
    <w:uiPriority w:val="99"/>
    <w:semiHidden/>
    <w:unhideWhenUsed/>
    <w:rsid w:val="00B825F7"/>
    <w:pPr>
      <w:numPr>
        <w:numId w:val="8"/>
      </w:numPr>
      <w:contextualSpacing/>
    </w:pPr>
    <w:rPr>
      <w:rFonts w:cs="Arial"/>
      <w:sz w:val="22"/>
      <w:szCs w:val="22"/>
      <w:lang w:eastAsia="en-AU"/>
    </w:rPr>
  </w:style>
  <w:style w:type="paragraph" w:styleId="ListContinue">
    <w:name w:val="List Continue"/>
    <w:uiPriority w:val="99"/>
    <w:semiHidden/>
    <w:unhideWhenUsed/>
    <w:rsid w:val="00B825F7"/>
    <w:pPr>
      <w:spacing w:after="120"/>
      <w:ind w:left="283"/>
      <w:contextualSpacing/>
    </w:pPr>
    <w:rPr>
      <w:rFonts w:cs="Arial"/>
      <w:sz w:val="22"/>
      <w:szCs w:val="22"/>
      <w:lang w:eastAsia="en-AU"/>
    </w:rPr>
  </w:style>
  <w:style w:type="paragraph" w:styleId="ListContinue2">
    <w:name w:val="List Continue 2"/>
    <w:uiPriority w:val="99"/>
    <w:semiHidden/>
    <w:unhideWhenUsed/>
    <w:rsid w:val="00B825F7"/>
    <w:pPr>
      <w:spacing w:after="120"/>
      <w:ind w:left="566"/>
      <w:contextualSpacing/>
    </w:pPr>
    <w:rPr>
      <w:rFonts w:cs="Arial"/>
      <w:sz w:val="22"/>
      <w:szCs w:val="22"/>
      <w:lang w:eastAsia="en-AU"/>
    </w:rPr>
  </w:style>
  <w:style w:type="paragraph" w:styleId="ListContinue3">
    <w:name w:val="List Continue 3"/>
    <w:uiPriority w:val="99"/>
    <w:semiHidden/>
    <w:unhideWhenUsed/>
    <w:rsid w:val="00B825F7"/>
    <w:pPr>
      <w:spacing w:after="120"/>
      <w:ind w:left="849"/>
      <w:contextualSpacing/>
    </w:pPr>
    <w:rPr>
      <w:rFonts w:cs="Arial"/>
      <w:sz w:val="22"/>
      <w:szCs w:val="22"/>
      <w:lang w:eastAsia="en-AU"/>
    </w:rPr>
  </w:style>
  <w:style w:type="paragraph" w:styleId="ListContinue4">
    <w:name w:val="List Continue 4"/>
    <w:uiPriority w:val="99"/>
    <w:semiHidden/>
    <w:unhideWhenUsed/>
    <w:rsid w:val="00B825F7"/>
    <w:pPr>
      <w:spacing w:after="120"/>
      <w:ind w:left="1132"/>
      <w:contextualSpacing/>
    </w:pPr>
    <w:rPr>
      <w:rFonts w:cs="Arial"/>
      <w:sz w:val="22"/>
      <w:szCs w:val="22"/>
      <w:lang w:eastAsia="en-AU"/>
    </w:rPr>
  </w:style>
  <w:style w:type="paragraph" w:styleId="ListContinue5">
    <w:name w:val="List Continue 5"/>
    <w:uiPriority w:val="99"/>
    <w:semiHidden/>
    <w:unhideWhenUsed/>
    <w:rsid w:val="00B825F7"/>
    <w:pPr>
      <w:spacing w:after="120"/>
      <w:ind w:left="1415"/>
      <w:contextualSpacing/>
    </w:pPr>
    <w:rPr>
      <w:rFonts w:cs="Arial"/>
      <w:sz w:val="22"/>
      <w:szCs w:val="22"/>
      <w:lang w:eastAsia="en-AU"/>
    </w:rPr>
  </w:style>
  <w:style w:type="paragraph" w:styleId="ListNumber">
    <w:name w:val="List Number"/>
    <w:uiPriority w:val="99"/>
    <w:semiHidden/>
    <w:unhideWhenUsed/>
    <w:rsid w:val="00B825F7"/>
    <w:pPr>
      <w:numPr>
        <w:numId w:val="9"/>
      </w:numPr>
      <w:contextualSpacing/>
    </w:pPr>
    <w:rPr>
      <w:rFonts w:cs="Arial"/>
      <w:sz w:val="22"/>
      <w:szCs w:val="22"/>
      <w:lang w:eastAsia="en-AU"/>
    </w:rPr>
  </w:style>
  <w:style w:type="paragraph" w:styleId="ListNumber2">
    <w:name w:val="List Number 2"/>
    <w:uiPriority w:val="99"/>
    <w:semiHidden/>
    <w:unhideWhenUsed/>
    <w:rsid w:val="00B825F7"/>
    <w:pPr>
      <w:numPr>
        <w:numId w:val="10"/>
      </w:numPr>
      <w:contextualSpacing/>
    </w:pPr>
    <w:rPr>
      <w:rFonts w:cs="Arial"/>
      <w:sz w:val="22"/>
      <w:szCs w:val="22"/>
      <w:lang w:eastAsia="en-AU"/>
    </w:rPr>
  </w:style>
  <w:style w:type="paragraph" w:styleId="ListNumber3">
    <w:name w:val="List Number 3"/>
    <w:uiPriority w:val="99"/>
    <w:semiHidden/>
    <w:unhideWhenUsed/>
    <w:rsid w:val="00B825F7"/>
    <w:pPr>
      <w:numPr>
        <w:numId w:val="11"/>
      </w:numPr>
      <w:contextualSpacing/>
    </w:pPr>
    <w:rPr>
      <w:rFonts w:cs="Arial"/>
      <w:sz w:val="22"/>
      <w:szCs w:val="22"/>
      <w:lang w:eastAsia="en-AU"/>
    </w:rPr>
  </w:style>
  <w:style w:type="paragraph" w:styleId="ListNumber4">
    <w:name w:val="List Number 4"/>
    <w:uiPriority w:val="99"/>
    <w:semiHidden/>
    <w:unhideWhenUsed/>
    <w:rsid w:val="00B825F7"/>
    <w:pPr>
      <w:numPr>
        <w:numId w:val="12"/>
      </w:numPr>
      <w:contextualSpacing/>
    </w:pPr>
    <w:rPr>
      <w:rFonts w:cs="Arial"/>
      <w:sz w:val="22"/>
      <w:szCs w:val="22"/>
      <w:lang w:eastAsia="en-AU"/>
    </w:rPr>
  </w:style>
  <w:style w:type="paragraph" w:styleId="ListNumber5">
    <w:name w:val="List Number 5"/>
    <w:uiPriority w:val="99"/>
    <w:semiHidden/>
    <w:unhideWhenUsed/>
    <w:rsid w:val="00B825F7"/>
    <w:pPr>
      <w:numPr>
        <w:numId w:val="13"/>
      </w:numPr>
      <w:contextualSpacing/>
    </w:pPr>
    <w:rPr>
      <w:rFonts w:cs="Arial"/>
      <w:sz w:val="22"/>
      <w:szCs w:val="22"/>
      <w:lang w:eastAsia="en-AU"/>
    </w:rPr>
  </w:style>
  <w:style w:type="paragraph" w:customStyle="1" w:styleId="ColorfulList-Accent11">
    <w:name w:val="Colorful List - Accent 11"/>
    <w:uiPriority w:val="34"/>
    <w:qFormat/>
    <w:rsid w:val="00451CC4"/>
    <w:pPr>
      <w:ind w:left="720"/>
    </w:pPr>
    <w:rPr>
      <w:rFonts w:cs="Arial"/>
      <w:sz w:val="22"/>
      <w:szCs w:val="22"/>
      <w:lang w:eastAsia="en-AU"/>
    </w:rPr>
  </w:style>
  <w:style w:type="table" w:customStyle="1" w:styleId="ListTable1Light1">
    <w:name w:val="List Table 1 Light1"/>
    <w:uiPriority w:val="46"/>
    <w:rsid w:val="00B825F7"/>
    <w:rPr>
      <w:sz w:val="22"/>
      <w:szCs w:val="22"/>
      <w:lang w:eastAsia="en-AU"/>
    </w:rPr>
    <w:tblPr>
      <w:tblStyleRowBandSize w:val="1"/>
      <w:tblStyleColBandSize w:val="1"/>
      <w:tblCellMar>
        <w:top w:w="0" w:type="dxa"/>
        <w:left w:w="0" w:type="dxa"/>
        <w:bottom w:w="0" w:type="dxa"/>
        <w:right w:w="0" w:type="dxa"/>
      </w:tblCellMar>
    </w:tblPr>
  </w:style>
  <w:style w:type="table" w:customStyle="1" w:styleId="ListTable1Light-Accent11">
    <w:name w:val="List Table 1 Light - Accent 11"/>
    <w:uiPriority w:val="46"/>
    <w:rsid w:val="00B825F7"/>
    <w:rPr>
      <w:sz w:val="22"/>
      <w:szCs w:val="22"/>
      <w:lang w:eastAsia="en-AU"/>
    </w:rPr>
    <w:tblPr>
      <w:tblStyleRowBandSize w:val="1"/>
      <w:tblStyleColBandSize w:val="1"/>
      <w:tblCellMar>
        <w:top w:w="0" w:type="dxa"/>
        <w:left w:w="0" w:type="dxa"/>
        <w:bottom w:w="0" w:type="dxa"/>
        <w:right w:w="0" w:type="dxa"/>
      </w:tblCellMar>
    </w:tblPr>
  </w:style>
  <w:style w:type="table" w:customStyle="1" w:styleId="ListTable1Light-Accent21">
    <w:name w:val="List Table 1 Light - Accent 21"/>
    <w:uiPriority w:val="46"/>
    <w:rsid w:val="00B825F7"/>
    <w:rPr>
      <w:sz w:val="22"/>
      <w:szCs w:val="22"/>
      <w:lang w:eastAsia="en-AU"/>
    </w:rPr>
    <w:tblPr>
      <w:tblStyleRowBandSize w:val="1"/>
      <w:tblStyleColBandSize w:val="1"/>
      <w:tblCellMar>
        <w:top w:w="0" w:type="dxa"/>
        <w:left w:w="0" w:type="dxa"/>
        <w:bottom w:w="0" w:type="dxa"/>
        <w:right w:w="0" w:type="dxa"/>
      </w:tblCellMar>
    </w:tblPr>
  </w:style>
  <w:style w:type="table" w:customStyle="1" w:styleId="ListTable1Light-Accent31">
    <w:name w:val="List Table 1 Light - Accent 31"/>
    <w:uiPriority w:val="46"/>
    <w:rsid w:val="00B825F7"/>
    <w:rPr>
      <w:sz w:val="22"/>
      <w:szCs w:val="22"/>
      <w:lang w:eastAsia="en-AU"/>
    </w:rPr>
    <w:tblPr>
      <w:tblStyleRowBandSize w:val="1"/>
      <w:tblStyleColBandSize w:val="1"/>
      <w:tblCellMar>
        <w:top w:w="0" w:type="dxa"/>
        <w:left w:w="0" w:type="dxa"/>
        <w:bottom w:w="0" w:type="dxa"/>
        <w:right w:w="0" w:type="dxa"/>
      </w:tblCellMar>
    </w:tblPr>
  </w:style>
  <w:style w:type="table" w:customStyle="1" w:styleId="ListTable1Light-Accent41">
    <w:name w:val="List Table 1 Light - Accent 41"/>
    <w:uiPriority w:val="46"/>
    <w:rsid w:val="00B825F7"/>
    <w:rPr>
      <w:sz w:val="22"/>
      <w:szCs w:val="22"/>
      <w:lang w:eastAsia="en-AU"/>
    </w:rPr>
    <w:tblPr>
      <w:tblStyleRowBandSize w:val="1"/>
      <w:tblStyleColBandSize w:val="1"/>
      <w:tblCellMar>
        <w:top w:w="0" w:type="dxa"/>
        <w:left w:w="0" w:type="dxa"/>
        <w:bottom w:w="0" w:type="dxa"/>
        <w:right w:w="0" w:type="dxa"/>
      </w:tblCellMar>
    </w:tblPr>
  </w:style>
  <w:style w:type="table" w:customStyle="1" w:styleId="ListTable1Light-Accent51">
    <w:name w:val="List Table 1 Light - Accent 51"/>
    <w:uiPriority w:val="46"/>
    <w:rsid w:val="00B825F7"/>
    <w:rPr>
      <w:sz w:val="22"/>
      <w:szCs w:val="22"/>
      <w:lang w:eastAsia="en-AU"/>
    </w:rPr>
    <w:tblPr>
      <w:tblStyleRowBandSize w:val="1"/>
      <w:tblStyleColBandSize w:val="1"/>
      <w:tblCellMar>
        <w:top w:w="0" w:type="dxa"/>
        <w:left w:w="0" w:type="dxa"/>
        <w:bottom w:w="0" w:type="dxa"/>
        <w:right w:w="0" w:type="dxa"/>
      </w:tblCellMar>
    </w:tblPr>
  </w:style>
  <w:style w:type="table" w:customStyle="1" w:styleId="ListTable1Light-Accent61">
    <w:name w:val="List Table 1 Light - Accent 61"/>
    <w:uiPriority w:val="46"/>
    <w:rsid w:val="00B825F7"/>
    <w:rPr>
      <w:sz w:val="22"/>
      <w:szCs w:val="22"/>
      <w:lang w:eastAsia="en-AU"/>
    </w:rPr>
    <w:tblPr>
      <w:tblStyleRowBandSize w:val="1"/>
      <w:tblStyleColBandSize w:val="1"/>
      <w:tblCellMar>
        <w:top w:w="0" w:type="dxa"/>
        <w:left w:w="0" w:type="dxa"/>
        <w:bottom w:w="0" w:type="dxa"/>
        <w:right w:w="0" w:type="dxa"/>
      </w:tblCellMar>
    </w:tblPr>
  </w:style>
  <w:style w:type="table" w:customStyle="1" w:styleId="ListTable21">
    <w:name w:val="List Table 21"/>
    <w:uiPriority w:val="47"/>
    <w:rsid w:val="00B825F7"/>
    <w:rPr>
      <w:sz w:val="22"/>
      <w:szCs w:val="22"/>
      <w:lang w:eastAsia="en-AU"/>
    </w:rPr>
    <w:tblPr>
      <w:tblStyleRowBandSize w:val="1"/>
      <w:tblStyleColBandSize w:val="1"/>
      <w:tblBorders>
        <w:top w:val="single" w:sz="4" w:space="0" w:color="666666"/>
        <w:bottom w:val="single" w:sz="4" w:space="0" w:color="666666"/>
        <w:insideH w:val="single" w:sz="4" w:space="0" w:color="666666"/>
      </w:tblBorders>
      <w:tblCellMar>
        <w:top w:w="0" w:type="dxa"/>
        <w:left w:w="0" w:type="dxa"/>
        <w:bottom w:w="0" w:type="dxa"/>
        <w:right w:w="0" w:type="dxa"/>
      </w:tblCellMar>
    </w:tblPr>
  </w:style>
  <w:style w:type="table" w:customStyle="1" w:styleId="ListTable2-Accent11">
    <w:name w:val="List Table 2 - Accent 11"/>
    <w:uiPriority w:val="47"/>
    <w:rsid w:val="00B825F7"/>
    <w:rPr>
      <w:sz w:val="22"/>
      <w:szCs w:val="22"/>
      <w:lang w:eastAsia="en-AU"/>
    </w:rPr>
    <w:tblPr>
      <w:tblStyleRowBandSize w:val="1"/>
      <w:tblStyleColBandSize w:val="1"/>
      <w:tblBorders>
        <w:top w:val="single" w:sz="4" w:space="0" w:color="9CC2E5"/>
        <w:bottom w:val="single" w:sz="4" w:space="0" w:color="9CC2E5"/>
        <w:insideH w:val="single" w:sz="4" w:space="0" w:color="9CC2E5"/>
      </w:tblBorders>
      <w:tblCellMar>
        <w:top w:w="0" w:type="dxa"/>
        <w:left w:w="0" w:type="dxa"/>
        <w:bottom w:w="0" w:type="dxa"/>
        <w:right w:w="0" w:type="dxa"/>
      </w:tblCellMar>
    </w:tblPr>
  </w:style>
  <w:style w:type="table" w:customStyle="1" w:styleId="ListTable2-Accent21">
    <w:name w:val="List Table 2 - Accent 21"/>
    <w:uiPriority w:val="47"/>
    <w:rsid w:val="00B825F7"/>
    <w:rPr>
      <w:sz w:val="22"/>
      <w:szCs w:val="22"/>
      <w:lang w:eastAsia="en-AU"/>
    </w:rPr>
    <w:tblPr>
      <w:tblStyleRowBandSize w:val="1"/>
      <w:tblStyleColBandSize w:val="1"/>
      <w:tblBorders>
        <w:top w:val="single" w:sz="4" w:space="0" w:color="F4B083"/>
        <w:bottom w:val="single" w:sz="4" w:space="0" w:color="F4B083"/>
        <w:insideH w:val="single" w:sz="4" w:space="0" w:color="F4B083"/>
      </w:tblBorders>
      <w:tblCellMar>
        <w:top w:w="0" w:type="dxa"/>
        <w:left w:w="0" w:type="dxa"/>
        <w:bottom w:w="0" w:type="dxa"/>
        <w:right w:w="0" w:type="dxa"/>
      </w:tblCellMar>
    </w:tblPr>
  </w:style>
  <w:style w:type="table" w:customStyle="1" w:styleId="ListTable2-Accent31">
    <w:name w:val="List Table 2 - Accent 31"/>
    <w:uiPriority w:val="47"/>
    <w:rsid w:val="00B825F7"/>
    <w:rPr>
      <w:sz w:val="22"/>
      <w:szCs w:val="22"/>
      <w:lang w:eastAsia="en-AU"/>
    </w:rPr>
    <w:tblPr>
      <w:tblStyleRowBandSize w:val="1"/>
      <w:tblStyleColBandSize w:val="1"/>
      <w:tblBorders>
        <w:top w:val="single" w:sz="4" w:space="0" w:color="C9C9C9"/>
        <w:bottom w:val="single" w:sz="4" w:space="0" w:color="C9C9C9"/>
        <w:insideH w:val="single" w:sz="4" w:space="0" w:color="C9C9C9"/>
      </w:tblBorders>
      <w:tblCellMar>
        <w:top w:w="0" w:type="dxa"/>
        <w:left w:w="0" w:type="dxa"/>
        <w:bottom w:w="0" w:type="dxa"/>
        <w:right w:w="0" w:type="dxa"/>
      </w:tblCellMar>
    </w:tblPr>
  </w:style>
  <w:style w:type="table" w:customStyle="1" w:styleId="ListTable2-Accent41">
    <w:name w:val="List Table 2 - Accent 41"/>
    <w:uiPriority w:val="47"/>
    <w:rsid w:val="00B825F7"/>
    <w:rPr>
      <w:sz w:val="22"/>
      <w:szCs w:val="22"/>
      <w:lang w:eastAsia="en-AU"/>
    </w:rPr>
    <w:tblPr>
      <w:tblStyleRowBandSize w:val="1"/>
      <w:tblStyleColBandSize w:val="1"/>
      <w:tblBorders>
        <w:top w:val="single" w:sz="4" w:space="0" w:color="FFD966"/>
        <w:bottom w:val="single" w:sz="4" w:space="0" w:color="FFD966"/>
        <w:insideH w:val="single" w:sz="4" w:space="0" w:color="FFD966"/>
      </w:tblBorders>
      <w:tblCellMar>
        <w:top w:w="0" w:type="dxa"/>
        <w:left w:w="0" w:type="dxa"/>
        <w:bottom w:w="0" w:type="dxa"/>
        <w:right w:w="0" w:type="dxa"/>
      </w:tblCellMar>
    </w:tblPr>
  </w:style>
  <w:style w:type="table" w:customStyle="1" w:styleId="ListTable2-Accent51">
    <w:name w:val="List Table 2 - Accent 51"/>
    <w:uiPriority w:val="47"/>
    <w:rsid w:val="00B825F7"/>
    <w:rPr>
      <w:sz w:val="22"/>
      <w:szCs w:val="22"/>
      <w:lang w:eastAsia="en-AU"/>
    </w:rPr>
    <w:tblPr>
      <w:tblStyleRowBandSize w:val="1"/>
      <w:tblStyleColBandSize w:val="1"/>
      <w:tblBorders>
        <w:top w:val="single" w:sz="4" w:space="0" w:color="8EAADB"/>
        <w:bottom w:val="single" w:sz="4" w:space="0" w:color="8EAADB"/>
        <w:insideH w:val="single" w:sz="4" w:space="0" w:color="8EAADB"/>
      </w:tblBorders>
      <w:tblCellMar>
        <w:top w:w="0" w:type="dxa"/>
        <w:left w:w="0" w:type="dxa"/>
        <w:bottom w:w="0" w:type="dxa"/>
        <w:right w:w="0" w:type="dxa"/>
      </w:tblCellMar>
    </w:tblPr>
  </w:style>
  <w:style w:type="table" w:customStyle="1" w:styleId="ListTable2-Accent61">
    <w:name w:val="List Table 2 - Accent 61"/>
    <w:uiPriority w:val="47"/>
    <w:rsid w:val="00B825F7"/>
    <w:rPr>
      <w:sz w:val="22"/>
      <w:szCs w:val="22"/>
      <w:lang w:eastAsia="en-AU"/>
    </w:rPr>
    <w:tblPr>
      <w:tblStyleRowBandSize w:val="1"/>
      <w:tblStyleColBandSize w:val="1"/>
      <w:tblBorders>
        <w:top w:val="single" w:sz="4" w:space="0" w:color="A8D08D"/>
        <w:bottom w:val="single" w:sz="4" w:space="0" w:color="A8D08D"/>
        <w:insideH w:val="single" w:sz="4" w:space="0" w:color="A8D08D"/>
      </w:tblBorders>
      <w:tblCellMar>
        <w:top w:w="0" w:type="dxa"/>
        <w:left w:w="0" w:type="dxa"/>
        <w:bottom w:w="0" w:type="dxa"/>
        <w:right w:w="0" w:type="dxa"/>
      </w:tblCellMar>
    </w:tblPr>
  </w:style>
  <w:style w:type="table" w:customStyle="1" w:styleId="ListTable31">
    <w:name w:val="List Table 31"/>
    <w:uiPriority w:val="48"/>
    <w:rsid w:val="00B825F7"/>
    <w:rPr>
      <w:sz w:val="22"/>
      <w:szCs w:val="22"/>
      <w:lang w:eastAsia="en-AU"/>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1">
    <w:name w:val="List Table 3 - Accent 11"/>
    <w:uiPriority w:val="48"/>
    <w:rsid w:val="00B825F7"/>
    <w:rPr>
      <w:sz w:val="22"/>
      <w:szCs w:val="22"/>
      <w:lang w:eastAsia="en-AU"/>
    </w:rPr>
    <w:tblPr>
      <w:tblStyleRowBandSize w:val="1"/>
      <w:tblStyleColBandSize w:val="1"/>
      <w:tblBorders>
        <w:top w:val="single" w:sz="4" w:space="0" w:color="5B9BD5"/>
        <w:left w:val="single" w:sz="4" w:space="0" w:color="5B9BD5"/>
        <w:bottom w:val="single" w:sz="4" w:space="0" w:color="5B9BD5"/>
        <w:right w:val="single" w:sz="4" w:space="0" w:color="5B9BD5"/>
      </w:tblBorders>
      <w:tblCellMar>
        <w:top w:w="0" w:type="dxa"/>
        <w:left w:w="0" w:type="dxa"/>
        <w:bottom w:w="0" w:type="dxa"/>
        <w:right w:w="0" w:type="dxa"/>
      </w:tblCellMar>
    </w:tblPr>
  </w:style>
  <w:style w:type="table" w:customStyle="1" w:styleId="ListTable3-Accent21">
    <w:name w:val="List Table 3 - Accent 21"/>
    <w:uiPriority w:val="48"/>
    <w:rsid w:val="00B825F7"/>
    <w:rPr>
      <w:sz w:val="22"/>
      <w:szCs w:val="22"/>
      <w:lang w:eastAsia="en-AU"/>
    </w:rPr>
    <w:tblPr>
      <w:tblStyleRowBandSize w:val="1"/>
      <w:tblStyleColBandSize w:val="1"/>
      <w:tblBorders>
        <w:top w:val="single" w:sz="4" w:space="0" w:color="ED7D31"/>
        <w:left w:val="single" w:sz="4" w:space="0" w:color="ED7D31"/>
        <w:bottom w:val="single" w:sz="4" w:space="0" w:color="ED7D31"/>
        <w:right w:val="single" w:sz="4" w:space="0" w:color="ED7D31"/>
      </w:tblBorders>
      <w:tblCellMar>
        <w:top w:w="0" w:type="dxa"/>
        <w:left w:w="0" w:type="dxa"/>
        <w:bottom w:w="0" w:type="dxa"/>
        <w:right w:w="0" w:type="dxa"/>
      </w:tblCellMar>
    </w:tblPr>
  </w:style>
  <w:style w:type="table" w:customStyle="1" w:styleId="ListTable3-Accent31">
    <w:name w:val="List Table 3 - Accent 31"/>
    <w:uiPriority w:val="48"/>
    <w:rsid w:val="00B825F7"/>
    <w:rPr>
      <w:sz w:val="22"/>
      <w:szCs w:val="22"/>
      <w:lang w:eastAsia="en-AU"/>
    </w:rPr>
    <w:tblPr>
      <w:tblStyleRowBandSize w:val="1"/>
      <w:tblStyleColBandSize w:val="1"/>
      <w:tblBorders>
        <w:top w:val="single" w:sz="4" w:space="0" w:color="A5A5A5"/>
        <w:left w:val="single" w:sz="4" w:space="0" w:color="A5A5A5"/>
        <w:bottom w:val="single" w:sz="4" w:space="0" w:color="A5A5A5"/>
        <w:right w:val="single" w:sz="4" w:space="0" w:color="A5A5A5"/>
      </w:tblBorders>
      <w:tblCellMar>
        <w:top w:w="0" w:type="dxa"/>
        <w:left w:w="0" w:type="dxa"/>
        <w:bottom w:w="0" w:type="dxa"/>
        <w:right w:w="0" w:type="dxa"/>
      </w:tblCellMar>
    </w:tblPr>
  </w:style>
  <w:style w:type="table" w:customStyle="1" w:styleId="ListTable3-Accent41">
    <w:name w:val="List Table 3 - Accent 41"/>
    <w:uiPriority w:val="48"/>
    <w:rsid w:val="00B825F7"/>
    <w:rPr>
      <w:sz w:val="22"/>
      <w:szCs w:val="22"/>
      <w:lang w:eastAsia="en-AU"/>
    </w:rPr>
    <w:tblPr>
      <w:tblStyleRowBandSize w:val="1"/>
      <w:tblStyleColBandSize w:val="1"/>
      <w:tblBorders>
        <w:top w:val="single" w:sz="4" w:space="0" w:color="FFC000"/>
        <w:left w:val="single" w:sz="4" w:space="0" w:color="FFC000"/>
        <w:bottom w:val="single" w:sz="4" w:space="0" w:color="FFC000"/>
        <w:right w:val="single" w:sz="4" w:space="0" w:color="FFC000"/>
      </w:tblBorders>
      <w:tblCellMar>
        <w:top w:w="0" w:type="dxa"/>
        <w:left w:w="0" w:type="dxa"/>
        <w:bottom w:w="0" w:type="dxa"/>
        <w:right w:w="0" w:type="dxa"/>
      </w:tblCellMar>
    </w:tblPr>
  </w:style>
  <w:style w:type="table" w:customStyle="1" w:styleId="ListTable3-Accent51">
    <w:name w:val="List Table 3 - Accent 51"/>
    <w:uiPriority w:val="48"/>
    <w:rsid w:val="00B825F7"/>
    <w:rPr>
      <w:sz w:val="22"/>
      <w:szCs w:val="22"/>
      <w:lang w:eastAsia="en-AU"/>
    </w:rPr>
    <w:tblPr>
      <w:tblStyleRowBandSize w:val="1"/>
      <w:tblStyleColBandSize w:val="1"/>
      <w:tblBorders>
        <w:top w:val="single" w:sz="4" w:space="0" w:color="4472C4"/>
        <w:left w:val="single" w:sz="4" w:space="0" w:color="4472C4"/>
        <w:bottom w:val="single" w:sz="4" w:space="0" w:color="4472C4"/>
        <w:right w:val="single" w:sz="4" w:space="0" w:color="4472C4"/>
      </w:tblBorders>
      <w:tblCellMar>
        <w:top w:w="0" w:type="dxa"/>
        <w:left w:w="0" w:type="dxa"/>
        <w:bottom w:w="0" w:type="dxa"/>
        <w:right w:w="0" w:type="dxa"/>
      </w:tblCellMar>
    </w:tblPr>
  </w:style>
  <w:style w:type="table" w:customStyle="1" w:styleId="ListTable3-Accent61">
    <w:name w:val="List Table 3 - Accent 61"/>
    <w:uiPriority w:val="48"/>
    <w:rsid w:val="00B825F7"/>
    <w:rPr>
      <w:sz w:val="22"/>
      <w:szCs w:val="22"/>
      <w:lang w:eastAsia="en-AU"/>
    </w:rPr>
    <w:tblPr>
      <w:tblStyleRowBandSize w:val="1"/>
      <w:tblStyleColBandSize w:val="1"/>
      <w:tblBorders>
        <w:top w:val="single" w:sz="4" w:space="0" w:color="70AD47"/>
        <w:left w:val="single" w:sz="4" w:space="0" w:color="70AD47"/>
        <w:bottom w:val="single" w:sz="4" w:space="0" w:color="70AD47"/>
        <w:right w:val="single" w:sz="4" w:space="0" w:color="70AD47"/>
      </w:tblBorders>
      <w:tblCellMar>
        <w:top w:w="0" w:type="dxa"/>
        <w:left w:w="0" w:type="dxa"/>
        <w:bottom w:w="0" w:type="dxa"/>
        <w:right w:w="0" w:type="dxa"/>
      </w:tblCellMar>
    </w:tblPr>
  </w:style>
  <w:style w:type="table" w:customStyle="1" w:styleId="ListTable41">
    <w:name w:val="List Table 41"/>
    <w:uiPriority w:val="49"/>
    <w:rsid w:val="00B825F7"/>
    <w:rPr>
      <w:sz w:val="22"/>
      <w:szCs w:val="22"/>
      <w:lang w:eastAsia="en-AU"/>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CellMar>
        <w:top w:w="0" w:type="dxa"/>
        <w:left w:w="0" w:type="dxa"/>
        <w:bottom w:w="0" w:type="dxa"/>
        <w:right w:w="0" w:type="dxa"/>
      </w:tblCellMar>
    </w:tblPr>
  </w:style>
  <w:style w:type="table" w:customStyle="1" w:styleId="ListTable4-Accent11">
    <w:name w:val="List Table 4 - Accent 11"/>
    <w:uiPriority w:val="49"/>
    <w:rsid w:val="00B825F7"/>
    <w:rPr>
      <w:sz w:val="22"/>
      <w:szCs w:val="22"/>
      <w:lang w:eastAsia="en-AU"/>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CellMar>
        <w:top w:w="0" w:type="dxa"/>
        <w:left w:w="0" w:type="dxa"/>
        <w:bottom w:w="0" w:type="dxa"/>
        <w:right w:w="0" w:type="dxa"/>
      </w:tblCellMar>
    </w:tblPr>
  </w:style>
  <w:style w:type="table" w:customStyle="1" w:styleId="ListTable4-Accent21">
    <w:name w:val="List Table 4 - Accent 21"/>
    <w:uiPriority w:val="49"/>
    <w:rsid w:val="00B825F7"/>
    <w:rPr>
      <w:sz w:val="22"/>
      <w:szCs w:val="22"/>
      <w:lang w:eastAsia="en-AU"/>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CellMar>
        <w:top w:w="0" w:type="dxa"/>
        <w:left w:w="0" w:type="dxa"/>
        <w:bottom w:w="0" w:type="dxa"/>
        <w:right w:w="0" w:type="dxa"/>
      </w:tblCellMar>
    </w:tblPr>
  </w:style>
  <w:style w:type="table" w:customStyle="1" w:styleId="ListTable4-Accent31">
    <w:name w:val="List Table 4 - Accent 31"/>
    <w:uiPriority w:val="49"/>
    <w:rsid w:val="00B825F7"/>
    <w:rPr>
      <w:sz w:val="22"/>
      <w:szCs w:val="22"/>
      <w:lang w:eastAsia="en-AU"/>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CellMar>
        <w:top w:w="0" w:type="dxa"/>
        <w:left w:w="0" w:type="dxa"/>
        <w:bottom w:w="0" w:type="dxa"/>
        <w:right w:w="0" w:type="dxa"/>
      </w:tblCellMar>
    </w:tblPr>
  </w:style>
  <w:style w:type="table" w:customStyle="1" w:styleId="ListTable4-Accent41">
    <w:name w:val="List Table 4 - Accent 41"/>
    <w:uiPriority w:val="49"/>
    <w:rsid w:val="00B825F7"/>
    <w:rPr>
      <w:sz w:val="22"/>
      <w:szCs w:val="22"/>
      <w:lang w:eastAsia="en-AU"/>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CellMar>
        <w:top w:w="0" w:type="dxa"/>
        <w:left w:w="0" w:type="dxa"/>
        <w:bottom w:w="0" w:type="dxa"/>
        <w:right w:w="0" w:type="dxa"/>
      </w:tblCellMar>
    </w:tblPr>
  </w:style>
  <w:style w:type="table" w:customStyle="1" w:styleId="ListTable4-Accent51">
    <w:name w:val="List Table 4 - Accent 51"/>
    <w:uiPriority w:val="49"/>
    <w:rsid w:val="00B825F7"/>
    <w:rPr>
      <w:sz w:val="22"/>
      <w:szCs w:val="22"/>
      <w:lang w:eastAsia="en-AU"/>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CellMar>
        <w:top w:w="0" w:type="dxa"/>
        <w:left w:w="0" w:type="dxa"/>
        <w:bottom w:w="0" w:type="dxa"/>
        <w:right w:w="0" w:type="dxa"/>
      </w:tblCellMar>
    </w:tblPr>
  </w:style>
  <w:style w:type="table" w:customStyle="1" w:styleId="ListTable4-Accent61">
    <w:name w:val="List Table 4 - Accent 61"/>
    <w:uiPriority w:val="49"/>
    <w:rsid w:val="00B825F7"/>
    <w:rPr>
      <w:sz w:val="22"/>
      <w:szCs w:val="22"/>
      <w:lang w:eastAsia="en-AU"/>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CellMar>
        <w:top w:w="0" w:type="dxa"/>
        <w:left w:w="0" w:type="dxa"/>
        <w:bottom w:w="0" w:type="dxa"/>
        <w:right w:w="0" w:type="dxa"/>
      </w:tblCellMar>
    </w:tblPr>
  </w:style>
  <w:style w:type="table" w:customStyle="1" w:styleId="ListTable5Dark1">
    <w:name w:val="List Table 5 Dark1"/>
    <w:uiPriority w:val="50"/>
    <w:rsid w:val="00B825F7"/>
    <w:rPr>
      <w:color w:val="FFFFFF"/>
      <w:sz w:val="22"/>
      <w:szCs w:val="22"/>
      <w:lang w:eastAsia="en-AU"/>
    </w:rPr>
    <w:tblPr>
      <w:tblStyleRowBandSize w:val="1"/>
      <w:tblStyleColBandSize w:val="1"/>
      <w:tblBorders>
        <w:top w:val="single" w:sz="24" w:space="0" w:color="000000"/>
        <w:left w:val="single" w:sz="24" w:space="0" w:color="000000"/>
        <w:bottom w:val="single" w:sz="24" w:space="0" w:color="000000"/>
        <w:right w:val="single" w:sz="24" w:space="0" w:color="000000"/>
      </w:tblBorders>
      <w:tblCellMar>
        <w:top w:w="0" w:type="dxa"/>
        <w:left w:w="0" w:type="dxa"/>
        <w:bottom w:w="0" w:type="dxa"/>
        <w:right w:w="0" w:type="dxa"/>
      </w:tblCellMar>
    </w:tblPr>
    <w:tcPr>
      <w:shd w:val="clear" w:color="auto" w:fill="000000"/>
    </w:tcPr>
  </w:style>
  <w:style w:type="table" w:customStyle="1" w:styleId="ListTable5Dark-Accent11">
    <w:name w:val="List Table 5 Dark - Accent 11"/>
    <w:uiPriority w:val="50"/>
    <w:rsid w:val="00B825F7"/>
    <w:rPr>
      <w:color w:val="FFFFFF"/>
      <w:sz w:val="22"/>
      <w:szCs w:val="22"/>
      <w:lang w:eastAsia="en-AU"/>
    </w:rPr>
    <w:tblPr>
      <w:tblStyleRowBandSize w:val="1"/>
      <w:tblStyleColBandSize w:val="1"/>
      <w:tblBorders>
        <w:top w:val="single" w:sz="24" w:space="0" w:color="5B9BD5"/>
        <w:left w:val="single" w:sz="24" w:space="0" w:color="5B9BD5"/>
        <w:bottom w:val="single" w:sz="24" w:space="0" w:color="5B9BD5"/>
        <w:right w:val="single" w:sz="24" w:space="0" w:color="5B9BD5"/>
      </w:tblBorders>
      <w:tblCellMar>
        <w:top w:w="0" w:type="dxa"/>
        <w:left w:w="0" w:type="dxa"/>
        <w:bottom w:w="0" w:type="dxa"/>
        <w:right w:w="0" w:type="dxa"/>
      </w:tblCellMar>
    </w:tblPr>
    <w:tcPr>
      <w:shd w:val="clear" w:color="auto" w:fill="5B9BD5"/>
    </w:tcPr>
  </w:style>
  <w:style w:type="table" w:customStyle="1" w:styleId="ListTable5Dark-Accent21">
    <w:name w:val="List Table 5 Dark - Accent 21"/>
    <w:uiPriority w:val="50"/>
    <w:rsid w:val="00B825F7"/>
    <w:rPr>
      <w:color w:val="FFFFFF"/>
      <w:sz w:val="22"/>
      <w:szCs w:val="22"/>
      <w:lang w:eastAsia="en-AU"/>
    </w:rPr>
    <w:tblPr>
      <w:tblStyleRowBandSize w:val="1"/>
      <w:tblStyleColBandSize w:val="1"/>
      <w:tblBorders>
        <w:top w:val="single" w:sz="24" w:space="0" w:color="ED7D31"/>
        <w:left w:val="single" w:sz="24" w:space="0" w:color="ED7D31"/>
        <w:bottom w:val="single" w:sz="24" w:space="0" w:color="ED7D31"/>
        <w:right w:val="single" w:sz="24" w:space="0" w:color="ED7D31"/>
      </w:tblBorders>
      <w:tblCellMar>
        <w:top w:w="0" w:type="dxa"/>
        <w:left w:w="0" w:type="dxa"/>
        <w:bottom w:w="0" w:type="dxa"/>
        <w:right w:w="0" w:type="dxa"/>
      </w:tblCellMar>
    </w:tblPr>
    <w:tcPr>
      <w:shd w:val="clear" w:color="auto" w:fill="ED7D31"/>
    </w:tcPr>
  </w:style>
  <w:style w:type="table" w:customStyle="1" w:styleId="ListTable5Dark-Accent31">
    <w:name w:val="List Table 5 Dark - Accent 31"/>
    <w:uiPriority w:val="50"/>
    <w:rsid w:val="00B825F7"/>
    <w:rPr>
      <w:color w:val="FFFFFF"/>
      <w:sz w:val="22"/>
      <w:szCs w:val="22"/>
      <w:lang w:eastAsia="en-AU"/>
    </w:rPr>
    <w:tblPr>
      <w:tblStyleRowBandSize w:val="1"/>
      <w:tblStyleColBandSize w:val="1"/>
      <w:tblBorders>
        <w:top w:val="single" w:sz="24" w:space="0" w:color="A5A5A5"/>
        <w:left w:val="single" w:sz="24" w:space="0" w:color="A5A5A5"/>
        <w:bottom w:val="single" w:sz="24" w:space="0" w:color="A5A5A5"/>
        <w:right w:val="single" w:sz="24" w:space="0" w:color="A5A5A5"/>
      </w:tblBorders>
      <w:tblCellMar>
        <w:top w:w="0" w:type="dxa"/>
        <w:left w:w="0" w:type="dxa"/>
        <w:bottom w:w="0" w:type="dxa"/>
        <w:right w:w="0" w:type="dxa"/>
      </w:tblCellMar>
    </w:tblPr>
    <w:tcPr>
      <w:shd w:val="clear" w:color="auto" w:fill="A5A5A5"/>
    </w:tcPr>
  </w:style>
  <w:style w:type="table" w:customStyle="1" w:styleId="ListTable5Dark-Accent41">
    <w:name w:val="List Table 5 Dark - Accent 41"/>
    <w:uiPriority w:val="50"/>
    <w:rsid w:val="00B825F7"/>
    <w:rPr>
      <w:color w:val="FFFFFF"/>
      <w:sz w:val="22"/>
      <w:szCs w:val="22"/>
      <w:lang w:eastAsia="en-AU"/>
    </w:rPr>
    <w:tblPr>
      <w:tblStyleRowBandSize w:val="1"/>
      <w:tblStyleColBandSize w:val="1"/>
      <w:tblBorders>
        <w:top w:val="single" w:sz="24" w:space="0" w:color="FFC000"/>
        <w:left w:val="single" w:sz="24" w:space="0" w:color="FFC000"/>
        <w:bottom w:val="single" w:sz="24" w:space="0" w:color="FFC000"/>
        <w:right w:val="single" w:sz="24" w:space="0" w:color="FFC000"/>
      </w:tblBorders>
      <w:tblCellMar>
        <w:top w:w="0" w:type="dxa"/>
        <w:left w:w="0" w:type="dxa"/>
        <w:bottom w:w="0" w:type="dxa"/>
        <w:right w:w="0" w:type="dxa"/>
      </w:tblCellMar>
    </w:tblPr>
    <w:tcPr>
      <w:shd w:val="clear" w:color="auto" w:fill="FFC000"/>
    </w:tcPr>
  </w:style>
  <w:style w:type="table" w:customStyle="1" w:styleId="ListTable5Dark-Accent51">
    <w:name w:val="List Table 5 Dark - Accent 51"/>
    <w:uiPriority w:val="50"/>
    <w:rsid w:val="00B825F7"/>
    <w:rPr>
      <w:color w:val="FFFFFF"/>
      <w:sz w:val="22"/>
      <w:szCs w:val="22"/>
      <w:lang w:eastAsia="en-AU"/>
    </w:rPr>
    <w:tblPr>
      <w:tblStyleRowBandSize w:val="1"/>
      <w:tblStyleColBandSize w:val="1"/>
      <w:tblBorders>
        <w:top w:val="single" w:sz="24" w:space="0" w:color="4472C4"/>
        <w:left w:val="single" w:sz="24" w:space="0" w:color="4472C4"/>
        <w:bottom w:val="single" w:sz="24" w:space="0" w:color="4472C4"/>
        <w:right w:val="single" w:sz="24" w:space="0" w:color="4472C4"/>
      </w:tblBorders>
      <w:tblCellMar>
        <w:top w:w="0" w:type="dxa"/>
        <w:left w:w="0" w:type="dxa"/>
        <w:bottom w:w="0" w:type="dxa"/>
        <w:right w:w="0" w:type="dxa"/>
      </w:tblCellMar>
    </w:tblPr>
    <w:tcPr>
      <w:shd w:val="clear" w:color="auto" w:fill="4472C4"/>
    </w:tcPr>
  </w:style>
  <w:style w:type="table" w:customStyle="1" w:styleId="ListTable5Dark-Accent61">
    <w:name w:val="List Table 5 Dark - Accent 61"/>
    <w:uiPriority w:val="50"/>
    <w:rsid w:val="00B825F7"/>
    <w:rPr>
      <w:color w:val="FFFFFF"/>
      <w:sz w:val="22"/>
      <w:szCs w:val="22"/>
      <w:lang w:eastAsia="en-AU"/>
    </w:rPr>
    <w:tblPr>
      <w:tblStyleRowBandSize w:val="1"/>
      <w:tblStyleColBandSize w:val="1"/>
      <w:tblBorders>
        <w:top w:val="single" w:sz="24" w:space="0" w:color="70AD47"/>
        <w:left w:val="single" w:sz="24" w:space="0" w:color="70AD47"/>
        <w:bottom w:val="single" w:sz="24" w:space="0" w:color="70AD47"/>
        <w:right w:val="single" w:sz="24" w:space="0" w:color="70AD47"/>
      </w:tblBorders>
      <w:tblCellMar>
        <w:top w:w="0" w:type="dxa"/>
        <w:left w:w="0" w:type="dxa"/>
        <w:bottom w:w="0" w:type="dxa"/>
        <w:right w:w="0" w:type="dxa"/>
      </w:tblCellMar>
    </w:tblPr>
    <w:tcPr>
      <w:shd w:val="clear" w:color="auto" w:fill="70AD47"/>
    </w:tcPr>
  </w:style>
  <w:style w:type="table" w:customStyle="1" w:styleId="ListTable6Colorful1">
    <w:name w:val="List Table 6 Colorful1"/>
    <w:uiPriority w:val="51"/>
    <w:rsid w:val="00B825F7"/>
    <w:rPr>
      <w:color w:val="000000"/>
      <w:sz w:val="22"/>
      <w:szCs w:val="22"/>
      <w:lang w:eastAsia="en-AU"/>
    </w:rPr>
    <w:tblPr>
      <w:tblStyleRowBandSize w:val="1"/>
      <w:tblStyleColBandSize w:val="1"/>
      <w:tblBorders>
        <w:top w:val="single" w:sz="4" w:space="0" w:color="000000"/>
        <w:bottom w:val="single" w:sz="4" w:space="0" w:color="000000"/>
      </w:tblBorders>
      <w:tblCellMar>
        <w:top w:w="0" w:type="dxa"/>
        <w:left w:w="0" w:type="dxa"/>
        <w:bottom w:w="0" w:type="dxa"/>
        <w:right w:w="0" w:type="dxa"/>
      </w:tblCellMar>
    </w:tblPr>
  </w:style>
  <w:style w:type="table" w:customStyle="1" w:styleId="ListTable6Colorful-Accent11">
    <w:name w:val="List Table 6 Colorful - Accent 11"/>
    <w:uiPriority w:val="51"/>
    <w:rsid w:val="00B825F7"/>
    <w:rPr>
      <w:color w:val="2E74B5"/>
      <w:sz w:val="22"/>
      <w:szCs w:val="22"/>
      <w:lang w:eastAsia="en-AU"/>
    </w:rPr>
    <w:tblPr>
      <w:tblStyleRowBandSize w:val="1"/>
      <w:tblStyleColBandSize w:val="1"/>
      <w:tblBorders>
        <w:top w:val="single" w:sz="4" w:space="0" w:color="5B9BD5"/>
        <w:bottom w:val="single" w:sz="4" w:space="0" w:color="5B9BD5"/>
      </w:tblBorders>
      <w:tblCellMar>
        <w:top w:w="0" w:type="dxa"/>
        <w:left w:w="0" w:type="dxa"/>
        <w:bottom w:w="0" w:type="dxa"/>
        <w:right w:w="0" w:type="dxa"/>
      </w:tblCellMar>
    </w:tblPr>
  </w:style>
  <w:style w:type="table" w:customStyle="1" w:styleId="ListTable6Colorful-Accent21">
    <w:name w:val="List Table 6 Colorful - Accent 21"/>
    <w:uiPriority w:val="51"/>
    <w:rsid w:val="00B825F7"/>
    <w:rPr>
      <w:color w:val="C45911"/>
      <w:sz w:val="22"/>
      <w:szCs w:val="22"/>
      <w:lang w:eastAsia="en-AU"/>
    </w:rPr>
    <w:tblPr>
      <w:tblStyleRowBandSize w:val="1"/>
      <w:tblStyleColBandSize w:val="1"/>
      <w:tblBorders>
        <w:top w:val="single" w:sz="4" w:space="0" w:color="ED7D31"/>
        <w:bottom w:val="single" w:sz="4" w:space="0" w:color="ED7D31"/>
      </w:tblBorders>
      <w:tblCellMar>
        <w:top w:w="0" w:type="dxa"/>
        <w:left w:w="0" w:type="dxa"/>
        <w:bottom w:w="0" w:type="dxa"/>
        <w:right w:w="0" w:type="dxa"/>
      </w:tblCellMar>
    </w:tblPr>
  </w:style>
  <w:style w:type="table" w:customStyle="1" w:styleId="ListTable6Colorful-Accent31">
    <w:name w:val="List Table 6 Colorful - Accent 31"/>
    <w:uiPriority w:val="51"/>
    <w:rsid w:val="00B825F7"/>
    <w:rPr>
      <w:color w:val="7B7B7B"/>
      <w:sz w:val="22"/>
      <w:szCs w:val="22"/>
      <w:lang w:eastAsia="en-AU"/>
    </w:rPr>
    <w:tblPr>
      <w:tblStyleRowBandSize w:val="1"/>
      <w:tblStyleColBandSize w:val="1"/>
      <w:tblBorders>
        <w:top w:val="single" w:sz="4" w:space="0" w:color="A5A5A5"/>
        <w:bottom w:val="single" w:sz="4" w:space="0" w:color="A5A5A5"/>
      </w:tblBorders>
      <w:tblCellMar>
        <w:top w:w="0" w:type="dxa"/>
        <w:left w:w="0" w:type="dxa"/>
        <w:bottom w:w="0" w:type="dxa"/>
        <w:right w:w="0" w:type="dxa"/>
      </w:tblCellMar>
    </w:tblPr>
  </w:style>
  <w:style w:type="table" w:customStyle="1" w:styleId="ListTable6Colorful-Accent41">
    <w:name w:val="List Table 6 Colorful - Accent 41"/>
    <w:uiPriority w:val="51"/>
    <w:rsid w:val="00B825F7"/>
    <w:rPr>
      <w:color w:val="BF8F00"/>
      <w:sz w:val="22"/>
      <w:szCs w:val="22"/>
      <w:lang w:eastAsia="en-AU"/>
    </w:rPr>
    <w:tblPr>
      <w:tblStyleRowBandSize w:val="1"/>
      <w:tblStyleColBandSize w:val="1"/>
      <w:tblBorders>
        <w:top w:val="single" w:sz="4" w:space="0" w:color="FFC000"/>
        <w:bottom w:val="single" w:sz="4" w:space="0" w:color="FFC000"/>
      </w:tblBorders>
      <w:tblCellMar>
        <w:top w:w="0" w:type="dxa"/>
        <w:left w:w="0" w:type="dxa"/>
        <w:bottom w:w="0" w:type="dxa"/>
        <w:right w:w="0" w:type="dxa"/>
      </w:tblCellMar>
    </w:tblPr>
  </w:style>
  <w:style w:type="table" w:customStyle="1" w:styleId="ListTable6Colorful-Accent51">
    <w:name w:val="List Table 6 Colorful - Accent 51"/>
    <w:uiPriority w:val="51"/>
    <w:rsid w:val="00B825F7"/>
    <w:rPr>
      <w:color w:val="2F5496"/>
      <w:sz w:val="22"/>
      <w:szCs w:val="22"/>
      <w:lang w:eastAsia="en-AU"/>
    </w:rPr>
    <w:tblPr>
      <w:tblStyleRowBandSize w:val="1"/>
      <w:tblStyleColBandSize w:val="1"/>
      <w:tblBorders>
        <w:top w:val="single" w:sz="4" w:space="0" w:color="4472C4"/>
        <w:bottom w:val="single" w:sz="4" w:space="0" w:color="4472C4"/>
      </w:tblBorders>
      <w:tblCellMar>
        <w:top w:w="0" w:type="dxa"/>
        <w:left w:w="0" w:type="dxa"/>
        <w:bottom w:w="0" w:type="dxa"/>
        <w:right w:w="0" w:type="dxa"/>
      </w:tblCellMar>
    </w:tblPr>
  </w:style>
  <w:style w:type="table" w:customStyle="1" w:styleId="ListTable6Colorful-Accent61">
    <w:name w:val="List Table 6 Colorful - Accent 61"/>
    <w:uiPriority w:val="51"/>
    <w:rsid w:val="00B825F7"/>
    <w:rPr>
      <w:color w:val="538135"/>
      <w:sz w:val="22"/>
      <w:szCs w:val="22"/>
      <w:lang w:eastAsia="en-AU"/>
    </w:rPr>
    <w:tblPr>
      <w:tblStyleRowBandSize w:val="1"/>
      <w:tblStyleColBandSize w:val="1"/>
      <w:tblBorders>
        <w:top w:val="single" w:sz="4" w:space="0" w:color="70AD47"/>
        <w:bottom w:val="single" w:sz="4" w:space="0" w:color="70AD47"/>
      </w:tblBorders>
      <w:tblCellMar>
        <w:top w:w="0" w:type="dxa"/>
        <w:left w:w="0" w:type="dxa"/>
        <w:bottom w:w="0" w:type="dxa"/>
        <w:right w:w="0" w:type="dxa"/>
      </w:tblCellMar>
    </w:tblPr>
  </w:style>
  <w:style w:type="table" w:customStyle="1" w:styleId="ListTable7Colorful1">
    <w:name w:val="List Table 7 Colorful1"/>
    <w:uiPriority w:val="52"/>
    <w:rsid w:val="00B825F7"/>
    <w:rPr>
      <w:color w:val="000000"/>
      <w:sz w:val="22"/>
      <w:szCs w:val="22"/>
      <w:lang w:eastAsia="en-AU"/>
    </w:rPr>
    <w:tblPr>
      <w:tblStyleRowBandSize w:val="1"/>
      <w:tblStyleColBandSize w:val="1"/>
      <w:tblCellMar>
        <w:top w:w="0" w:type="dxa"/>
        <w:left w:w="0" w:type="dxa"/>
        <w:bottom w:w="0" w:type="dxa"/>
        <w:right w:w="0" w:type="dxa"/>
      </w:tblCellMar>
    </w:tblPr>
  </w:style>
  <w:style w:type="table" w:customStyle="1" w:styleId="ListTable7Colorful-Accent11">
    <w:name w:val="List Table 7 Colorful - Accent 11"/>
    <w:uiPriority w:val="52"/>
    <w:rsid w:val="00B825F7"/>
    <w:rPr>
      <w:color w:val="2E74B5"/>
      <w:sz w:val="22"/>
      <w:szCs w:val="22"/>
      <w:lang w:eastAsia="en-AU"/>
    </w:rPr>
    <w:tblPr>
      <w:tblStyleRowBandSize w:val="1"/>
      <w:tblStyleColBandSize w:val="1"/>
      <w:tblCellMar>
        <w:top w:w="0" w:type="dxa"/>
        <w:left w:w="0" w:type="dxa"/>
        <w:bottom w:w="0" w:type="dxa"/>
        <w:right w:w="0" w:type="dxa"/>
      </w:tblCellMar>
    </w:tblPr>
  </w:style>
  <w:style w:type="table" w:customStyle="1" w:styleId="ListTable7Colorful-Accent21">
    <w:name w:val="List Table 7 Colorful - Accent 21"/>
    <w:uiPriority w:val="52"/>
    <w:rsid w:val="00B825F7"/>
    <w:rPr>
      <w:color w:val="C45911"/>
      <w:sz w:val="22"/>
      <w:szCs w:val="22"/>
      <w:lang w:eastAsia="en-AU"/>
    </w:rPr>
    <w:tblPr>
      <w:tblStyleRowBandSize w:val="1"/>
      <w:tblStyleColBandSize w:val="1"/>
      <w:tblCellMar>
        <w:top w:w="0" w:type="dxa"/>
        <w:left w:w="0" w:type="dxa"/>
        <w:bottom w:w="0" w:type="dxa"/>
        <w:right w:w="0" w:type="dxa"/>
      </w:tblCellMar>
    </w:tblPr>
  </w:style>
  <w:style w:type="table" w:customStyle="1" w:styleId="ListTable7Colorful-Accent31">
    <w:name w:val="List Table 7 Colorful - Accent 31"/>
    <w:uiPriority w:val="52"/>
    <w:rsid w:val="00B825F7"/>
    <w:rPr>
      <w:color w:val="7B7B7B"/>
      <w:sz w:val="22"/>
      <w:szCs w:val="22"/>
      <w:lang w:eastAsia="en-AU"/>
    </w:rPr>
    <w:tblPr>
      <w:tblStyleRowBandSize w:val="1"/>
      <w:tblStyleColBandSize w:val="1"/>
      <w:tblCellMar>
        <w:top w:w="0" w:type="dxa"/>
        <w:left w:w="0" w:type="dxa"/>
        <w:bottom w:w="0" w:type="dxa"/>
        <w:right w:w="0" w:type="dxa"/>
      </w:tblCellMar>
    </w:tblPr>
  </w:style>
  <w:style w:type="table" w:customStyle="1" w:styleId="ListTable7Colorful-Accent41">
    <w:name w:val="List Table 7 Colorful - Accent 41"/>
    <w:uiPriority w:val="52"/>
    <w:rsid w:val="00B825F7"/>
    <w:rPr>
      <w:color w:val="BF8F00"/>
      <w:sz w:val="22"/>
      <w:szCs w:val="22"/>
      <w:lang w:eastAsia="en-AU"/>
    </w:rPr>
    <w:tblPr>
      <w:tblStyleRowBandSize w:val="1"/>
      <w:tblStyleColBandSize w:val="1"/>
      <w:tblCellMar>
        <w:top w:w="0" w:type="dxa"/>
        <w:left w:w="0" w:type="dxa"/>
        <w:bottom w:w="0" w:type="dxa"/>
        <w:right w:w="0" w:type="dxa"/>
      </w:tblCellMar>
    </w:tblPr>
  </w:style>
  <w:style w:type="table" w:customStyle="1" w:styleId="ListTable7Colorful-Accent51">
    <w:name w:val="List Table 7 Colorful - Accent 51"/>
    <w:uiPriority w:val="52"/>
    <w:rsid w:val="00B825F7"/>
    <w:rPr>
      <w:color w:val="2F5496"/>
      <w:sz w:val="22"/>
      <w:szCs w:val="22"/>
      <w:lang w:eastAsia="en-AU"/>
    </w:rPr>
    <w:tblPr>
      <w:tblStyleRowBandSize w:val="1"/>
      <w:tblStyleColBandSize w:val="1"/>
      <w:tblCellMar>
        <w:top w:w="0" w:type="dxa"/>
        <w:left w:w="0" w:type="dxa"/>
        <w:bottom w:w="0" w:type="dxa"/>
        <w:right w:w="0" w:type="dxa"/>
      </w:tblCellMar>
    </w:tblPr>
  </w:style>
  <w:style w:type="table" w:customStyle="1" w:styleId="ListTable7Colorful-Accent61">
    <w:name w:val="List Table 7 Colorful - Accent 61"/>
    <w:uiPriority w:val="52"/>
    <w:rsid w:val="00B825F7"/>
    <w:rPr>
      <w:color w:val="538135"/>
      <w:sz w:val="22"/>
      <w:szCs w:val="22"/>
      <w:lang w:eastAsia="en-AU"/>
    </w:rPr>
    <w:tblPr>
      <w:tblStyleRowBandSize w:val="1"/>
      <w:tblStyleColBandSize w:val="1"/>
      <w:tblCellMar>
        <w:top w:w="0" w:type="dxa"/>
        <w:left w:w="0" w:type="dxa"/>
        <w:bottom w:w="0" w:type="dxa"/>
        <w:right w:w="0" w:type="dxa"/>
      </w:tblCellMar>
    </w:tblPr>
  </w:style>
  <w:style w:type="paragraph" w:styleId="MacroText">
    <w:name w:val="macro"/>
    <w:link w:val="MacroTextChar"/>
    <w:uiPriority w:val="99"/>
    <w:semiHidden/>
    <w:unhideWhenUsed/>
    <w:rsid w:val="00B825F7"/>
    <w:pPr>
      <w:tabs>
        <w:tab w:val="left" w:pos="480"/>
        <w:tab w:val="left" w:pos="960"/>
        <w:tab w:val="left" w:pos="1440"/>
        <w:tab w:val="left" w:pos="1920"/>
        <w:tab w:val="left" w:pos="2400"/>
        <w:tab w:val="left" w:pos="2880"/>
        <w:tab w:val="left" w:pos="3360"/>
        <w:tab w:val="left" w:pos="3840"/>
        <w:tab w:val="left" w:pos="4320"/>
      </w:tabs>
      <w:spacing w:after="160" w:line="259" w:lineRule="auto"/>
    </w:pPr>
    <w:rPr>
      <w:rFonts w:cs="Arial"/>
      <w:lang w:eastAsia="en-AU"/>
    </w:rPr>
  </w:style>
  <w:style w:type="character" w:customStyle="1" w:styleId="MacroTextChar">
    <w:name w:val="Macro Text Char"/>
    <w:link w:val="MacroText"/>
    <w:uiPriority w:val="99"/>
    <w:semiHidden/>
    <w:rsid w:val="00B825F7"/>
    <w:rPr>
      <w:rFonts w:ascii="Arial" w:hAnsi="Arial" w:cs="Arial"/>
      <w:sz w:val="20"/>
      <w:szCs w:val="20"/>
    </w:rPr>
  </w:style>
  <w:style w:type="table" w:styleId="LightGrid-Accent1">
    <w:name w:val="Light Grid Accent 1"/>
    <w:uiPriority w:val="67"/>
    <w:semiHidden/>
    <w:unhideWhenUsed/>
    <w:rsid w:val="00B825F7"/>
    <w:rPr>
      <w:sz w:val="22"/>
      <w:szCs w:val="22"/>
      <w:lang w:eastAsia="en-AU"/>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0" w:type="dxa"/>
        <w:bottom w:w="0" w:type="dxa"/>
        <w:right w:w="0" w:type="dxa"/>
      </w:tblCellMar>
    </w:tblPr>
    <w:tcPr>
      <w:shd w:val="clear" w:color="auto" w:fill="C0C0C0"/>
    </w:tcPr>
  </w:style>
  <w:style w:type="table" w:styleId="LightGrid-Accent2">
    <w:name w:val="Light Grid Accent 2"/>
    <w:uiPriority w:val="67"/>
    <w:semiHidden/>
    <w:unhideWhenUsed/>
    <w:rsid w:val="00B825F7"/>
    <w:rPr>
      <w:sz w:val="22"/>
      <w:szCs w:val="22"/>
      <w:lang w:eastAsia="en-AU"/>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0" w:type="dxa"/>
        <w:bottom w:w="0" w:type="dxa"/>
        <w:right w:w="0" w:type="dxa"/>
      </w:tblCellMar>
    </w:tblPr>
    <w:tcPr>
      <w:shd w:val="clear" w:color="auto" w:fill="D6E6F4"/>
    </w:tcPr>
  </w:style>
  <w:style w:type="table" w:styleId="LightGrid-Accent3">
    <w:name w:val="Light Grid Accent 3"/>
    <w:uiPriority w:val="67"/>
    <w:semiHidden/>
    <w:unhideWhenUsed/>
    <w:rsid w:val="00B825F7"/>
    <w:rPr>
      <w:sz w:val="22"/>
      <w:szCs w:val="22"/>
      <w:lang w:eastAsia="en-AU"/>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CellMar>
        <w:top w:w="0" w:type="dxa"/>
        <w:left w:w="0" w:type="dxa"/>
        <w:bottom w:w="0" w:type="dxa"/>
        <w:right w:w="0" w:type="dxa"/>
      </w:tblCellMar>
    </w:tblPr>
    <w:tcPr>
      <w:shd w:val="clear" w:color="auto" w:fill="FADECB"/>
    </w:tcPr>
  </w:style>
  <w:style w:type="table" w:styleId="LightGrid-Accent4">
    <w:name w:val="Light Grid Accent 4"/>
    <w:uiPriority w:val="67"/>
    <w:semiHidden/>
    <w:unhideWhenUsed/>
    <w:rsid w:val="00B825F7"/>
    <w:rPr>
      <w:sz w:val="22"/>
      <w:szCs w:val="22"/>
      <w:lang w:eastAsia="en-AU"/>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0" w:type="dxa"/>
        <w:bottom w:w="0" w:type="dxa"/>
        <w:right w:w="0" w:type="dxa"/>
      </w:tblCellMar>
    </w:tblPr>
    <w:tcPr>
      <w:shd w:val="clear" w:color="auto" w:fill="E8E8E8"/>
    </w:tcPr>
  </w:style>
  <w:style w:type="table" w:styleId="LightGrid-Accent5">
    <w:name w:val="Light Grid Accent 5"/>
    <w:uiPriority w:val="67"/>
    <w:semiHidden/>
    <w:unhideWhenUsed/>
    <w:rsid w:val="00B825F7"/>
    <w:rPr>
      <w:sz w:val="22"/>
      <w:szCs w:val="22"/>
      <w:lang w:eastAsia="en-AU"/>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CellMar>
        <w:top w:w="0" w:type="dxa"/>
        <w:left w:w="0" w:type="dxa"/>
        <w:bottom w:w="0" w:type="dxa"/>
        <w:right w:w="0" w:type="dxa"/>
      </w:tblCellMar>
    </w:tblPr>
    <w:tcPr>
      <w:shd w:val="clear" w:color="auto" w:fill="FFEFC0"/>
    </w:tcPr>
  </w:style>
  <w:style w:type="table" w:styleId="LightGrid-Accent6">
    <w:name w:val="Light Grid Accent 6"/>
    <w:uiPriority w:val="67"/>
    <w:semiHidden/>
    <w:unhideWhenUsed/>
    <w:rsid w:val="00B825F7"/>
    <w:rPr>
      <w:sz w:val="22"/>
      <w:szCs w:val="22"/>
      <w:lang w:eastAsia="en-AU"/>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CellMar>
        <w:top w:w="0" w:type="dxa"/>
        <w:left w:w="0" w:type="dxa"/>
        <w:bottom w:w="0" w:type="dxa"/>
        <w:right w:w="0" w:type="dxa"/>
      </w:tblCellMar>
    </w:tblPr>
    <w:tcPr>
      <w:shd w:val="clear" w:color="auto" w:fill="D0DBF0"/>
    </w:tcPr>
  </w:style>
  <w:style w:type="table" w:customStyle="1" w:styleId="SubtleReference1">
    <w:name w:val="Subtle Reference1"/>
    <w:uiPriority w:val="67"/>
    <w:qFormat/>
    <w:rsid w:val="00B825F7"/>
    <w:rPr>
      <w:sz w:val="22"/>
      <w:szCs w:val="22"/>
      <w:lang w:eastAsia="en-AU"/>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CellMar>
        <w:top w:w="0" w:type="dxa"/>
        <w:left w:w="0" w:type="dxa"/>
        <w:bottom w:w="0" w:type="dxa"/>
        <w:right w:w="0" w:type="dxa"/>
      </w:tblCellMar>
    </w:tblPr>
    <w:tcPr>
      <w:shd w:val="clear" w:color="auto" w:fill="DBEBD0"/>
    </w:tcPr>
  </w:style>
  <w:style w:type="table" w:styleId="MediumShading1-Accent1">
    <w:name w:val="Medium Shading 1 Accent 1"/>
    <w:uiPriority w:val="68"/>
    <w:semiHidden/>
    <w:unhideWhenUsed/>
    <w:rsid w:val="00B825F7"/>
    <w:rPr>
      <w:rFonts w:eastAsia="Times New Roman"/>
      <w:color w:val="000000"/>
      <w:sz w:val="22"/>
      <w:szCs w:val="22"/>
      <w:lang w:eastAsia="en-A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C0C0C0"/>
    </w:tcPr>
  </w:style>
  <w:style w:type="table" w:styleId="MediumShading1-Accent2">
    <w:name w:val="Medium Shading 1 Accent 2"/>
    <w:uiPriority w:val="68"/>
    <w:semiHidden/>
    <w:unhideWhenUsed/>
    <w:rsid w:val="00B825F7"/>
    <w:rPr>
      <w:rFonts w:eastAsia="Times New Roman"/>
      <w:color w:val="000000"/>
      <w:sz w:val="22"/>
      <w:szCs w:val="22"/>
      <w:lang w:eastAsia="en-AU"/>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0" w:type="dxa"/>
        <w:bottom w:w="0" w:type="dxa"/>
        <w:right w:w="0" w:type="dxa"/>
      </w:tblCellMar>
    </w:tblPr>
    <w:tcPr>
      <w:shd w:val="clear" w:color="auto" w:fill="D6E6F4"/>
    </w:tcPr>
  </w:style>
  <w:style w:type="table" w:styleId="MediumShading1-Accent3">
    <w:name w:val="Medium Shading 1 Accent 3"/>
    <w:uiPriority w:val="68"/>
    <w:semiHidden/>
    <w:unhideWhenUsed/>
    <w:rsid w:val="00B825F7"/>
    <w:rPr>
      <w:rFonts w:eastAsia="Times New Roman"/>
      <w:color w:val="000000"/>
      <w:sz w:val="22"/>
      <w:szCs w:val="22"/>
      <w:lang w:eastAsia="en-AU"/>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CellMar>
        <w:top w:w="0" w:type="dxa"/>
        <w:left w:w="0" w:type="dxa"/>
        <w:bottom w:w="0" w:type="dxa"/>
        <w:right w:w="0" w:type="dxa"/>
      </w:tblCellMar>
    </w:tblPr>
    <w:tcPr>
      <w:shd w:val="clear" w:color="auto" w:fill="FADECB"/>
    </w:tcPr>
  </w:style>
  <w:style w:type="table" w:styleId="MediumShading1-Accent4">
    <w:name w:val="Medium Shading 1 Accent 4"/>
    <w:uiPriority w:val="68"/>
    <w:semiHidden/>
    <w:unhideWhenUsed/>
    <w:rsid w:val="00B825F7"/>
    <w:rPr>
      <w:rFonts w:eastAsia="Times New Roman"/>
      <w:color w:val="000000"/>
      <w:sz w:val="22"/>
      <w:szCs w:val="22"/>
      <w:lang w:eastAsia="en-AU"/>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0" w:type="dxa"/>
        <w:bottom w:w="0" w:type="dxa"/>
        <w:right w:w="0" w:type="dxa"/>
      </w:tblCellMar>
    </w:tblPr>
    <w:tcPr>
      <w:shd w:val="clear" w:color="auto" w:fill="E8E8E8"/>
    </w:tcPr>
  </w:style>
  <w:style w:type="table" w:styleId="MediumShading1-Accent5">
    <w:name w:val="Medium Shading 1 Accent 5"/>
    <w:uiPriority w:val="68"/>
    <w:semiHidden/>
    <w:unhideWhenUsed/>
    <w:rsid w:val="00B825F7"/>
    <w:rPr>
      <w:rFonts w:eastAsia="Times New Roman"/>
      <w:color w:val="000000"/>
      <w:sz w:val="22"/>
      <w:szCs w:val="22"/>
      <w:lang w:eastAsia="en-AU"/>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CellMar>
        <w:top w:w="0" w:type="dxa"/>
        <w:left w:w="0" w:type="dxa"/>
        <w:bottom w:w="0" w:type="dxa"/>
        <w:right w:w="0" w:type="dxa"/>
      </w:tblCellMar>
    </w:tblPr>
    <w:tcPr>
      <w:shd w:val="clear" w:color="auto" w:fill="FFEFC0"/>
    </w:tcPr>
  </w:style>
  <w:style w:type="table" w:styleId="MediumShading1-Accent6">
    <w:name w:val="Medium Shading 1 Accent 6"/>
    <w:uiPriority w:val="68"/>
    <w:semiHidden/>
    <w:unhideWhenUsed/>
    <w:rsid w:val="00B825F7"/>
    <w:rPr>
      <w:rFonts w:eastAsia="Times New Roman"/>
      <w:color w:val="000000"/>
      <w:sz w:val="22"/>
      <w:szCs w:val="22"/>
      <w:lang w:eastAsia="en-AU"/>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0" w:type="dxa"/>
        <w:bottom w:w="0" w:type="dxa"/>
        <w:right w:w="0" w:type="dxa"/>
      </w:tblCellMar>
    </w:tblPr>
    <w:tcPr>
      <w:shd w:val="clear" w:color="auto" w:fill="D0DBF0"/>
    </w:tcPr>
  </w:style>
  <w:style w:type="table" w:customStyle="1" w:styleId="IntenseReference1">
    <w:name w:val="Intense Reference1"/>
    <w:uiPriority w:val="68"/>
    <w:qFormat/>
    <w:rsid w:val="00B825F7"/>
    <w:rPr>
      <w:rFonts w:eastAsia="Times New Roman"/>
      <w:color w:val="000000"/>
      <w:sz w:val="22"/>
      <w:szCs w:val="22"/>
      <w:lang w:eastAsia="en-AU"/>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0" w:type="dxa"/>
        <w:bottom w:w="0" w:type="dxa"/>
        <w:right w:w="0" w:type="dxa"/>
      </w:tblCellMar>
    </w:tblPr>
    <w:tcPr>
      <w:shd w:val="clear" w:color="auto" w:fill="DBEBD0"/>
    </w:tcPr>
  </w:style>
  <w:style w:type="table" w:styleId="MediumShading2-Accent1">
    <w:name w:val="Medium Shading 2 Accent 1"/>
    <w:uiPriority w:val="69"/>
    <w:semiHidden/>
    <w:unhideWhenUsed/>
    <w:rsid w:val="00B825F7"/>
    <w:rPr>
      <w:sz w:val="22"/>
      <w:szCs w:val="22"/>
      <w:lang w:eastAsia="en-A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0" w:type="dxa"/>
        <w:bottom w:w="0" w:type="dxa"/>
        <w:right w:w="0" w:type="dxa"/>
      </w:tblCellMar>
    </w:tblPr>
    <w:tcPr>
      <w:shd w:val="clear" w:color="auto" w:fill="C0C0C0"/>
    </w:tcPr>
  </w:style>
  <w:style w:type="table" w:styleId="MediumShading2-Accent2">
    <w:name w:val="Medium Shading 2 Accent 2"/>
    <w:uiPriority w:val="69"/>
    <w:semiHidden/>
    <w:unhideWhenUsed/>
    <w:rsid w:val="00B825F7"/>
    <w:rPr>
      <w:sz w:val="22"/>
      <w:szCs w:val="22"/>
      <w:lang w:eastAsia="en-A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0" w:type="dxa"/>
        <w:bottom w:w="0" w:type="dxa"/>
        <w:right w:w="0" w:type="dxa"/>
      </w:tblCellMar>
    </w:tblPr>
    <w:tcPr>
      <w:shd w:val="clear" w:color="auto" w:fill="D6E6F4"/>
    </w:tcPr>
  </w:style>
  <w:style w:type="table" w:styleId="MediumShading2-Accent3">
    <w:name w:val="Medium Shading 2 Accent 3"/>
    <w:uiPriority w:val="69"/>
    <w:semiHidden/>
    <w:unhideWhenUsed/>
    <w:rsid w:val="00B825F7"/>
    <w:rPr>
      <w:sz w:val="22"/>
      <w:szCs w:val="22"/>
      <w:lang w:eastAsia="en-A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0" w:type="dxa"/>
        <w:bottom w:w="0" w:type="dxa"/>
        <w:right w:w="0" w:type="dxa"/>
      </w:tblCellMar>
    </w:tblPr>
    <w:tcPr>
      <w:shd w:val="clear" w:color="auto" w:fill="FADECB"/>
    </w:tcPr>
  </w:style>
  <w:style w:type="table" w:styleId="MediumShading2-Accent4">
    <w:name w:val="Medium Shading 2 Accent 4"/>
    <w:uiPriority w:val="69"/>
    <w:semiHidden/>
    <w:unhideWhenUsed/>
    <w:rsid w:val="00B825F7"/>
    <w:rPr>
      <w:sz w:val="22"/>
      <w:szCs w:val="22"/>
      <w:lang w:eastAsia="en-A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0" w:type="dxa"/>
        <w:bottom w:w="0" w:type="dxa"/>
        <w:right w:w="0" w:type="dxa"/>
      </w:tblCellMar>
    </w:tblPr>
    <w:tcPr>
      <w:shd w:val="clear" w:color="auto" w:fill="E8E8E8"/>
    </w:tcPr>
  </w:style>
  <w:style w:type="table" w:styleId="MediumShading2-Accent5">
    <w:name w:val="Medium Shading 2 Accent 5"/>
    <w:uiPriority w:val="69"/>
    <w:semiHidden/>
    <w:unhideWhenUsed/>
    <w:rsid w:val="00B825F7"/>
    <w:rPr>
      <w:sz w:val="22"/>
      <w:szCs w:val="22"/>
      <w:lang w:eastAsia="en-A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0" w:type="dxa"/>
        <w:bottom w:w="0" w:type="dxa"/>
        <w:right w:w="0" w:type="dxa"/>
      </w:tblCellMar>
    </w:tblPr>
    <w:tcPr>
      <w:shd w:val="clear" w:color="auto" w:fill="FFEFC0"/>
    </w:tcPr>
  </w:style>
  <w:style w:type="table" w:styleId="MediumShading2-Accent6">
    <w:name w:val="Medium Shading 2 Accent 6"/>
    <w:uiPriority w:val="69"/>
    <w:semiHidden/>
    <w:unhideWhenUsed/>
    <w:rsid w:val="00B825F7"/>
    <w:rPr>
      <w:sz w:val="22"/>
      <w:szCs w:val="22"/>
      <w:lang w:eastAsia="en-A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0" w:type="dxa"/>
        <w:bottom w:w="0" w:type="dxa"/>
        <w:right w:w="0" w:type="dxa"/>
      </w:tblCellMar>
    </w:tblPr>
    <w:tcPr>
      <w:shd w:val="clear" w:color="auto" w:fill="D0DBF0"/>
    </w:tcPr>
  </w:style>
  <w:style w:type="table" w:customStyle="1" w:styleId="BookTitle1">
    <w:name w:val="Book Title1"/>
    <w:uiPriority w:val="69"/>
    <w:qFormat/>
    <w:rsid w:val="00B825F7"/>
    <w:rPr>
      <w:sz w:val="22"/>
      <w:szCs w:val="22"/>
      <w:lang w:eastAsia="en-A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0" w:type="dxa"/>
        <w:bottom w:w="0" w:type="dxa"/>
        <w:right w:w="0" w:type="dxa"/>
      </w:tblCellMar>
    </w:tblPr>
    <w:tcPr>
      <w:shd w:val="clear" w:color="auto" w:fill="DBEBD0"/>
    </w:tcPr>
  </w:style>
  <w:style w:type="table" w:styleId="LightShading-Accent1">
    <w:name w:val="Light Shading Accent 1"/>
    <w:uiPriority w:val="65"/>
    <w:semiHidden/>
    <w:unhideWhenUsed/>
    <w:rsid w:val="00B825F7"/>
    <w:rPr>
      <w:color w:val="000000"/>
      <w:sz w:val="22"/>
      <w:szCs w:val="22"/>
      <w:lang w:eastAsia="en-AU"/>
    </w:rPr>
    <w:tblPr>
      <w:tblStyleRowBandSize w:val="1"/>
      <w:tblStyleColBandSize w:val="1"/>
      <w:tblBorders>
        <w:top w:val="single" w:sz="8" w:space="0" w:color="000000"/>
        <w:bottom w:val="single" w:sz="8" w:space="0" w:color="000000"/>
      </w:tblBorders>
      <w:tblCellMar>
        <w:top w:w="0" w:type="dxa"/>
        <w:left w:w="0" w:type="dxa"/>
        <w:bottom w:w="0" w:type="dxa"/>
        <w:right w:w="0" w:type="dxa"/>
      </w:tblCellMar>
    </w:tblPr>
  </w:style>
  <w:style w:type="table" w:styleId="DarkList-Accent1">
    <w:name w:val="Dark List Accent 1"/>
    <w:uiPriority w:val="65"/>
    <w:semiHidden/>
    <w:unhideWhenUsed/>
    <w:rsid w:val="00B825F7"/>
    <w:rPr>
      <w:color w:val="000000"/>
      <w:sz w:val="22"/>
      <w:szCs w:val="22"/>
      <w:lang w:eastAsia="en-AU"/>
    </w:rPr>
    <w:tblPr>
      <w:tblStyleRowBandSize w:val="1"/>
      <w:tblStyleColBandSize w:val="1"/>
      <w:tblBorders>
        <w:top w:val="single" w:sz="8" w:space="0" w:color="5B9BD5"/>
        <w:bottom w:val="single" w:sz="8" w:space="0" w:color="5B9BD5"/>
      </w:tblBorders>
      <w:tblCellMar>
        <w:top w:w="0" w:type="dxa"/>
        <w:left w:w="0" w:type="dxa"/>
        <w:bottom w:w="0" w:type="dxa"/>
        <w:right w:w="0" w:type="dxa"/>
      </w:tblCellMar>
    </w:tblPr>
  </w:style>
  <w:style w:type="table" w:styleId="LightShading-Accent3">
    <w:name w:val="Light Shading Accent 3"/>
    <w:uiPriority w:val="65"/>
    <w:semiHidden/>
    <w:unhideWhenUsed/>
    <w:rsid w:val="00B825F7"/>
    <w:rPr>
      <w:color w:val="000000"/>
      <w:sz w:val="22"/>
      <w:szCs w:val="22"/>
      <w:lang w:eastAsia="en-AU"/>
    </w:rPr>
    <w:tblPr>
      <w:tblStyleRowBandSize w:val="1"/>
      <w:tblStyleColBandSize w:val="1"/>
      <w:tblBorders>
        <w:top w:val="single" w:sz="8" w:space="0" w:color="ED7D31"/>
        <w:bottom w:val="single" w:sz="8" w:space="0" w:color="ED7D31"/>
      </w:tblBorders>
      <w:tblCellMar>
        <w:top w:w="0" w:type="dxa"/>
        <w:left w:w="0" w:type="dxa"/>
        <w:bottom w:w="0" w:type="dxa"/>
        <w:right w:w="0" w:type="dxa"/>
      </w:tblCellMar>
    </w:tblPr>
  </w:style>
  <w:style w:type="table" w:styleId="LightShading-Accent4">
    <w:name w:val="Light Shading Accent 4"/>
    <w:uiPriority w:val="65"/>
    <w:semiHidden/>
    <w:unhideWhenUsed/>
    <w:rsid w:val="00B825F7"/>
    <w:rPr>
      <w:color w:val="000000"/>
      <w:sz w:val="22"/>
      <w:szCs w:val="22"/>
      <w:lang w:eastAsia="en-AU"/>
    </w:rPr>
    <w:tblPr>
      <w:tblStyleRowBandSize w:val="1"/>
      <w:tblStyleColBandSize w:val="1"/>
      <w:tblBorders>
        <w:top w:val="single" w:sz="8" w:space="0" w:color="A5A5A5"/>
        <w:bottom w:val="single" w:sz="8" w:space="0" w:color="A5A5A5"/>
      </w:tblBorders>
      <w:tblCellMar>
        <w:top w:w="0" w:type="dxa"/>
        <w:left w:w="0" w:type="dxa"/>
        <w:bottom w:w="0" w:type="dxa"/>
        <w:right w:w="0" w:type="dxa"/>
      </w:tblCellMar>
    </w:tblPr>
  </w:style>
  <w:style w:type="table" w:styleId="LightShading-Accent5">
    <w:name w:val="Light Shading Accent 5"/>
    <w:uiPriority w:val="65"/>
    <w:semiHidden/>
    <w:unhideWhenUsed/>
    <w:rsid w:val="00B825F7"/>
    <w:rPr>
      <w:color w:val="000000"/>
      <w:sz w:val="22"/>
      <w:szCs w:val="22"/>
      <w:lang w:eastAsia="en-AU"/>
    </w:rPr>
    <w:tblPr>
      <w:tblStyleRowBandSize w:val="1"/>
      <w:tblStyleColBandSize w:val="1"/>
      <w:tblBorders>
        <w:top w:val="single" w:sz="8" w:space="0" w:color="FFC000"/>
        <w:bottom w:val="single" w:sz="8" w:space="0" w:color="FFC000"/>
      </w:tblBorders>
      <w:tblCellMar>
        <w:top w:w="0" w:type="dxa"/>
        <w:left w:w="0" w:type="dxa"/>
        <w:bottom w:w="0" w:type="dxa"/>
        <w:right w:w="0" w:type="dxa"/>
      </w:tblCellMar>
    </w:tblPr>
  </w:style>
  <w:style w:type="table" w:styleId="LightShading-Accent6">
    <w:name w:val="Light Shading Accent 6"/>
    <w:uiPriority w:val="65"/>
    <w:semiHidden/>
    <w:unhideWhenUsed/>
    <w:rsid w:val="00B825F7"/>
    <w:rPr>
      <w:color w:val="000000"/>
      <w:sz w:val="22"/>
      <w:szCs w:val="22"/>
      <w:lang w:eastAsia="en-AU"/>
    </w:rPr>
    <w:tblPr>
      <w:tblStyleRowBandSize w:val="1"/>
      <w:tblStyleColBandSize w:val="1"/>
      <w:tblBorders>
        <w:top w:val="single" w:sz="8" w:space="0" w:color="4472C4"/>
        <w:bottom w:val="single" w:sz="8" w:space="0" w:color="4472C4"/>
      </w:tblBorders>
      <w:tblCellMar>
        <w:top w:w="0" w:type="dxa"/>
        <w:left w:w="0" w:type="dxa"/>
        <w:bottom w:w="0" w:type="dxa"/>
        <w:right w:w="0" w:type="dxa"/>
      </w:tblCellMar>
    </w:tblPr>
  </w:style>
  <w:style w:type="table" w:customStyle="1" w:styleId="SubtleEmphasis1">
    <w:name w:val="Subtle Emphasis1"/>
    <w:uiPriority w:val="65"/>
    <w:qFormat/>
    <w:rsid w:val="00B825F7"/>
    <w:rPr>
      <w:color w:val="000000"/>
      <w:sz w:val="22"/>
      <w:szCs w:val="22"/>
      <w:lang w:eastAsia="en-AU"/>
    </w:rPr>
    <w:tblPr>
      <w:tblStyleRowBandSize w:val="1"/>
      <w:tblStyleColBandSize w:val="1"/>
      <w:tblBorders>
        <w:top w:val="single" w:sz="8" w:space="0" w:color="70AD47"/>
        <w:bottom w:val="single" w:sz="8" w:space="0" w:color="70AD47"/>
      </w:tblBorders>
      <w:tblCellMar>
        <w:top w:w="0" w:type="dxa"/>
        <w:left w:w="0" w:type="dxa"/>
        <w:bottom w:w="0" w:type="dxa"/>
        <w:right w:w="0" w:type="dxa"/>
      </w:tblCellMar>
    </w:tblPr>
  </w:style>
  <w:style w:type="table" w:styleId="LightList-Accent1">
    <w:name w:val="Light List Accent 1"/>
    <w:uiPriority w:val="66"/>
    <w:semiHidden/>
    <w:unhideWhenUsed/>
    <w:rsid w:val="00B825F7"/>
    <w:rPr>
      <w:rFonts w:eastAsia="Times New Roman"/>
      <w:color w:val="000000"/>
      <w:sz w:val="22"/>
      <w:szCs w:val="22"/>
      <w:lang w:eastAsia="en-AU"/>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0" w:type="dxa"/>
        <w:bottom w:w="0" w:type="dxa"/>
        <w:right w:w="0" w:type="dxa"/>
      </w:tblCellMar>
    </w:tblPr>
  </w:style>
  <w:style w:type="table" w:styleId="LightList-Accent2">
    <w:name w:val="Light List Accent 2"/>
    <w:uiPriority w:val="66"/>
    <w:semiHidden/>
    <w:unhideWhenUsed/>
    <w:rsid w:val="00B825F7"/>
    <w:rPr>
      <w:rFonts w:eastAsia="Times New Roman"/>
      <w:color w:val="000000"/>
      <w:sz w:val="22"/>
      <w:szCs w:val="22"/>
      <w:lang w:eastAsia="en-AU"/>
    </w:rPr>
    <w:tblPr>
      <w:tblStyleRowBandSize w:val="1"/>
      <w:tblStyleColBandSize w:val="1"/>
      <w:tblBorders>
        <w:top w:val="single" w:sz="8" w:space="0" w:color="5B9BD5"/>
        <w:left w:val="single" w:sz="8" w:space="0" w:color="5B9BD5"/>
        <w:bottom w:val="single" w:sz="8" w:space="0" w:color="5B9BD5"/>
        <w:right w:val="single" w:sz="8" w:space="0" w:color="5B9BD5"/>
      </w:tblBorders>
      <w:tblCellMar>
        <w:top w:w="0" w:type="dxa"/>
        <w:left w:w="0" w:type="dxa"/>
        <w:bottom w:w="0" w:type="dxa"/>
        <w:right w:w="0" w:type="dxa"/>
      </w:tblCellMar>
    </w:tblPr>
  </w:style>
  <w:style w:type="table" w:styleId="LightList-Accent3">
    <w:name w:val="Light List Accent 3"/>
    <w:uiPriority w:val="66"/>
    <w:semiHidden/>
    <w:unhideWhenUsed/>
    <w:rsid w:val="00B825F7"/>
    <w:rPr>
      <w:rFonts w:eastAsia="Times New Roman"/>
      <w:color w:val="000000"/>
      <w:sz w:val="22"/>
      <w:szCs w:val="22"/>
      <w:lang w:eastAsia="en-AU"/>
    </w:rPr>
    <w:tblPr>
      <w:tblStyleRowBandSize w:val="1"/>
      <w:tblStyleColBandSize w:val="1"/>
      <w:tblBorders>
        <w:top w:val="single" w:sz="8" w:space="0" w:color="ED7D31"/>
        <w:left w:val="single" w:sz="8" w:space="0" w:color="ED7D31"/>
        <w:bottom w:val="single" w:sz="8" w:space="0" w:color="ED7D31"/>
        <w:right w:val="single" w:sz="8" w:space="0" w:color="ED7D31"/>
      </w:tblBorders>
      <w:tblCellMar>
        <w:top w:w="0" w:type="dxa"/>
        <w:left w:w="0" w:type="dxa"/>
        <w:bottom w:w="0" w:type="dxa"/>
        <w:right w:w="0" w:type="dxa"/>
      </w:tblCellMar>
    </w:tblPr>
  </w:style>
  <w:style w:type="table" w:styleId="LightList-Accent4">
    <w:name w:val="Light List Accent 4"/>
    <w:uiPriority w:val="66"/>
    <w:semiHidden/>
    <w:unhideWhenUsed/>
    <w:rsid w:val="00B825F7"/>
    <w:rPr>
      <w:rFonts w:eastAsia="Times New Roman"/>
      <w:color w:val="000000"/>
      <w:sz w:val="22"/>
      <w:szCs w:val="22"/>
      <w:lang w:eastAsia="en-AU"/>
    </w:rPr>
    <w:tblPr>
      <w:tblStyleRowBandSize w:val="1"/>
      <w:tblStyleColBandSize w:val="1"/>
      <w:tblBorders>
        <w:top w:val="single" w:sz="8" w:space="0" w:color="A5A5A5"/>
        <w:left w:val="single" w:sz="8" w:space="0" w:color="A5A5A5"/>
        <w:bottom w:val="single" w:sz="8" w:space="0" w:color="A5A5A5"/>
        <w:right w:val="single" w:sz="8" w:space="0" w:color="A5A5A5"/>
      </w:tblBorders>
      <w:tblCellMar>
        <w:top w:w="0" w:type="dxa"/>
        <w:left w:w="0" w:type="dxa"/>
        <w:bottom w:w="0" w:type="dxa"/>
        <w:right w:w="0" w:type="dxa"/>
      </w:tblCellMar>
    </w:tblPr>
  </w:style>
  <w:style w:type="table" w:styleId="LightList-Accent5">
    <w:name w:val="Light List Accent 5"/>
    <w:uiPriority w:val="66"/>
    <w:semiHidden/>
    <w:unhideWhenUsed/>
    <w:rsid w:val="00B825F7"/>
    <w:rPr>
      <w:rFonts w:eastAsia="Times New Roman"/>
      <w:color w:val="000000"/>
      <w:sz w:val="22"/>
      <w:szCs w:val="22"/>
      <w:lang w:eastAsia="en-AU"/>
    </w:rPr>
    <w:tblPr>
      <w:tblStyleRowBandSize w:val="1"/>
      <w:tblStyleColBandSize w:val="1"/>
      <w:tblBorders>
        <w:top w:val="single" w:sz="8" w:space="0" w:color="FFC000"/>
        <w:left w:val="single" w:sz="8" w:space="0" w:color="FFC000"/>
        <w:bottom w:val="single" w:sz="8" w:space="0" w:color="FFC000"/>
        <w:right w:val="single" w:sz="8" w:space="0" w:color="FFC000"/>
      </w:tblBorders>
      <w:tblCellMar>
        <w:top w:w="0" w:type="dxa"/>
        <w:left w:w="0" w:type="dxa"/>
        <w:bottom w:w="0" w:type="dxa"/>
        <w:right w:w="0" w:type="dxa"/>
      </w:tblCellMar>
    </w:tblPr>
  </w:style>
  <w:style w:type="table" w:styleId="LightList-Accent6">
    <w:name w:val="Light List Accent 6"/>
    <w:uiPriority w:val="66"/>
    <w:semiHidden/>
    <w:unhideWhenUsed/>
    <w:rsid w:val="00B825F7"/>
    <w:rPr>
      <w:rFonts w:eastAsia="Times New Roman"/>
      <w:color w:val="000000"/>
      <w:sz w:val="22"/>
      <w:szCs w:val="22"/>
      <w:lang w:eastAsia="en-AU"/>
    </w:rPr>
    <w:tblPr>
      <w:tblStyleRowBandSize w:val="1"/>
      <w:tblStyleColBandSize w:val="1"/>
      <w:tblBorders>
        <w:top w:val="single" w:sz="8" w:space="0" w:color="4472C4"/>
        <w:left w:val="single" w:sz="8" w:space="0" w:color="4472C4"/>
        <w:bottom w:val="single" w:sz="8" w:space="0" w:color="4472C4"/>
        <w:right w:val="single" w:sz="8" w:space="0" w:color="4472C4"/>
      </w:tblBorders>
      <w:tblCellMar>
        <w:top w:w="0" w:type="dxa"/>
        <w:left w:w="0" w:type="dxa"/>
        <w:bottom w:w="0" w:type="dxa"/>
        <w:right w:w="0" w:type="dxa"/>
      </w:tblCellMar>
    </w:tblPr>
  </w:style>
  <w:style w:type="table" w:customStyle="1" w:styleId="IntenseEmphasis1">
    <w:name w:val="Intense Emphasis1"/>
    <w:uiPriority w:val="66"/>
    <w:qFormat/>
    <w:rsid w:val="00B825F7"/>
    <w:rPr>
      <w:rFonts w:eastAsia="Times New Roman"/>
      <w:color w:val="000000"/>
      <w:sz w:val="22"/>
      <w:szCs w:val="22"/>
      <w:lang w:eastAsia="en-AU"/>
    </w:rPr>
    <w:tblPr>
      <w:tblStyleRowBandSize w:val="1"/>
      <w:tblStyleColBandSize w:val="1"/>
      <w:tblBorders>
        <w:top w:val="single" w:sz="8" w:space="0" w:color="70AD47"/>
        <w:left w:val="single" w:sz="8" w:space="0" w:color="70AD47"/>
        <w:bottom w:val="single" w:sz="8" w:space="0" w:color="70AD47"/>
        <w:right w:val="single" w:sz="8" w:space="0" w:color="70AD47"/>
      </w:tblBorders>
      <w:tblCellMar>
        <w:top w:w="0" w:type="dxa"/>
        <w:left w:w="0" w:type="dxa"/>
        <w:bottom w:w="0" w:type="dxa"/>
        <w:right w:w="0" w:type="dxa"/>
      </w:tblCellMar>
    </w:tblPr>
  </w:style>
  <w:style w:type="table" w:styleId="ColorfulList">
    <w:name w:val="Colorful List"/>
    <w:uiPriority w:val="63"/>
    <w:semiHidden/>
    <w:unhideWhenUsed/>
    <w:rsid w:val="00B825F7"/>
    <w:rPr>
      <w:sz w:val="22"/>
      <w:szCs w:val="22"/>
      <w:lang w:eastAsia="en-AU"/>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0" w:type="dxa"/>
        <w:bottom w:w="0" w:type="dxa"/>
        <w:right w:w="0" w:type="dxa"/>
      </w:tblCellMar>
    </w:tblPr>
  </w:style>
  <w:style w:type="table" w:styleId="MediumGrid2-Accent1">
    <w:name w:val="Medium Grid 2 Accent 1"/>
    <w:uiPriority w:val="63"/>
    <w:semiHidden/>
    <w:unhideWhenUsed/>
    <w:rsid w:val="00B825F7"/>
    <w:rPr>
      <w:sz w:val="22"/>
      <w:szCs w:val="22"/>
      <w:lang w:eastAsia="en-AU"/>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0" w:type="dxa"/>
        <w:bottom w:w="0" w:type="dxa"/>
        <w:right w:w="0" w:type="dxa"/>
      </w:tblCellMar>
    </w:tblPr>
  </w:style>
  <w:style w:type="table" w:styleId="ColorfulList-Accent2">
    <w:name w:val="Colorful List Accent 2"/>
    <w:uiPriority w:val="63"/>
    <w:semiHidden/>
    <w:unhideWhenUsed/>
    <w:rsid w:val="00B825F7"/>
    <w:rPr>
      <w:sz w:val="22"/>
      <w:szCs w:val="22"/>
      <w:lang w:eastAsia="en-AU"/>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CellMar>
        <w:top w:w="0" w:type="dxa"/>
        <w:left w:w="0" w:type="dxa"/>
        <w:bottom w:w="0" w:type="dxa"/>
        <w:right w:w="0" w:type="dxa"/>
      </w:tblCellMar>
    </w:tblPr>
  </w:style>
  <w:style w:type="table" w:styleId="ColorfulList-Accent3">
    <w:name w:val="Colorful List Accent 3"/>
    <w:uiPriority w:val="63"/>
    <w:semiHidden/>
    <w:unhideWhenUsed/>
    <w:rsid w:val="00B825F7"/>
    <w:rPr>
      <w:sz w:val="22"/>
      <w:szCs w:val="22"/>
      <w:lang w:eastAsia="en-AU"/>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CellMar>
        <w:top w:w="0" w:type="dxa"/>
        <w:left w:w="0" w:type="dxa"/>
        <w:bottom w:w="0" w:type="dxa"/>
        <w:right w:w="0" w:type="dxa"/>
      </w:tblCellMar>
    </w:tblPr>
  </w:style>
  <w:style w:type="table" w:styleId="ColorfulList-Accent4">
    <w:name w:val="Colorful List Accent 4"/>
    <w:uiPriority w:val="63"/>
    <w:semiHidden/>
    <w:unhideWhenUsed/>
    <w:rsid w:val="00B825F7"/>
    <w:rPr>
      <w:sz w:val="22"/>
      <w:szCs w:val="22"/>
      <w:lang w:eastAsia="en-AU"/>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CellMar>
        <w:top w:w="0" w:type="dxa"/>
        <w:left w:w="0" w:type="dxa"/>
        <w:bottom w:w="0" w:type="dxa"/>
        <w:right w:w="0" w:type="dxa"/>
      </w:tblCellMar>
    </w:tblPr>
  </w:style>
  <w:style w:type="table" w:styleId="ColorfulList-Accent5">
    <w:name w:val="Colorful List Accent 5"/>
    <w:uiPriority w:val="63"/>
    <w:semiHidden/>
    <w:unhideWhenUsed/>
    <w:rsid w:val="00B825F7"/>
    <w:rPr>
      <w:sz w:val="22"/>
      <w:szCs w:val="22"/>
      <w:lang w:eastAsia="en-AU"/>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0" w:type="dxa"/>
        <w:bottom w:w="0" w:type="dxa"/>
        <w:right w:w="0" w:type="dxa"/>
      </w:tblCellMar>
    </w:tblPr>
  </w:style>
  <w:style w:type="table" w:styleId="ColorfulList-Accent6">
    <w:name w:val="Colorful List Accent 6"/>
    <w:uiPriority w:val="63"/>
    <w:semiHidden/>
    <w:unhideWhenUsed/>
    <w:rsid w:val="00B825F7"/>
    <w:rPr>
      <w:sz w:val="22"/>
      <w:szCs w:val="22"/>
      <w:lang w:eastAsia="en-AU"/>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CellMar>
        <w:top w:w="0" w:type="dxa"/>
        <w:left w:w="0" w:type="dxa"/>
        <w:bottom w:w="0" w:type="dxa"/>
        <w:right w:w="0" w:type="dxa"/>
      </w:tblCellMar>
    </w:tblPr>
  </w:style>
  <w:style w:type="table" w:styleId="ColorfulGrid">
    <w:name w:val="Colorful Grid"/>
    <w:uiPriority w:val="64"/>
    <w:semiHidden/>
    <w:unhideWhenUsed/>
    <w:rsid w:val="00B825F7"/>
    <w:rPr>
      <w:sz w:val="22"/>
      <w:szCs w:val="22"/>
      <w:lang w:eastAsia="en-AU"/>
    </w:rPr>
    <w:tblPr>
      <w:tblStyleRowBandSize w:val="1"/>
      <w:tblStyleColBandSize w:val="1"/>
      <w:tblBorders>
        <w:top w:val="single" w:sz="18" w:space="0" w:color="auto"/>
        <w:bottom w:val="single" w:sz="18" w:space="0" w:color="auto"/>
      </w:tblBorders>
      <w:tblCellMar>
        <w:top w:w="0" w:type="dxa"/>
        <w:left w:w="0" w:type="dxa"/>
        <w:bottom w:w="0" w:type="dxa"/>
        <w:right w:w="0" w:type="dxa"/>
      </w:tblCellMar>
    </w:tblPr>
  </w:style>
  <w:style w:type="table" w:styleId="MediumGrid3-Accent1">
    <w:name w:val="Medium Grid 3 Accent 1"/>
    <w:uiPriority w:val="64"/>
    <w:semiHidden/>
    <w:unhideWhenUsed/>
    <w:rsid w:val="00B825F7"/>
    <w:rPr>
      <w:sz w:val="22"/>
      <w:szCs w:val="22"/>
      <w:lang w:eastAsia="en-AU"/>
    </w:rPr>
    <w:tblPr>
      <w:tblStyleRowBandSize w:val="1"/>
      <w:tblStyleColBandSize w:val="1"/>
      <w:tblBorders>
        <w:top w:val="single" w:sz="18" w:space="0" w:color="auto"/>
        <w:bottom w:val="single" w:sz="18" w:space="0" w:color="auto"/>
      </w:tblBorders>
      <w:tblCellMar>
        <w:top w:w="0" w:type="dxa"/>
        <w:left w:w="0" w:type="dxa"/>
        <w:bottom w:w="0" w:type="dxa"/>
        <w:right w:w="0" w:type="dxa"/>
      </w:tblCellMar>
    </w:tblPr>
  </w:style>
  <w:style w:type="table" w:styleId="ColorfulGrid-Accent2">
    <w:name w:val="Colorful Grid Accent 2"/>
    <w:uiPriority w:val="64"/>
    <w:semiHidden/>
    <w:unhideWhenUsed/>
    <w:rsid w:val="00B825F7"/>
    <w:rPr>
      <w:sz w:val="22"/>
      <w:szCs w:val="22"/>
      <w:lang w:eastAsia="en-AU"/>
    </w:rPr>
    <w:tblPr>
      <w:tblStyleRowBandSize w:val="1"/>
      <w:tblStyleColBandSize w:val="1"/>
      <w:tblBorders>
        <w:top w:val="single" w:sz="18" w:space="0" w:color="auto"/>
        <w:bottom w:val="single" w:sz="18" w:space="0" w:color="auto"/>
      </w:tblBorders>
      <w:tblCellMar>
        <w:top w:w="0" w:type="dxa"/>
        <w:left w:w="0" w:type="dxa"/>
        <w:bottom w:w="0" w:type="dxa"/>
        <w:right w:w="0" w:type="dxa"/>
      </w:tblCellMar>
    </w:tblPr>
  </w:style>
  <w:style w:type="table" w:styleId="ColorfulGrid-Accent3">
    <w:name w:val="Colorful Grid Accent 3"/>
    <w:uiPriority w:val="64"/>
    <w:semiHidden/>
    <w:unhideWhenUsed/>
    <w:rsid w:val="00B825F7"/>
    <w:rPr>
      <w:sz w:val="22"/>
      <w:szCs w:val="22"/>
      <w:lang w:eastAsia="en-AU"/>
    </w:rPr>
    <w:tblPr>
      <w:tblStyleRowBandSize w:val="1"/>
      <w:tblStyleColBandSize w:val="1"/>
      <w:tblBorders>
        <w:top w:val="single" w:sz="18" w:space="0" w:color="auto"/>
        <w:bottom w:val="single" w:sz="18" w:space="0" w:color="auto"/>
      </w:tblBorders>
      <w:tblCellMar>
        <w:top w:w="0" w:type="dxa"/>
        <w:left w:w="0" w:type="dxa"/>
        <w:bottom w:w="0" w:type="dxa"/>
        <w:right w:w="0" w:type="dxa"/>
      </w:tblCellMar>
    </w:tblPr>
  </w:style>
  <w:style w:type="table" w:styleId="ColorfulGrid-Accent4">
    <w:name w:val="Colorful Grid Accent 4"/>
    <w:uiPriority w:val="64"/>
    <w:semiHidden/>
    <w:unhideWhenUsed/>
    <w:rsid w:val="00B825F7"/>
    <w:rPr>
      <w:sz w:val="22"/>
      <w:szCs w:val="22"/>
      <w:lang w:eastAsia="en-AU"/>
    </w:rPr>
    <w:tblPr>
      <w:tblStyleRowBandSize w:val="1"/>
      <w:tblStyleColBandSize w:val="1"/>
      <w:tblBorders>
        <w:top w:val="single" w:sz="18" w:space="0" w:color="auto"/>
        <w:bottom w:val="single" w:sz="18" w:space="0" w:color="auto"/>
      </w:tblBorders>
      <w:tblCellMar>
        <w:top w:w="0" w:type="dxa"/>
        <w:left w:w="0" w:type="dxa"/>
        <w:bottom w:w="0" w:type="dxa"/>
        <w:right w:w="0" w:type="dxa"/>
      </w:tblCellMar>
    </w:tblPr>
  </w:style>
  <w:style w:type="table" w:styleId="ColorfulGrid-Accent5">
    <w:name w:val="Colorful Grid Accent 5"/>
    <w:uiPriority w:val="64"/>
    <w:semiHidden/>
    <w:unhideWhenUsed/>
    <w:rsid w:val="00B825F7"/>
    <w:rPr>
      <w:sz w:val="22"/>
      <w:szCs w:val="22"/>
      <w:lang w:eastAsia="en-AU"/>
    </w:rPr>
    <w:tblPr>
      <w:tblStyleRowBandSize w:val="1"/>
      <w:tblStyleColBandSize w:val="1"/>
      <w:tblBorders>
        <w:top w:val="single" w:sz="18" w:space="0" w:color="auto"/>
        <w:bottom w:val="single" w:sz="18" w:space="0" w:color="auto"/>
      </w:tblBorders>
      <w:tblCellMar>
        <w:top w:w="0" w:type="dxa"/>
        <w:left w:w="0" w:type="dxa"/>
        <w:bottom w:w="0" w:type="dxa"/>
        <w:right w:w="0" w:type="dxa"/>
      </w:tblCellMar>
    </w:tblPr>
  </w:style>
  <w:style w:type="table" w:styleId="ColorfulGrid-Accent6">
    <w:name w:val="Colorful Grid Accent 6"/>
    <w:uiPriority w:val="64"/>
    <w:semiHidden/>
    <w:unhideWhenUsed/>
    <w:rsid w:val="00B825F7"/>
    <w:rPr>
      <w:sz w:val="22"/>
      <w:szCs w:val="22"/>
      <w:lang w:eastAsia="en-AU"/>
    </w:rPr>
    <w:tblPr>
      <w:tblStyleRowBandSize w:val="1"/>
      <w:tblStyleColBandSize w:val="1"/>
      <w:tblBorders>
        <w:top w:val="single" w:sz="18" w:space="0" w:color="auto"/>
        <w:bottom w:val="single" w:sz="18" w:space="0" w:color="auto"/>
      </w:tblBorders>
      <w:tblCellMar>
        <w:top w:w="0" w:type="dxa"/>
        <w:left w:w="0" w:type="dxa"/>
        <w:bottom w:w="0" w:type="dxa"/>
        <w:right w:w="0" w:type="dxa"/>
      </w:tblCellMar>
    </w:tblPr>
  </w:style>
  <w:style w:type="paragraph" w:styleId="MessageHeader">
    <w:name w:val="Message Header"/>
    <w:link w:val="MessageHeaderChar"/>
    <w:uiPriority w:val="99"/>
    <w:semiHidden/>
    <w:unhideWhenUsed/>
    <w:rsid w:val="00B825F7"/>
    <w:pPr>
      <w:pBdr>
        <w:top w:val="single" w:sz="6" w:space="1" w:color="auto"/>
        <w:left w:val="single" w:sz="6" w:space="1" w:color="auto"/>
        <w:bottom w:val="single" w:sz="6" w:space="1" w:color="auto"/>
        <w:right w:val="single" w:sz="6" w:space="1" w:color="auto"/>
      </w:pBdr>
      <w:shd w:val="pct20" w:color="auto" w:fill="auto"/>
      <w:ind w:left="1134" w:hanging="1134"/>
    </w:pPr>
    <w:rPr>
      <w:rFonts w:eastAsia="Times New Roman" w:cs="Arial"/>
      <w:sz w:val="24"/>
      <w:szCs w:val="24"/>
      <w:lang w:eastAsia="en-AU"/>
    </w:rPr>
  </w:style>
  <w:style w:type="character" w:customStyle="1" w:styleId="MessageHeaderChar">
    <w:name w:val="Message Header Char"/>
    <w:link w:val="MessageHeader"/>
    <w:uiPriority w:val="99"/>
    <w:semiHidden/>
    <w:rsid w:val="00B825F7"/>
    <w:rPr>
      <w:rFonts w:ascii="Arial" w:eastAsia="Times New Roman" w:hAnsi="Arial" w:cs="Arial"/>
      <w:sz w:val="24"/>
      <w:szCs w:val="24"/>
      <w:shd w:val="pct20" w:color="auto" w:fill="auto"/>
    </w:rPr>
  </w:style>
  <w:style w:type="paragraph" w:customStyle="1" w:styleId="MediumGrid21">
    <w:name w:val="Medium Grid 21"/>
    <w:uiPriority w:val="1"/>
    <w:qFormat/>
    <w:rsid w:val="00451CC4"/>
    <w:rPr>
      <w:rFonts w:cs="Arial"/>
      <w:sz w:val="22"/>
      <w:szCs w:val="22"/>
      <w:lang w:eastAsia="en-AU"/>
    </w:rPr>
  </w:style>
  <w:style w:type="paragraph" w:styleId="NormalWeb">
    <w:name w:val="Normal (Web)"/>
    <w:uiPriority w:val="99"/>
    <w:semiHidden/>
    <w:unhideWhenUsed/>
    <w:rsid w:val="00B825F7"/>
    <w:rPr>
      <w:rFonts w:cs="Arial"/>
      <w:sz w:val="24"/>
      <w:szCs w:val="24"/>
      <w:lang w:eastAsia="en-AU"/>
    </w:rPr>
  </w:style>
  <w:style w:type="paragraph" w:styleId="NormalIndent">
    <w:name w:val="Normal Indent"/>
    <w:uiPriority w:val="99"/>
    <w:semiHidden/>
    <w:unhideWhenUsed/>
    <w:rsid w:val="00B825F7"/>
    <w:pPr>
      <w:ind w:left="720"/>
    </w:pPr>
    <w:rPr>
      <w:rFonts w:cs="Arial"/>
      <w:sz w:val="22"/>
      <w:szCs w:val="22"/>
      <w:lang w:eastAsia="en-AU"/>
    </w:rPr>
  </w:style>
  <w:style w:type="paragraph" w:styleId="NoteHeading">
    <w:name w:val="Note Heading"/>
    <w:next w:val="Normal"/>
    <w:link w:val="NoteHeadingChar"/>
    <w:uiPriority w:val="99"/>
    <w:semiHidden/>
    <w:unhideWhenUsed/>
    <w:rsid w:val="00B825F7"/>
    <w:rPr>
      <w:rFonts w:cs="Arial"/>
      <w:sz w:val="22"/>
      <w:szCs w:val="22"/>
      <w:lang w:eastAsia="en-AU"/>
    </w:rPr>
  </w:style>
  <w:style w:type="character" w:customStyle="1" w:styleId="NoteHeadingChar">
    <w:name w:val="Note Heading Char"/>
    <w:link w:val="NoteHeading"/>
    <w:uiPriority w:val="99"/>
    <w:semiHidden/>
    <w:rsid w:val="00B825F7"/>
    <w:rPr>
      <w:rFonts w:ascii="Arial" w:hAnsi="Arial" w:cs="Arial"/>
    </w:rPr>
  </w:style>
  <w:style w:type="character" w:styleId="PageNumber">
    <w:name w:val="page number"/>
    <w:uiPriority w:val="99"/>
    <w:semiHidden/>
    <w:unhideWhenUsed/>
    <w:rsid w:val="00B825F7"/>
  </w:style>
  <w:style w:type="character" w:customStyle="1" w:styleId="MediumGrid11">
    <w:name w:val="Medium Grid 11"/>
    <w:uiPriority w:val="99"/>
    <w:semiHidden/>
    <w:rsid w:val="00B825F7"/>
    <w:rPr>
      <w:color w:val="808080"/>
    </w:rPr>
  </w:style>
  <w:style w:type="table" w:customStyle="1" w:styleId="PlainTable12">
    <w:name w:val="Plain Table 12"/>
    <w:uiPriority w:val="41"/>
    <w:rsid w:val="00B825F7"/>
    <w:rPr>
      <w:sz w:val="22"/>
      <w:szCs w:val="22"/>
      <w:lang w:eastAsia="en-AU"/>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0" w:type="dxa"/>
        <w:bottom w:w="0" w:type="dxa"/>
        <w:right w:w="0" w:type="dxa"/>
      </w:tblCellMar>
    </w:tblPr>
  </w:style>
  <w:style w:type="table" w:customStyle="1" w:styleId="PlainTable22">
    <w:name w:val="Plain Table 22"/>
    <w:uiPriority w:val="42"/>
    <w:rsid w:val="00B825F7"/>
    <w:rPr>
      <w:sz w:val="22"/>
      <w:szCs w:val="22"/>
      <w:lang w:eastAsia="en-AU"/>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style>
  <w:style w:type="table" w:customStyle="1" w:styleId="PlainTable31">
    <w:name w:val="Plain Table 31"/>
    <w:uiPriority w:val="43"/>
    <w:rsid w:val="00B825F7"/>
    <w:rPr>
      <w:sz w:val="22"/>
      <w:szCs w:val="22"/>
      <w:lang w:eastAsia="en-AU"/>
    </w:rPr>
    <w:tblPr>
      <w:tblStyleRowBandSize w:val="1"/>
      <w:tblStyleColBandSize w:val="1"/>
      <w:tblCellMar>
        <w:top w:w="0" w:type="dxa"/>
        <w:left w:w="0" w:type="dxa"/>
        <w:bottom w:w="0" w:type="dxa"/>
        <w:right w:w="0" w:type="dxa"/>
      </w:tblCellMar>
    </w:tblPr>
  </w:style>
  <w:style w:type="table" w:customStyle="1" w:styleId="PlainTable42">
    <w:name w:val="Plain Table 42"/>
    <w:uiPriority w:val="44"/>
    <w:rsid w:val="00B825F7"/>
    <w:rPr>
      <w:sz w:val="22"/>
      <w:szCs w:val="22"/>
      <w:lang w:eastAsia="en-AU"/>
    </w:rPr>
    <w:tblPr>
      <w:tblStyleRowBandSize w:val="1"/>
      <w:tblStyleColBandSize w:val="1"/>
      <w:tblCellMar>
        <w:top w:w="0" w:type="dxa"/>
        <w:left w:w="0" w:type="dxa"/>
        <w:bottom w:w="0" w:type="dxa"/>
        <w:right w:w="0" w:type="dxa"/>
      </w:tblCellMar>
    </w:tblPr>
  </w:style>
  <w:style w:type="table" w:customStyle="1" w:styleId="PlainTable51">
    <w:name w:val="Plain Table 51"/>
    <w:uiPriority w:val="45"/>
    <w:rsid w:val="00B825F7"/>
    <w:rPr>
      <w:sz w:val="22"/>
      <w:szCs w:val="22"/>
      <w:lang w:eastAsia="en-AU"/>
    </w:rPr>
    <w:tblPr>
      <w:tblStyleRowBandSize w:val="1"/>
      <w:tblStyleColBandSize w:val="1"/>
      <w:tblCellMar>
        <w:top w:w="0" w:type="dxa"/>
        <w:left w:w="0" w:type="dxa"/>
        <w:bottom w:w="0" w:type="dxa"/>
        <w:right w:w="0" w:type="dxa"/>
      </w:tblCellMar>
    </w:tblPr>
  </w:style>
  <w:style w:type="paragraph" w:styleId="PlainText">
    <w:name w:val="Plain Text"/>
    <w:link w:val="PlainTextChar"/>
    <w:uiPriority w:val="99"/>
    <w:unhideWhenUsed/>
    <w:rsid w:val="00B825F7"/>
    <w:rPr>
      <w:rFonts w:cs="Arial"/>
      <w:lang w:eastAsia="en-AU"/>
    </w:rPr>
  </w:style>
  <w:style w:type="character" w:customStyle="1" w:styleId="PlainTextChar">
    <w:name w:val="Plain Text Char"/>
    <w:link w:val="PlainText"/>
    <w:uiPriority w:val="99"/>
    <w:rsid w:val="00B825F7"/>
    <w:rPr>
      <w:rFonts w:ascii="Arial" w:hAnsi="Arial" w:cs="Arial"/>
      <w:sz w:val="20"/>
      <w:szCs w:val="20"/>
    </w:rPr>
  </w:style>
  <w:style w:type="paragraph" w:customStyle="1" w:styleId="ColorfulGrid-Accent11">
    <w:name w:val="Colorful Grid - Accent 11"/>
    <w:next w:val="Normal"/>
    <w:link w:val="ColorfulGrid-Accent1Char"/>
    <w:uiPriority w:val="29"/>
    <w:qFormat/>
    <w:rsid w:val="00B825F7"/>
    <w:pPr>
      <w:spacing w:before="200"/>
      <w:ind w:left="864" w:right="864"/>
      <w:jc w:val="center"/>
    </w:pPr>
    <w:rPr>
      <w:rFonts w:cs="Arial"/>
      <w:i/>
      <w:iCs/>
      <w:color w:val="404040"/>
      <w:sz w:val="22"/>
      <w:szCs w:val="22"/>
      <w:lang w:eastAsia="en-AU"/>
    </w:rPr>
  </w:style>
  <w:style w:type="character" w:customStyle="1" w:styleId="ColorfulGrid-Accent1Char">
    <w:name w:val="Colorful Grid - Accent 1 Char"/>
    <w:link w:val="ColorfulGrid-Accent11"/>
    <w:uiPriority w:val="29"/>
    <w:rsid w:val="00B825F7"/>
    <w:rPr>
      <w:rFonts w:ascii="Arial" w:hAnsi="Arial" w:cs="Arial"/>
      <w:i/>
      <w:iCs/>
      <w:color w:val="404040"/>
    </w:rPr>
  </w:style>
  <w:style w:type="paragraph" w:styleId="Salutation">
    <w:name w:val="Salutation"/>
    <w:next w:val="Normal"/>
    <w:link w:val="SalutationChar"/>
    <w:uiPriority w:val="99"/>
    <w:semiHidden/>
    <w:unhideWhenUsed/>
    <w:rsid w:val="00B825F7"/>
    <w:rPr>
      <w:rFonts w:cs="Arial"/>
      <w:sz w:val="22"/>
      <w:szCs w:val="22"/>
      <w:lang w:eastAsia="en-AU"/>
    </w:rPr>
  </w:style>
  <w:style w:type="character" w:customStyle="1" w:styleId="SalutationChar">
    <w:name w:val="Salutation Char"/>
    <w:link w:val="Salutation"/>
    <w:uiPriority w:val="99"/>
    <w:semiHidden/>
    <w:rsid w:val="00B825F7"/>
    <w:rPr>
      <w:rFonts w:ascii="Arial" w:hAnsi="Arial" w:cs="Arial"/>
    </w:rPr>
  </w:style>
  <w:style w:type="paragraph" w:styleId="Signature">
    <w:name w:val="Signature"/>
    <w:link w:val="SignatureChar"/>
    <w:uiPriority w:val="99"/>
    <w:semiHidden/>
    <w:unhideWhenUsed/>
    <w:rsid w:val="00B825F7"/>
    <w:pPr>
      <w:ind w:left="4252"/>
    </w:pPr>
    <w:rPr>
      <w:rFonts w:cs="Arial"/>
      <w:sz w:val="22"/>
      <w:szCs w:val="22"/>
      <w:lang w:eastAsia="en-AU"/>
    </w:rPr>
  </w:style>
  <w:style w:type="character" w:customStyle="1" w:styleId="SignatureChar">
    <w:name w:val="Signature Char"/>
    <w:link w:val="Signature"/>
    <w:uiPriority w:val="99"/>
    <w:semiHidden/>
    <w:rsid w:val="00B825F7"/>
    <w:rPr>
      <w:rFonts w:ascii="Arial" w:hAnsi="Arial" w:cs="Arial"/>
    </w:rPr>
  </w:style>
  <w:style w:type="character" w:styleId="Strong">
    <w:name w:val="Strong"/>
    <w:uiPriority w:val="22"/>
    <w:qFormat/>
    <w:rsid w:val="00B825F7"/>
    <w:rPr>
      <w:b/>
      <w:bCs/>
    </w:rPr>
  </w:style>
  <w:style w:type="paragraph" w:styleId="Subtitle">
    <w:name w:val="Subtitle"/>
    <w:next w:val="Normal"/>
    <w:link w:val="SubtitleChar"/>
    <w:uiPriority w:val="11"/>
    <w:qFormat/>
    <w:rsid w:val="00B825F7"/>
    <w:pPr>
      <w:spacing w:after="60"/>
      <w:jc w:val="center"/>
      <w:outlineLvl w:val="1"/>
    </w:pPr>
    <w:rPr>
      <w:rFonts w:eastAsia="Times New Roman" w:cs="Arial"/>
      <w:sz w:val="24"/>
      <w:szCs w:val="24"/>
      <w:lang w:eastAsia="en-AU"/>
    </w:rPr>
  </w:style>
  <w:style w:type="character" w:customStyle="1" w:styleId="SubtitleChar">
    <w:name w:val="Subtitle Char"/>
    <w:link w:val="Subtitle"/>
    <w:uiPriority w:val="11"/>
    <w:rsid w:val="00B825F7"/>
    <w:rPr>
      <w:rFonts w:ascii="Arial" w:eastAsia="Times New Roman" w:hAnsi="Arial" w:cs="Arial"/>
      <w:sz w:val="24"/>
      <w:szCs w:val="24"/>
    </w:rPr>
  </w:style>
  <w:style w:type="character" w:customStyle="1" w:styleId="PlainTable32">
    <w:name w:val="Plain Table 32"/>
    <w:uiPriority w:val="19"/>
    <w:qFormat/>
    <w:rsid w:val="00B825F7"/>
    <w:rPr>
      <w:i/>
      <w:iCs/>
      <w:color w:val="404040"/>
    </w:rPr>
  </w:style>
  <w:style w:type="character" w:customStyle="1" w:styleId="PlainTable52">
    <w:name w:val="Plain Table 52"/>
    <w:uiPriority w:val="31"/>
    <w:qFormat/>
    <w:rsid w:val="00B825F7"/>
    <w:rPr>
      <w:smallCaps/>
      <w:color w:val="5A5A5A"/>
    </w:rPr>
  </w:style>
  <w:style w:type="table" w:styleId="Table3Deffects1">
    <w:name w:val="Table 3D effects 1"/>
    <w:uiPriority w:val="99"/>
    <w:semiHidden/>
    <w:unhideWhenUsed/>
    <w:rsid w:val="00B825F7"/>
    <w:pPr>
      <w:spacing w:after="160" w:line="259" w:lineRule="auto"/>
    </w:pPr>
    <w:rPr>
      <w:sz w:val="22"/>
      <w:szCs w:val="22"/>
      <w:lang w:eastAsia="en-AU"/>
    </w:rPr>
    <w:tblPr>
      <w:tblCellMar>
        <w:top w:w="0" w:type="dxa"/>
        <w:left w:w="0" w:type="dxa"/>
        <w:bottom w:w="0" w:type="dxa"/>
        <w:right w:w="0" w:type="dxa"/>
      </w:tblCellMar>
    </w:tblPr>
    <w:tcPr>
      <w:shd w:val="solid" w:color="C0C0C0" w:fill="FFFFFF"/>
    </w:tcPr>
  </w:style>
  <w:style w:type="table" w:styleId="Table3Deffects2">
    <w:name w:val="Table 3D effects 2"/>
    <w:uiPriority w:val="99"/>
    <w:semiHidden/>
    <w:unhideWhenUsed/>
    <w:rsid w:val="00B825F7"/>
    <w:pPr>
      <w:spacing w:after="160" w:line="259" w:lineRule="auto"/>
    </w:pPr>
    <w:rPr>
      <w:sz w:val="22"/>
      <w:szCs w:val="22"/>
      <w:lang w:eastAsia="en-AU"/>
    </w:rPr>
    <w:tblPr>
      <w:tblStyleRowBandSize w:val="1"/>
      <w:tblCellMar>
        <w:top w:w="0" w:type="dxa"/>
        <w:left w:w="0" w:type="dxa"/>
        <w:bottom w:w="0" w:type="dxa"/>
        <w:right w:w="0" w:type="dxa"/>
      </w:tblCellMar>
    </w:tblPr>
    <w:tcPr>
      <w:shd w:val="solid" w:color="C0C0C0" w:fill="FFFFFF"/>
    </w:tcPr>
  </w:style>
  <w:style w:type="table" w:styleId="Table3Deffects3">
    <w:name w:val="Table 3D effects 3"/>
    <w:uiPriority w:val="99"/>
    <w:semiHidden/>
    <w:unhideWhenUsed/>
    <w:rsid w:val="00B825F7"/>
    <w:pPr>
      <w:spacing w:after="160" w:line="259" w:lineRule="auto"/>
    </w:pPr>
    <w:rPr>
      <w:sz w:val="22"/>
      <w:szCs w:val="22"/>
      <w:lang w:eastAsia="en-AU"/>
    </w:rPr>
    <w:tblPr>
      <w:tblStyleRowBandSize w:val="1"/>
      <w:tblStyleColBandSize w:val="1"/>
      <w:tblCellMar>
        <w:top w:w="0" w:type="dxa"/>
        <w:left w:w="0" w:type="dxa"/>
        <w:bottom w:w="0" w:type="dxa"/>
        <w:right w:w="0" w:type="dxa"/>
      </w:tblCellMar>
    </w:tblPr>
  </w:style>
  <w:style w:type="table" w:styleId="TableClassic1">
    <w:name w:val="Table Classic 1"/>
    <w:uiPriority w:val="99"/>
    <w:semiHidden/>
    <w:unhideWhenUsed/>
    <w:rsid w:val="00B825F7"/>
    <w:pPr>
      <w:spacing w:after="160" w:line="259" w:lineRule="auto"/>
    </w:pPr>
    <w:rPr>
      <w:sz w:val="22"/>
      <w:szCs w:val="22"/>
      <w:lang w:eastAsia="en-AU"/>
    </w:rPr>
    <w:tblPr>
      <w:tblBorders>
        <w:top w:val="single" w:sz="12" w:space="0" w:color="000000"/>
        <w:bottom w:val="single" w:sz="12" w:space="0" w:color="000000"/>
      </w:tblBorders>
      <w:tblCellMar>
        <w:top w:w="0" w:type="dxa"/>
        <w:left w:w="0" w:type="dxa"/>
        <w:bottom w:w="0" w:type="dxa"/>
        <w:right w:w="0" w:type="dxa"/>
      </w:tblCellMar>
    </w:tblPr>
    <w:tcPr>
      <w:shd w:val="clear" w:color="auto" w:fill="auto"/>
    </w:tcPr>
  </w:style>
  <w:style w:type="table" w:styleId="TableClassic2">
    <w:name w:val="Table Classic 2"/>
    <w:uiPriority w:val="99"/>
    <w:semiHidden/>
    <w:unhideWhenUsed/>
    <w:rsid w:val="00B825F7"/>
    <w:pPr>
      <w:spacing w:after="160" w:line="259" w:lineRule="auto"/>
    </w:pPr>
    <w:rPr>
      <w:sz w:val="22"/>
      <w:szCs w:val="22"/>
      <w:lang w:eastAsia="en-AU"/>
    </w:rPr>
    <w:tblPr>
      <w:tblBorders>
        <w:top w:val="single" w:sz="12" w:space="0" w:color="000000"/>
        <w:bottom w:val="single" w:sz="12" w:space="0" w:color="000000"/>
      </w:tblBorders>
      <w:tblCellMar>
        <w:top w:w="0" w:type="dxa"/>
        <w:left w:w="0" w:type="dxa"/>
        <w:bottom w:w="0" w:type="dxa"/>
        <w:right w:w="0" w:type="dxa"/>
      </w:tblCellMar>
    </w:tblPr>
    <w:tcPr>
      <w:shd w:val="clear" w:color="auto" w:fill="auto"/>
    </w:tcPr>
  </w:style>
  <w:style w:type="table" w:styleId="TableClassic3">
    <w:name w:val="Table Classic 3"/>
    <w:uiPriority w:val="99"/>
    <w:semiHidden/>
    <w:unhideWhenUsed/>
    <w:rsid w:val="00B825F7"/>
    <w:pPr>
      <w:spacing w:after="160" w:line="259" w:lineRule="auto"/>
    </w:pPr>
    <w:rPr>
      <w:color w:val="000080"/>
      <w:sz w:val="22"/>
      <w:szCs w:val="22"/>
      <w:lang w:eastAsia="en-AU"/>
    </w:rPr>
    <w:tblPr>
      <w:tblBorders>
        <w:top w:val="single" w:sz="12" w:space="0" w:color="000000"/>
        <w:left w:val="single" w:sz="12" w:space="0" w:color="000000"/>
        <w:bottom w:val="single" w:sz="12" w:space="0" w:color="000000"/>
        <w:right w:val="single" w:sz="12" w:space="0" w:color="000000"/>
      </w:tblBorders>
      <w:tblCellMar>
        <w:top w:w="0" w:type="dxa"/>
        <w:left w:w="0" w:type="dxa"/>
        <w:bottom w:w="0" w:type="dxa"/>
        <w:right w:w="0" w:type="dxa"/>
      </w:tblCellMar>
    </w:tblPr>
    <w:tcPr>
      <w:shd w:val="solid" w:color="C0C0C0" w:fill="FFFFFF"/>
    </w:tcPr>
  </w:style>
  <w:style w:type="table" w:styleId="TableClassic4">
    <w:name w:val="Table Classic 4"/>
    <w:uiPriority w:val="99"/>
    <w:semiHidden/>
    <w:unhideWhenUsed/>
    <w:rsid w:val="00B825F7"/>
    <w:pPr>
      <w:spacing w:after="160" w:line="259" w:lineRule="auto"/>
    </w:pPr>
    <w:rPr>
      <w:sz w:val="22"/>
      <w:szCs w:val="22"/>
      <w:lang w:eastAsia="en-AU"/>
    </w:rPr>
    <w:tblPr>
      <w:tblBorders>
        <w:top w:val="single" w:sz="12" w:space="0" w:color="000000"/>
        <w:left w:val="single" w:sz="6" w:space="0" w:color="000000"/>
        <w:bottom w:val="single" w:sz="12" w:space="0" w:color="000000"/>
        <w:right w:val="single" w:sz="6" w:space="0" w:color="000000"/>
      </w:tblBorders>
      <w:tblCellMar>
        <w:top w:w="0" w:type="dxa"/>
        <w:left w:w="0" w:type="dxa"/>
        <w:bottom w:w="0" w:type="dxa"/>
        <w:right w:w="0" w:type="dxa"/>
      </w:tblCellMar>
    </w:tblPr>
    <w:tcPr>
      <w:shd w:val="clear" w:color="auto" w:fill="auto"/>
    </w:tcPr>
  </w:style>
  <w:style w:type="table" w:styleId="TableColorful1">
    <w:name w:val="Table Colorful 1"/>
    <w:uiPriority w:val="99"/>
    <w:semiHidden/>
    <w:unhideWhenUsed/>
    <w:rsid w:val="00B825F7"/>
    <w:pPr>
      <w:spacing w:after="160" w:line="259" w:lineRule="auto"/>
    </w:pPr>
    <w:rPr>
      <w:color w:val="FFFFFF"/>
      <w:sz w:val="22"/>
      <w:szCs w:val="22"/>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0" w:type="dxa"/>
        <w:bottom w:w="0" w:type="dxa"/>
        <w:right w:w="0" w:type="dxa"/>
      </w:tblCellMar>
    </w:tblPr>
    <w:tcPr>
      <w:shd w:val="solid" w:color="008080" w:fill="FFFFFF"/>
    </w:tcPr>
  </w:style>
  <w:style w:type="table" w:styleId="TableColorful2">
    <w:name w:val="Table Colorful 2"/>
    <w:uiPriority w:val="99"/>
    <w:semiHidden/>
    <w:unhideWhenUsed/>
    <w:rsid w:val="00B825F7"/>
    <w:pPr>
      <w:spacing w:after="160" w:line="259" w:lineRule="auto"/>
    </w:pPr>
    <w:rPr>
      <w:sz w:val="22"/>
      <w:szCs w:val="22"/>
      <w:lang w:eastAsia="en-AU"/>
    </w:rPr>
    <w:tblPr>
      <w:tblBorders>
        <w:bottom w:val="single" w:sz="12" w:space="0" w:color="000000"/>
      </w:tblBorders>
      <w:tblCellMar>
        <w:top w:w="0" w:type="dxa"/>
        <w:left w:w="0" w:type="dxa"/>
        <w:bottom w:w="0" w:type="dxa"/>
        <w:right w:w="0" w:type="dxa"/>
      </w:tblCellMar>
    </w:tblPr>
    <w:tcPr>
      <w:shd w:val="pct20" w:color="FFFF00" w:fill="FFFFFF"/>
    </w:tcPr>
  </w:style>
  <w:style w:type="table" w:styleId="TableColorful3">
    <w:name w:val="Table Colorful 3"/>
    <w:uiPriority w:val="99"/>
    <w:semiHidden/>
    <w:unhideWhenUsed/>
    <w:rsid w:val="00B825F7"/>
    <w:pPr>
      <w:spacing w:after="160" w:line="259" w:lineRule="auto"/>
    </w:pPr>
    <w:rPr>
      <w:sz w:val="22"/>
      <w:szCs w:val="22"/>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0" w:type="dxa"/>
        <w:bottom w:w="0" w:type="dxa"/>
        <w:right w:w="0" w:type="dxa"/>
      </w:tblCellMar>
    </w:tblPr>
    <w:tcPr>
      <w:shd w:val="pct25" w:color="008080" w:fill="FFFFFF"/>
    </w:tcPr>
  </w:style>
  <w:style w:type="table" w:styleId="TableColumns1">
    <w:name w:val="Table Columns 1"/>
    <w:uiPriority w:val="99"/>
    <w:semiHidden/>
    <w:unhideWhenUsed/>
    <w:rsid w:val="00B825F7"/>
    <w:pPr>
      <w:spacing w:after="160" w:line="259" w:lineRule="auto"/>
    </w:pPr>
    <w:rPr>
      <w:b/>
      <w:bCs/>
      <w:sz w:val="22"/>
      <w:szCs w:val="22"/>
      <w:lang w:eastAsia="en-AU"/>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0" w:type="dxa"/>
        <w:bottom w:w="0" w:type="dxa"/>
        <w:right w:w="0" w:type="dxa"/>
      </w:tblCellMar>
    </w:tblPr>
  </w:style>
  <w:style w:type="table" w:styleId="TableColumns2">
    <w:name w:val="Table Columns 2"/>
    <w:uiPriority w:val="99"/>
    <w:semiHidden/>
    <w:unhideWhenUsed/>
    <w:rsid w:val="00B825F7"/>
    <w:pPr>
      <w:spacing w:after="160" w:line="259" w:lineRule="auto"/>
    </w:pPr>
    <w:rPr>
      <w:b/>
      <w:bCs/>
      <w:sz w:val="22"/>
      <w:szCs w:val="22"/>
      <w:lang w:eastAsia="en-AU"/>
    </w:rPr>
    <w:tblPr>
      <w:tblStyleColBandSize w:val="1"/>
      <w:tblCellMar>
        <w:top w:w="0" w:type="dxa"/>
        <w:left w:w="0" w:type="dxa"/>
        <w:bottom w:w="0" w:type="dxa"/>
        <w:right w:w="0" w:type="dxa"/>
      </w:tblCellMar>
    </w:tblPr>
  </w:style>
  <w:style w:type="table" w:styleId="TableColumns3">
    <w:name w:val="Table Columns 3"/>
    <w:uiPriority w:val="99"/>
    <w:semiHidden/>
    <w:unhideWhenUsed/>
    <w:rsid w:val="00B825F7"/>
    <w:pPr>
      <w:spacing w:after="160" w:line="259" w:lineRule="auto"/>
    </w:pPr>
    <w:rPr>
      <w:b/>
      <w:bCs/>
      <w:sz w:val="22"/>
      <w:szCs w:val="22"/>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0" w:type="dxa"/>
        <w:bottom w:w="0" w:type="dxa"/>
        <w:right w:w="0" w:type="dxa"/>
      </w:tblCellMar>
    </w:tblPr>
  </w:style>
  <w:style w:type="table" w:styleId="TableColumns4">
    <w:name w:val="Table Columns 4"/>
    <w:uiPriority w:val="99"/>
    <w:semiHidden/>
    <w:unhideWhenUsed/>
    <w:rsid w:val="00B825F7"/>
    <w:pPr>
      <w:spacing w:after="160" w:line="259" w:lineRule="auto"/>
    </w:pPr>
    <w:rPr>
      <w:sz w:val="22"/>
      <w:szCs w:val="22"/>
      <w:lang w:eastAsia="en-AU"/>
    </w:rPr>
    <w:tblPr>
      <w:tblStyleColBandSize w:val="1"/>
      <w:tblCellMar>
        <w:top w:w="0" w:type="dxa"/>
        <w:left w:w="0" w:type="dxa"/>
        <w:bottom w:w="0" w:type="dxa"/>
        <w:right w:w="0" w:type="dxa"/>
      </w:tblCellMar>
    </w:tblPr>
  </w:style>
  <w:style w:type="table" w:styleId="TableColumns5">
    <w:name w:val="Table Columns 5"/>
    <w:uiPriority w:val="99"/>
    <w:semiHidden/>
    <w:unhideWhenUsed/>
    <w:rsid w:val="00B825F7"/>
    <w:pPr>
      <w:spacing w:after="160" w:line="259" w:lineRule="auto"/>
    </w:pPr>
    <w:rPr>
      <w:sz w:val="22"/>
      <w:szCs w:val="22"/>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0" w:type="dxa"/>
        <w:bottom w:w="0" w:type="dxa"/>
        <w:right w:w="0" w:type="dxa"/>
      </w:tblCellMar>
    </w:tblPr>
  </w:style>
  <w:style w:type="table" w:styleId="TableContemporary">
    <w:name w:val="Table Contemporary"/>
    <w:uiPriority w:val="99"/>
    <w:semiHidden/>
    <w:unhideWhenUsed/>
    <w:rsid w:val="00B825F7"/>
    <w:pPr>
      <w:spacing w:after="160" w:line="259" w:lineRule="auto"/>
    </w:pPr>
    <w:rPr>
      <w:sz w:val="22"/>
      <w:szCs w:val="22"/>
      <w:lang w:eastAsia="en-AU"/>
    </w:rPr>
    <w:tblPr>
      <w:tblStyleRowBandSize w:val="1"/>
      <w:tblBorders>
        <w:insideH w:val="single" w:sz="18" w:space="0" w:color="FFFFFF"/>
        <w:insideV w:val="single" w:sz="18" w:space="0" w:color="FFFFFF"/>
      </w:tblBorders>
      <w:tblCellMar>
        <w:top w:w="0" w:type="dxa"/>
        <w:left w:w="0" w:type="dxa"/>
        <w:bottom w:w="0" w:type="dxa"/>
        <w:right w:w="0" w:type="dxa"/>
      </w:tblCellMar>
    </w:tblPr>
  </w:style>
  <w:style w:type="table" w:styleId="TableElegant">
    <w:name w:val="Table Elegant"/>
    <w:uiPriority w:val="99"/>
    <w:semiHidden/>
    <w:unhideWhenUsed/>
    <w:rsid w:val="00B825F7"/>
    <w:pPr>
      <w:spacing w:after="160" w:line="259" w:lineRule="auto"/>
    </w:pPr>
    <w:rPr>
      <w:sz w:val="22"/>
      <w:szCs w:val="22"/>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
    <w:name w:val="Table Grid"/>
    <w:uiPriority w:val="39"/>
    <w:rsid w:val="00B825F7"/>
    <w:rPr>
      <w:sz w:val="22"/>
      <w:szCs w:val="22"/>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uiPriority w:val="99"/>
    <w:semiHidden/>
    <w:unhideWhenUsed/>
    <w:rsid w:val="00B825F7"/>
    <w:pPr>
      <w:spacing w:after="160" w:line="259" w:lineRule="auto"/>
    </w:pPr>
    <w:rPr>
      <w:sz w:val="22"/>
      <w:szCs w:val="22"/>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2">
    <w:name w:val="Table Grid 2"/>
    <w:uiPriority w:val="99"/>
    <w:semiHidden/>
    <w:unhideWhenUsed/>
    <w:rsid w:val="00B825F7"/>
    <w:pPr>
      <w:spacing w:after="160" w:line="259" w:lineRule="auto"/>
    </w:pPr>
    <w:rPr>
      <w:sz w:val="22"/>
      <w:szCs w:val="22"/>
      <w:lang w:eastAsia="en-AU"/>
    </w:rPr>
    <w:tblPr>
      <w:tblBorders>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3">
    <w:name w:val="Table Grid 3"/>
    <w:uiPriority w:val="99"/>
    <w:semiHidden/>
    <w:unhideWhenUsed/>
    <w:rsid w:val="00B825F7"/>
    <w:pPr>
      <w:spacing w:after="160" w:line="259" w:lineRule="auto"/>
    </w:pPr>
    <w:rPr>
      <w:sz w:val="22"/>
      <w:szCs w:val="22"/>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0" w:type="dxa"/>
        <w:bottom w:w="0" w:type="dxa"/>
        <w:right w:w="0" w:type="dxa"/>
      </w:tblCellMar>
    </w:tblPr>
    <w:tcPr>
      <w:shd w:val="clear" w:color="auto" w:fill="auto"/>
    </w:tcPr>
  </w:style>
  <w:style w:type="table" w:styleId="TableGrid4">
    <w:name w:val="Table Grid 4"/>
    <w:uiPriority w:val="99"/>
    <w:semiHidden/>
    <w:unhideWhenUsed/>
    <w:rsid w:val="00B825F7"/>
    <w:pPr>
      <w:spacing w:after="160" w:line="259" w:lineRule="auto"/>
    </w:pPr>
    <w:rPr>
      <w:sz w:val="22"/>
      <w:szCs w:val="22"/>
      <w:lang w:eastAsia="en-AU"/>
    </w:rPr>
    <w:tblPr>
      <w:tblBorders>
        <w:left w:val="single" w:sz="12" w:space="0" w:color="000000"/>
        <w:right w:val="single" w:sz="12"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5">
    <w:name w:val="Table Grid 5"/>
    <w:uiPriority w:val="99"/>
    <w:semiHidden/>
    <w:unhideWhenUsed/>
    <w:rsid w:val="00B825F7"/>
    <w:pPr>
      <w:spacing w:after="160" w:line="259" w:lineRule="auto"/>
    </w:pPr>
    <w:rPr>
      <w:sz w:val="22"/>
      <w:szCs w:val="22"/>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6">
    <w:name w:val="Table Grid 6"/>
    <w:uiPriority w:val="99"/>
    <w:semiHidden/>
    <w:unhideWhenUsed/>
    <w:rsid w:val="00B825F7"/>
    <w:pPr>
      <w:spacing w:after="160" w:line="259" w:lineRule="auto"/>
    </w:pPr>
    <w:rPr>
      <w:sz w:val="22"/>
      <w:szCs w:val="22"/>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0" w:type="dxa"/>
        <w:bottom w:w="0" w:type="dxa"/>
        <w:right w:w="0" w:type="dxa"/>
      </w:tblCellMar>
    </w:tblPr>
    <w:tcPr>
      <w:shd w:val="clear" w:color="auto" w:fill="auto"/>
    </w:tcPr>
  </w:style>
  <w:style w:type="table" w:styleId="TableGrid7">
    <w:name w:val="Table Grid 7"/>
    <w:uiPriority w:val="99"/>
    <w:semiHidden/>
    <w:unhideWhenUsed/>
    <w:rsid w:val="00B825F7"/>
    <w:pPr>
      <w:spacing w:after="160" w:line="259" w:lineRule="auto"/>
    </w:pPr>
    <w:rPr>
      <w:b/>
      <w:bCs/>
      <w:sz w:val="22"/>
      <w:szCs w:val="22"/>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8">
    <w:name w:val="Table Grid 8"/>
    <w:uiPriority w:val="99"/>
    <w:semiHidden/>
    <w:unhideWhenUsed/>
    <w:rsid w:val="00B825F7"/>
    <w:pPr>
      <w:spacing w:after="160" w:line="259" w:lineRule="auto"/>
    </w:pPr>
    <w:rPr>
      <w:sz w:val="22"/>
      <w:szCs w:val="22"/>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0" w:type="dxa"/>
        <w:bottom w:w="0" w:type="dxa"/>
        <w:right w:w="0" w:type="dxa"/>
      </w:tblCellMar>
    </w:tblPr>
    <w:tcPr>
      <w:shd w:val="clear" w:color="auto" w:fill="auto"/>
    </w:tcPr>
  </w:style>
  <w:style w:type="table" w:customStyle="1" w:styleId="TableGridLight2">
    <w:name w:val="Table Grid Light2"/>
    <w:uiPriority w:val="40"/>
    <w:rsid w:val="00B825F7"/>
    <w:rPr>
      <w:sz w:val="22"/>
      <w:szCs w:val="22"/>
      <w:lang w:eastAsia="en-A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0" w:type="dxa"/>
        <w:bottom w:w="0" w:type="dxa"/>
        <w:right w:w="0" w:type="dxa"/>
      </w:tblCellMar>
    </w:tblPr>
  </w:style>
  <w:style w:type="table" w:styleId="TableList1">
    <w:name w:val="Table List 1"/>
    <w:uiPriority w:val="99"/>
    <w:semiHidden/>
    <w:unhideWhenUsed/>
    <w:rsid w:val="00B825F7"/>
    <w:pPr>
      <w:spacing w:after="160" w:line="259" w:lineRule="auto"/>
    </w:pPr>
    <w:rPr>
      <w:sz w:val="22"/>
      <w:szCs w:val="22"/>
      <w:lang w:eastAsia="en-AU"/>
    </w:rPr>
    <w:tblPr>
      <w:tblStyleRowBandSize w:val="1"/>
      <w:tblBorders>
        <w:top w:val="single" w:sz="12" w:space="0" w:color="008080"/>
        <w:left w:val="single" w:sz="6" w:space="0" w:color="008080"/>
        <w:bottom w:val="single" w:sz="12" w:space="0" w:color="008080"/>
        <w:right w:val="single" w:sz="6" w:space="0" w:color="008080"/>
      </w:tblBorders>
      <w:tblCellMar>
        <w:top w:w="0" w:type="dxa"/>
        <w:left w:w="0" w:type="dxa"/>
        <w:bottom w:w="0" w:type="dxa"/>
        <w:right w:w="0" w:type="dxa"/>
      </w:tblCellMar>
    </w:tblPr>
  </w:style>
  <w:style w:type="table" w:styleId="TableList2">
    <w:name w:val="Table List 2"/>
    <w:uiPriority w:val="99"/>
    <w:semiHidden/>
    <w:unhideWhenUsed/>
    <w:rsid w:val="00B825F7"/>
    <w:pPr>
      <w:spacing w:after="160" w:line="259" w:lineRule="auto"/>
    </w:pPr>
    <w:rPr>
      <w:sz w:val="22"/>
      <w:szCs w:val="22"/>
      <w:lang w:eastAsia="en-AU"/>
    </w:rPr>
    <w:tblPr>
      <w:tblStyleRowBandSize w:val="2"/>
      <w:tblBorders>
        <w:bottom w:val="single" w:sz="12" w:space="0" w:color="808080"/>
      </w:tblBorders>
      <w:tblCellMar>
        <w:top w:w="0" w:type="dxa"/>
        <w:left w:w="0" w:type="dxa"/>
        <w:bottom w:w="0" w:type="dxa"/>
        <w:right w:w="0" w:type="dxa"/>
      </w:tblCellMar>
    </w:tblPr>
  </w:style>
  <w:style w:type="table" w:styleId="TableList3">
    <w:name w:val="Table List 3"/>
    <w:uiPriority w:val="99"/>
    <w:semiHidden/>
    <w:unhideWhenUsed/>
    <w:rsid w:val="00B825F7"/>
    <w:pPr>
      <w:spacing w:after="160" w:line="259" w:lineRule="auto"/>
    </w:pPr>
    <w:rPr>
      <w:sz w:val="22"/>
      <w:szCs w:val="22"/>
      <w:lang w:eastAsia="en-AU"/>
    </w:rPr>
    <w:tblPr>
      <w:tblBorders>
        <w:top w:val="single" w:sz="12" w:space="0" w:color="000000"/>
        <w:bottom w:val="single" w:sz="12" w:space="0" w:color="000000"/>
        <w:insideH w:val="single" w:sz="6" w:space="0" w:color="000000"/>
      </w:tblBorders>
      <w:tblCellMar>
        <w:top w:w="0" w:type="dxa"/>
        <w:left w:w="0" w:type="dxa"/>
        <w:bottom w:w="0" w:type="dxa"/>
        <w:right w:w="0" w:type="dxa"/>
      </w:tblCellMar>
    </w:tblPr>
    <w:tcPr>
      <w:shd w:val="clear" w:color="auto" w:fill="auto"/>
    </w:tcPr>
  </w:style>
  <w:style w:type="table" w:styleId="TableList4">
    <w:name w:val="Table List 4"/>
    <w:uiPriority w:val="99"/>
    <w:semiHidden/>
    <w:unhideWhenUsed/>
    <w:rsid w:val="00B825F7"/>
    <w:pPr>
      <w:spacing w:after="160" w:line="259" w:lineRule="auto"/>
    </w:pPr>
    <w:rPr>
      <w:sz w:val="22"/>
      <w:szCs w:val="22"/>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0" w:type="dxa"/>
        <w:bottom w:w="0" w:type="dxa"/>
        <w:right w:w="0" w:type="dxa"/>
      </w:tblCellMar>
    </w:tblPr>
    <w:tcPr>
      <w:shd w:val="clear" w:color="auto" w:fill="auto"/>
    </w:tcPr>
  </w:style>
  <w:style w:type="table" w:styleId="TableList5">
    <w:name w:val="Table List 5"/>
    <w:uiPriority w:val="99"/>
    <w:semiHidden/>
    <w:unhideWhenUsed/>
    <w:rsid w:val="00B825F7"/>
    <w:pPr>
      <w:spacing w:after="160" w:line="259" w:lineRule="auto"/>
    </w:pPr>
    <w:rPr>
      <w:sz w:val="22"/>
      <w:szCs w:val="22"/>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0" w:type="dxa"/>
        <w:bottom w:w="0" w:type="dxa"/>
        <w:right w:w="0" w:type="dxa"/>
      </w:tblCellMar>
    </w:tblPr>
    <w:tcPr>
      <w:shd w:val="clear" w:color="auto" w:fill="auto"/>
    </w:tcPr>
  </w:style>
  <w:style w:type="table" w:styleId="TableList6">
    <w:name w:val="Table List 6"/>
    <w:uiPriority w:val="99"/>
    <w:semiHidden/>
    <w:unhideWhenUsed/>
    <w:rsid w:val="00B825F7"/>
    <w:pPr>
      <w:spacing w:after="160" w:line="259" w:lineRule="auto"/>
    </w:pPr>
    <w:rPr>
      <w:sz w:val="22"/>
      <w:szCs w:val="22"/>
      <w:lang w:eastAsia="en-AU"/>
    </w:rPr>
    <w:tblPr>
      <w:tblStyleRowBandSize w:val="1"/>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
    <w:tcPr>
      <w:shd w:val="pct50" w:color="000000" w:fill="FFFFFF"/>
    </w:tcPr>
  </w:style>
  <w:style w:type="table" w:styleId="TableList7">
    <w:name w:val="Table List 7"/>
    <w:uiPriority w:val="99"/>
    <w:semiHidden/>
    <w:unhideWhenUsed/>
    <w:rsid w:val="00B825F7"/>
    <w:pPr>
      <w:spacing w:after="160" w:line="259" w:lineRule="auto"/>
    </w:pPr>
    <w:rPr>
      <w:sz w:val="22"/>
      <w:szCs w:val="22"/>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0" w:type="dxa"/>
        <w:bottom w:w="0" w:type="dxa"/>
        <w:right w:w="0" w:type="dxa"/>
      </w:tblCellMar>
    </w:tblPr>
  </w:style>
  <w:style w:type="table" w:styleId="TableList8">
    <w:name w:val="Table List 8"/>
    <w:uiPriority w:val="99"/>
    <w:semiHidden/>
    <w:unhideWhenUsed/>
    <w:rsid w:val="00B825F7"/>
    <w:pPr>
      <w:spacing w:after="160" w:line="259" w:lineRule="auto"/>
    </w:pPr>
    <w:rPr>
      <w:sz w:val="22"/>
      <w:szCs w:val="22"/>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0" w:type="dxa"/>
        <w:bottom w:w="0" w:type="dxa"/>
        <w:right w:w="0" w:type="dxa"/>
      </w:tblCellMar>
    </w:tblPr>
  </w:style>
  <w:style w:type="paragraph" w:styleId="TableofAuthorities">
    <w:name w:val="table of authorities"/>
    <w:next w:val="Normal"/>
    <w:uiPriority w:val="99"/>
    <w:semiHidden/>
    <w:unhideWhenUsed/>
    <w:rsid w:val="00B825F7"/>
    <w:pPr>
      <w:ind w:left="220" w:hanging="220"/>
    </w:pPr>
    <w:rPr>
      <w:rFonts w:cs="Arial"/>
      <w:sz w:val="22"/>
      <w:szCs w:val="22"/>
      <w:lang w:eastAsia="en-AU"/>
    </w:rPr>
  </w:style>
  <w:style w:type="paragraph" w:styleId="TableofFigures">
    <w:name w:val="table of figures"/>
    <w:next w:val="Normal"/>
    <w:uiPriority w:val="99"/>
    <w:semiHidden/>
    <w:unhideWhenUsed/>
    <w:rsid w:val="00B825F7"/>
    <w:rPr>
      <w:rFonts w:cs="Arial"/>
      <w:sz w:val="22"/>
      <w:szCs w:val="22"/>
      <w:lang w:eastAsia="en-AU"/>
    </w:rPr>
  </w:style>
  <w:style w:type="table" w:styleId="TableProfessional">
    <w:name w:val="Table Professional"/>
    <w:uiPriority w:val="99"/>
    <w:semiHidden/>
    <w:unhideWhenUsed/>
    <w:rsid w:val="00B825F7"/>
    <w:pPr>
      <w:spacing w:after="160" w:line="259" w:lineRule="auto"/>
    </w:pPr>
    <w:rPr>
      <w:sz w:val="22"/>
      <w:szCs w:val="22"/>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Simple1">
    <w:name w:val="Table Simple 1"/>
    <w:uiPriority w:val="99"/>
    <w:semiHidden/>
    <w:unhideWhenUsed/>
    <w:rsid w:val="00B825F7"/>
    <w:pPr>
      <w:spacing w:after="160" w:line="259" w:lineRule="auto"/>
    </w:pPr>
    <w:rPr>
      <w:sz w:val="22"/>
      <w:szCs w:val="22"/>
      <w:lang w:eastAsia="en-AU"/>
    </w:rPr>
    <w:tblPr>
      <w:tblBorders>
        <w:top w:val="single" w:sz="12" w:space="0" w:color="008000"/>
        <w:bottom w:val="single" w:sz="12" w:space="0" w:color="008000"/>
      </w:tblBorders>
      <w:tblCellMar>
        <w:top w:w="0" w:type="dxa"/>
        <w:left w:w="0" w:type="dxa"/>
        <w:bottom w:w="0" w:type="dxa"/>
        <w:right w:w="0" w:type="dxa"/>
      </w:tblCellMar>
    </w:tblPr>
    <w:tcPr>
      <w:shd w:val="clear" w:color="auto" w:fill="auto"/>
    </w:tcPr>
  </w:style>
  <w:style w:type="table" w:styleId="TableSimple2">
    <w:name w:val="Table Simple 2"/>
    <w:uiPriority w:val="99"/>
    <w:semiHidden/>
    <w:unhideWhenUsed/>
    <w:rsid w:val="00B825F7"/>
    <w:pPr>
      <w:spacing w:after="160" w:line="259" w:lineRule="auto"/>
    </w:pPr>
    <w:rPr>
      <w:sz w:val="22"/>
      <w:szCs w:val="22"/>
      <w:lang w:eastAsia="en-AU"/>
    </w:rPr>
    <w:tblPr>
      <w:tblCellMar>
        <w:top w:w="0" w:type="dxa"/>
        <w:left w:w="0" w:type="dxa"/>
        <w:bottom w:w="0" w:type="dxa"/>
        <w:right w:w="0" w:type="dxa"/>
      </w:tblCellMar>
    </w:tblPr>
  </w:style>
  <w:style w:type="table" w:styleId="TableSimple3">
    <w:name w:val="Table Simple 3"/>
    <w:uiPriority w:val="99"/>
    <w:semiHidden/>
    <w:unhideWhenUsed/>
    <w:rsid w:val="00B825F7"/>
    <w:pPr>
      <w:spacing w:after="160" w:line="259" w:lineRule="auto"/>
    </w:pPr>
    <w:rPr>
      <w:sz w:val="22"/>
      <w:szCs w:val="22"/>
      <w:lang w:eastAsia="en-AU"/>
    </w:rPr>
    <w:tblPr>
      <w:tblBorders>
        <w:top w:val="single" w:sz="12" w:space="0" w:color="000000"/>
        <w:left w:val="single" w:sz="12" w:space="0" w:color="000000"/>
        <w:bottom w:val="single" w:sz="12" w:space="0" w:color="000000"/>
        <w:right w:val="single" w:sz="12" w:space="0" w:color="000000"/>
      </w:tblBorders>
      <w:tblCellMar>
        <w:top w:w="0" w:type="dxa"/>
        <w:left w:w="0" w:type="dxa"/>
        <w:bottom w:w="0" w:type="dxa"/>
        <w:right w:w="0" w:type="dxa"/>
      </w:tblCellMar>
    </w:tblPr>
    <w:tcPr>
      <w:shd w:val="clear" w:color="auto" w:fill="auto"/>
    </w:tcPr>
  </w:style>
  <w:style w:type="table" w:styleId="TableSubtle1">
    <w:name w:val="Table Subtle 1"/>
    <w:uiPriority w:val="99"/>
    <w:semiHidden/>
    <w:unhideWhenUsed/>
    <w:rsid w:val="00B825F7"/>
    <w:pPr>
      <w:spacing w:after="160" w:line="259" w:lineRule="auto"/>
    </w:pPr>
    <w:rPr>
      <w:sz w:val="22"/>
      <w:szCs w:val="22"/>
      <w:lang w:eastAsia="en-AU"/>
    </w:rPr>
    <w:tblPr>
      <w:tblStyleRowBandSize w:val="1"/>
      <w:tblCellMar>
        <w:top w:w="0" w:type="dxa"/>
        <w:left w:w="0" w:type="dxa"/>
        <w:bottom w:w="0" w:type="dxa"/>
        <w:right w:w="0" w:type="dxa"/>
      </w:tblCellMar>
    </w:tblPr>
  </w:style>
  <w:style w:type="table" w:styleId="TableSubtle2">
    <w:name w:val="Table Subtle 2"/>
    <w:uiPriority w:val="99"/>
    <w:semiHidden/>
    <w:unhideWhenUsed/>
    <w:rsid w:val="00B825F7"/>
    <w:pPr>
      <w:spacing w:after="160" w:line="259" w:lineRule="auto"/>
    </w:pPr>
    <w:rPr>
      <w:sz w:val="22"/>
      <w:szCs w:val="22"/>
      <w:lang w:eastAsia="en-AU"/>
    </w:rPr>
    <w:tblPr>
      <w:tblBorders>
        <w:left w:val="single" w:sz="6" w:space="0" w:color="000000"/>
        <w:right w:val="single" w:sz="6" w:space="0" w:color="000000"/>
      </w:tblBorders>
      <w:tblCellMar>
        <w:top w:w="0" w:type="dxa"/>
        <w:left w:w="0" w:type="dxa"/>
        <w:bottom w:w="0" w:type="dxa"/>
        <w:right w:w="0" w:type="dxa"/>
      </w:tblCellMar>
    </w:tblPr>
  </w:style>
  <w:style w:type="table" w:styleId="TableTheme">
    <w:name w:val="Table Theme"/>
    <w:uiPriority w:val="99"/>
    <w:semiHidden/>
    <w:unhideWhenUsed/>
    <w:rsid w:val="00B825F7"/>
    <w:pPr>
      <w:spacing w:after="160" w:line="259" w:lineRule="auto"/>
    </w:pPr>
    <w:rPr>
      <w:sz w:val="22"/>
      <w:szCs w:val="22"/>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Web1">
    <w:name w:val="Table Web 1"/>
    <w:uiPriority w:val="99"/>
    <w:semiHidden/>
    <w:unhideWhenUsed/>
    <w:rsid w:val="00B825F7"/>
    <w:pPr>
      <w:spacing w:after="160" w:line="259" w:lineRule="auto"/>
    </w:pPr>
    <w:rPr>
      <w:sz w:val="22"/>
      <w:szCs w:val="22"/>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0" w:type="dxa"/>
        <w:bottom w:w="0" w:type="dxa"/>
        <w:right w:w="0" w:type="dxa"/>
      </w:tblCellMar>
    </w:tblPr>
    <w:trPr>
      <w:tblCellSpacing w:w="20" w:type="dxa"/>
    </w:trPr>
    <w:tcPr>
      <w:shd w:val="clear" w:color="auto" w:fill="auto"/>
    </w:tcPr>
  </w:style>
  <w:style w:type="table" w:styleId="TableWeb2">
    <w:name w:val="Table Web 2"/>
    <w:uiPriority w:val="99"/>
    <w:semiHidden/>
    <w:unhideWhenUsed/>
    <w:rsid w:val="00B825F7"/>
    <w:pPr>
      <w:spacing w:after="160" w:line="259" w:lineRule="auto"/>
    </w:pPr>
    <w:rPr>
      <w:sz w:val="22"/>
      <w:szCs w:val="22"/>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0" w:type="dxa"/>
        <w:bottom w:w="0" w:type="dxa"/>
        <w:right w:w="0" w:type="dxa"/>
      </w:tblCellMar>
    </w:tblPr>
    <w:trPr>
      <w:tblCellSpacing w:w="20" w:type="dxa"/>
    </w:trPr>
    <w:tcPr>
      <w:shd w:val="clear" w:color="auto" w:fill="auto"/>
    </w:tcPr>
  </w:style>
  <w:style w:type="table" w:styleId="TableWeb3">
    <w:name w:val="Table Web 3"/>
    <w:uiPriority w:val="99"/>
    <w:semiHidden/>
    <w:unhideWhenUsed/>
    <w:rsid w:val="00B825F7"/>
    <w:pPr>
      <w:spacing w:after="160" w:line="259" w:lineRule="auto"/>
    </w:pPr>
    <w:rPr>
      <w:sz w:val="22"/>
      <w:szCs w:val="22"/>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0" w:type="dxa"/>
        <w:bottom w:w="0" w:type="dxa"/>
        <w:right w:w="0" w:type="dxa"/>
      </w:tblCellMar>
    </w:tblPr>
    <w:trPr>
      <w:tblCellSpacing w:w="20" w:type="dxa"/>
    </w:trPr>
    <w:tcPr>
      <w:shd w:val="clear" w:color="auto" w:fill="auto"/>
    </w:tcPr>
  </w:style>
  <w:style w:type="paragraph" w:styleId="Title">
    <w:name w:val="Title"/>
    <w:next w:val="Normal"/>
    <w:link w:val="TitleChar"/>
    <w:uiPriority w:val="10"/>
    <w:qFormat/>
    <w:rsid w:val="00B825F7"/>
    <w:pPr>
      <w:spacing w:before="240" w:after="60"/>
      <w:jc w:val="center"/>
      <w:outlineLvl w:val="0"/>
    </w:pPr>
    <w:rPr>
      <w:rFonts w:eastAsia="Times New Roman" w:cs="Arial"/>
      <w:b/>
      <w:bCs/>
      <w:kern w:val="28"/>
      <w:sz w:val="32"/>
      <w:szCs w:val="32"/>
      <w:lang w:eastAsia="en-AU"/>
    </w:rPr>
  </w:style>
  <w:style w:type="character" w:customStyle="1" w:styleId="TitleChar">
    <w:name w:val="Title Char"/>
    <w:link w:val="Title"/>
    <w:uiPriority w:val="10"/>
    <w:rsid w:val="00B825F7"/>
    <w:rPr>
      <w:rFonts w:ascii="Arial" w:eastAsia="Times New Roman" w:hAnsi="Arial" w:cs="Arial"/>
      <w:b/>
      <w:bCs/>
      <w:kern w:val="28"/>
      <w:sz w:val="32"/>
      <w:szCs w:val="32"/>
    </w:rPr>
  </w:style>
  <w:style w:type="paragraph" w:styleId="TOAHeading">
    <w:name w:val="toa heading"/>
    <w:next w:val="Normal"/>
    <w:uiPriority w:val="99"/>
    <w:semiHidden/>
    <w:unhideWhenUsed/>
    <w:rsid w:val="00B825F7"/>
    <w:pPr>
      <w:spacing w:before="120"/>
    </w:pPr>
    <w:rPr>
      <w:rFonts w:eastAsia="Times New Roman" w:cs="Arial"/>
      <w:b/>
      <w:bCs/>
      <w:sz w:val="24"/>
      <w:szCs w:val="24"/>
      <w:lang w:eastAsia="en-AU"/>
    </w:rPr>
  </w:style>
  <w:style w:type="paragraph" w:styleId="TOC1">
    <w:name w:val="toc 1"/>
    <w:next w:val="Normal"/>
    <w:autoRedefine/>
    <w:uiPriority w:val="39"/>
    <w:unhideWhenUsed/>
    <w:rsid w:val="003470D2"/>
    <w:pPr>
      <w:tabs>
        <w:tab w:val="right" w:leader="dot" w:pos="9628"/>
      </w:tabs>
      <w:spacing w:before="240" w:after="120"/>
    </w:pPr>
    <w:rPr>
      <w:rFonts w:cs="Arial"/>
      <w:sz w:val="22"/>
      <w:szCs w:val="22"/>
      <w:lang w:eastAsia="en-AU"/>
    </w:rPr>
  </w:style>
  <w:style w:type="paragraph" w:styleId="TOC2">
    <w:name w:val="toc 2"/>
    <w:next w:val="Normal"/>
    <w:autoRedefine/>
    <w:uiPriority w:val="39"/>
    <w:unhideWhenUsed/>
    <w:rsid w:val="0050558A"/>
    <w:pPr>
      <w:tabs>
        <w:tab w:val="right" w:leader="dot" w:pos="9628"/>
      </w:tabs>
      <w:spacing w:after="120"/>
      <w:ind w:left="221"/>
    </w:pPr>
    <w:rPr>
      <w:rFonts w:cs="Arial"/>
      <w:sz w:val="22"/>
      <w:szCs w:val="22"/>
      <w:lang w:eastAsia="en-AU"/>
    </w:rPr>
  </w:style>
  <w:style w:type="paragraph" w:styleId="TOC3">
    <w:name w:val="toc 3"/>
    <w:next w:val="Normal"/>
    <w:autoRedefine/>
    <w:uiPriority w:val="39"/>
    <w:unhideWhenUsed/>
    <w:rsid w:val="003470D2"/>
    <w:pPr>
      <w:tabs>
        <w:tab w:val="right" w:leader="dot" w:pos="9628"/>
      </w:tabs>
      <w:spacing w:after="60"/>
      <w:ind w:left="442"/>
    </w:pPr>
    <w:rPr>
      <w:rFonts w:cs="Arial"/>
      <w:sz w:val="22"/>
      <w:szCs w:val="22"/>
      <w:lang w:eastAsia="en-AU"/>
    </w:rPr>
  </w:style>
  <w:style w:type="paragraph" w:styleId="TOC4">
    <w:name w:val="toc 4"/>
    <w:next w:val="Normal"/>
    <w:autoRedefine/>
    <w:uiPriority w:val="39"/>
    <w:semiHidden/>
    <w:unhideWhenUsed/>
    <w:rsid w:val="00B825F7"/>
    <w:pPr>
      <w:ind w:left="660"/>
    </w:pPr>
    <w:rPr>
      <w:rFonts w:cs="Arial"/>
      <w:sz w:val="22"/>
      <w:szCs w:val="22"/>
      <w:lang w:eastAsia="en-AU"/>
    </w:rPr>
  </w:style>
  <w:style w:type="paragraph" w:styleId="TOC5">
    <w:name w:val="toc 5"/>
    <w:next w:val="Normal"/>
    <w:autoRedefine/>
    <w:uiPriority w:val="39"/>
    <w:semiHidden/>
    <w:unhideWhenUsed/>
    <w:rsid w:val="00B825F7"/>
    <w:pPr>
      <w:ind w:left="880"/>
    </w:pPr>
    <w:rPr>
      <w:rFonts w:cs="Arial"/>
      <w:sz w:val="22"/>
      <w:szCs w:val="22"/>
      <w:lang w:eastAsia="en-AU"/>
    </w:rPr>
  </w:style>
  <w:style w:type="paragraph" w:styleId="TOC6">
    <w:name w:val="toc 6"/>
    <w:next w:val="Normal"/>
    <w:autoRedefine/>
    <w:uiPriority w:val="39"/>
    <w:semiHidden/>
    <w:unhideWhenUsed/>
    <w:rsid w:val="00B825F7"/>
    <w:pPr>
      <w:ind w:left="1100"/>
    </w:pPr>
    <w:rPr>
      <w:rFonts w:cs="Arial"/>
      <w:sz w:val="22"/>
      <w:szCs w:val="22"/>
      <w:lang w:eastAsia="en-AU"/>
    </w:rPr>
  </w:style>
  <w:style w:type="paragraph" w:styleId="TOC7">
    <w:name w:val="toc 7"/>
    <w:next w:val="Normal"/>
    <w:autoRedefine/>
    <w:uiPriority w:val="39"/>
    <w:semiHidden/>
    <w:unhideWhenUsed/>
    <w:rsid w:val="00B825F7"/>
    <w:pPr>
      <w:ind w:left="1320"/>
    </w:pPr>
    <w:rPr>
      <w:rFonts w:cs="Arial"/>
      <w:sz w:val="22"/>
      <w:szCs w:val="22"/>
      <w:lang w:eastAsia="en-AU"/>
    </w:rPr>
  </w:style>
  <w:style w:type="paragraph" w:styleId="TOC8">
    <w:name w:val="toc 8"/>
    <w:next w:val="Normal"/>
    <w:autoRedefine/>
    <w:uiPriority w:val="39"/>
    <w:semiHidden/>
    <w:unhideWhenUsed/>
    <w:rsid w:val="00B825F7"/>
    <w:pPr>
      <w:ind w:left="1540"/>
    </w:pPr>
    <w:rPr>
      <w:rFonts w:cs="Arial"/>
      <w:sz w:val="22"/>
      <w:szCs w:val="22"/>
      <w:lang w:eastAsia="en-AU"/>
    </w:rPr>
  </w:style>
  <w:style w:type="paragraph" w:styleId="TOC9">
    <w:name w:val="toc 9"/>
    <w:next w:val="Normal"/>
    <w:autoRedefine/>
    <w:uiPriority w:val="39"/>
    <w:semiHidden/>
    <w:unhideWhenUsed/>
    <w:rsid w:val="00B825F7"/>
    <w:pPr>
      <w:ind w:left="1760"/>
    </w:pPr>
    <w:rPr>
      <w:rFonts w:cs="Arial"/>
      <w:sz w:val="22"/>
      <w:szCs w:val="22"/>
      <w:lang w:eastAsia="en-AU"/>
    </w:rPr>
  </w:style>
  <w:style w:type="paragraph" w:customStyle="1" w:styleId="GridTable32">
    <w:name w:val="Grid Table 32"/>
    <w:next w:val="Normal"/>
    <w:uiPriority w:val="39"/>
    <w:unhideWhenUsed/>
    <w:qFormat/>
    <w:rsid w:val="00B825F7"/>
    <w:rPr>
      <w:rFonts w:eastAsia="Times New Roman" w:cs="Arial"/>
      <w:b/>
      <w:bCs/>
      <w:kern w:val="32"/>
      <w:sz w:val="32"/>
      <w:szCs w:val="32"/>
      <w:lang w:eastAsia="en-AU"/>
    </w:rPr>
  </w:style>
  <w:style w:type="paragraph" w:customStyle="1" w:styleId="Tabletext">
    <w:name w:val="Table text"/>
    <w:basedOn w:val="BodyText"/>
    <w:link w:val="TabletextChar"/>
    <w:rsid w:val="007A19C4"/>
    <w:pPr>
      <w:spacing w:after="0"/>
    </w:pPr>
    <w:rPr>
      <w:rFonts w:eastAsia="Times New Roman" w:cs="Times New Roman"/>
      <w:sz w:val="20"/>
      <w:szCs w:val="20"/>
      <w:lang w:eastAsia="en-US"/>
    </w:rPr>
  </w:style>
  <w:style w:type="character" w:customStyle="1" w:styleId="TabletextChar">
    <w:name w:val="Table text Char"/>
    <w:link w:val="Tabletext"/>
    <w:locked/>
    <w:rsid w:val="007A19C4"/>
    <w:rPr>
      <w:rFonts w:eastAsia="Times New Roman"/>
      <w:lang w:eastAsia="en-US"/>
    </w:rPr>
  </w:style>
  <w:style w:type="paragraph" w:customStyle="1" w:styleId="Tableheading1">
    <w:name w:val="Table heading 1"/>
    <w:basedOn w:val="Tabletext"/>
    <w:rsid w:val="007A19C4"/>
    <w:rPr>
      <w:b/>
      <w:color w:val="FFFFFF"/>
    </w:rPr>
  </w:style>
  <w:style w:type="paragraph" w:customStyle="1" w:styleId="Tableheading">
    <w:name w:val="Table heading"/>
    <w:basedOn w:val="Normal"/>
    <w:next w:val="Normal"/>
    <w:link w:val="TableheadingChar"/>
    <w:rsid w:val="007F7F7D"/>
    <w:pPr>
      <w:keepNext/>
      <w:keepLines/>
      <w:spacing w:before="40" w:after="20"/>
    </w:pPr>
    <w:rPr>
      <w:rFonts w:eastAsia="Times New Roman" w:cs="Times New Roman"/>
      <w:b/>
      <w:iCs/>
      <w:sz w:val="20"/>
      <w:szCs w:val="20"/>
    </w:rPr>
  </w:style>
  <w:style w:type="character" w:customStyle="1" w:styleId="TableheadingChar">
    <w:name w:val="Table heading Char"/>
    <w:link w:val="Tableheading"/>
    <w:locked/>
    <w:rsid w:val="007F7F7D"/>
    <w:rPr>
      <w:rFonts w:eastAsia="Times New Roman"/>
      <w:b/>
      <w:iCs/>
      <w:lang w:eastAsia="en-AU"/>
    </w:rPr>
  </w:style>
  <w:style w:type="paragraph" w:customStyle="1" w:styleId="Notesheading">
    <w:name w:val="Notes heading"/>
    <w:basedOn w:val="BodyText"/>
    <w:link w:val="NotesheadingChar"/>
    <w:qFormat/>
    <w:rsid w:val="0004018E"/>
    <w:pPr>
      <w:keepNext/>
      <w:spacing w:before="240"/>
    </w:pPr>
    <w:rPr>
      <w:rFonts w:eastAsia="Times New Roman"/>
      <w:b/>
      <w:bCs/>
      <w:i/>
      <w:sz w:val="20"/>
      <w:szCs w:val="20"/>
    </w:rPr>
  </w:style>
  <w:style w:type="character" w:customStyle="1" w:styleId="NotesheadingChar">
    <w:name w:val="Notes heading Char"/>
    <w:link w:val="Notesheading"/>
    <w:rsid w:val="0004018E"/>
    <w:rPr>
      <w:rFonts w:eastAsia="Times New Roman" w:cs="Arial"/>
      <w:b/>
      <w:bCs/>
      <w:i/>
      <w:lang w:eastAsia="en-AU"/>
    </w:rPr>
  </w:style>
  <w:style w:type="paragraph" w:customStyle="1" w:styleId="BodyText-List">
    <w:name w:val="Body Text - List"/>
    <w:basedOn w:val="BodyText"/>
    <w:link w:val="BodyText-ListChar"/>
    <w:rsid w:val="00156C26"/>
    <w:pPr>
      <w:numPr>
        <w:numId w:val="18"/>
      </w:numPr>
      <w:spacing w:before="120" w:after="0"/>
    </w:pPr>
    <w:rPr>
      <w:rFonts w:eastAsia="Times New Roman"/>
      <w:sz w:val="20"/>
      <w:lang w:eastAsia="en-US"/>
    </w:rPr>
  </w:style>
  <w:style w:type="character" w:customStyle="1" w:styleId="BodyText-ListChar">
    <w:name w:val="Body Text - List Char"/>
    <w:link w:val="BodyText-List"/>
    <w:rsid w:val="00156C26"/>
    <w:rPr>
      <w:rFonts w:eastAsia="Times New Roman" w:cs="Arial"/>
      <w:szCs w:val="22"/>
      <w:lang w:eastAsia="en-US"/>
    </w:rPr>
  </w:style>
  <w:style w:type="paragraph" w:customStyle="1" w:styleId="Imprint">
    <w:name w:val="Imprint"/>
    <w:basedOn w:val="Normal"/>
    <w:qFormat/>
    <w:rsid w:val="00525810"/>
    <w:rPr>
      <w:sz w:val="18"/>
      <w:szCs w:val="18"/>
    </w:rPr>
  </w:style>
  <w:style w:type="paragraph" w:customStyle="1" w:styleId="Notes">
    <w:name w:val="Notes"/>
    <w:basedOn w:val="Normal"/>
    <w:link w:val="NotesChar"/>
    <w:qFormat/>
    <w:rsid w:val="0003770C"/>
    <w:pPr>
      <w:ind w:left="357" w:hanging="357"/>
    </w:pPr>
    <w:rPr>
      <w:sz w:val="20"/>
      <w:szCs w:val="20"/>
    </w:rPr>
  </w:style>
  <w:style w:type="paragraph" w:customStyle="1" w:styleId="OGTabHead">
    <w:name w:val="OGTabHead"/>
    <w:basedOn w:val="Normal"/>
    <w:rsid w:val="005910D5"/>
    <w:pPr>
      <w:keepNext/>
      <w:keepLines/>
      <w:spacing w:before="30" w:after="30"/>
    </w:pPr>
    <w:rPr>
      <w:rFonts w:ascii="Calibri" w:eastAsia="Times New Roman" w:hAnsi="Calibri" w:cs="Times New Roman"/>
      <w:i/>
      <w:sz w:val="20"/>
      <w:szCs w:val="18"/>
      <w:lang w:eastAsia="en-US"/>
    </w:rPr>
  </w:style>
  <w:style w:type="character" w:customStyle="1" w:styleId="NotesChar">
    <w:name w:val="Notes Char"/>
    <w:link w:val="Notes"/>
    <w:rsid w:val="0003770C"/>
    <w:rPr>
      <w:rFonts w:cs="Arial"/>
    </w:rPr>
  </w:style>
  <w:style w:type="paragraph" w:customStyle="1" w:styleId="OGUoM">
    <w:name w:val="OGUoM"/>
    <w:basedOn w:val="Normal"/>
    <w:rsid w:val="005910D5"/>
    <w:pPr>
      <w:spacing w:before="30" w:after="30"/>
      <w:jc w:val="center"/>
    </w:pPr>
    <w:rPr>
      <w:rFonts w:ascii="Calibri" w:eastAsia="Times New Roman" w:hAnsi="Calibri" w:cs="Times New Roman"/>
      <w:sz w:val="20"/>
      <w:szCs w:val="18"/>
      <w:lang w:eastAsia="en-US"/>
    </w:rPr>
  </w:style>
  <w:style w:type="paragraph" w:customStyle="1" w:styleId="OGTableofFigures">
    <w:name w:val="OGTable of Figures"/>
    <w:basedOn w:val="TableofFigures"/>
    <w:rsid w:val="005910D5"/>
    <w:pPr>
      <w:spacing w:before="30" w:after="30"/>
      <w:jc w:val="right"/>
    </w:pPr>
    <w:rPr>
      <w:rFonts w:ascii="Calibri" w:eastAsia="Times New Roman" w:hAnsi="Calibri" w:cs="Times New Roman"/>
      <w:sz w:val="20"/>
      <w:szCs w:val="18"/>
      <w:lang w:eastAsia="en-US"/>
    </w:rPr>
  </w:style>
  <w:style w:type="paragraph" w:customStyle="1" w:styleId="OGTabText">
    <w:name w:val="OGTabText"/>
    <w:basedOn w:val="Normal"/>
    <w:link w:val="OGTabTextChar"/>
    <w:rsid w:val="005910D5"/>
    <w:pPr>
      <w:spacing w:before="30" w:after="30"/>
      <w:ind w:left="144"/>
    </w:pPr>
    <w:rPr>
      <w:rFonts w:ascii="Calibri" w:eastAsia="Times New Roman" w:hAnsi="Calibri" w:cs="Times New Roman"/>
      <w:sz w:val="20"/>
      <w:szCs w:val="18"/>
      <w:lang w:eastAsia="en-US"/>
    </w:rPr>
  </w:style>
  <w:style w:type="character" w:customStyle="1" w:styleId="OGTabTextChar">
    <w:name w:val="OGTabText Char"/>
    <w:link w:val="OGTabText"/>
    <w:rsid w:val="005910D5"/>
    <w:rPr>
      <w:rFonts w:ascii="Calibri" w:eastAsia="Times New Roman" w:hAnsi="Calibri"/>
      <w:szCs w:val="18"/>
      <w:lang w:eastAsia="en-US"/>
    </w:rPr>
  </w:style>
  <w:style w:type="paragraph" w:customStyle="1" w:styleId="Indentnormal">
    <w:name w:val="Indent normal"/>
    <w:basedOn w:val="ListBullet"/>
    <w:link w:val="IndentnormalChar"/>
    <w:qFormat/>
    <w:rsid w:val="00266E6D"/>
    <w:pPr>
      <w:numPr>
        <w:numId w:val="0"/>
      </w:numPr>
      <w:ind w:left="357"/>
    </w:pPr>
  </w:style>
  <w:style w:type="paragraph" w:customStyle="1" w:styleId="Default">
    <w:name w:val="Default"/>
    <w:rsid w:val="00017C09"/>
    <w:pPr>
      <w:autoSpaceDE w:val="0"/>
      <w:autoSpaceDN w:val="0"/>
      <w:adjustRightInd w:val="0"/>
    </w:pPr>
    <w:rPr>
      <w:rFonts w:cs="Arial"/>
      <w:color w:val="000000"/>
      <w:sz w:val="24"/>
      <w:szCs w:val="24"/>
      <w:lang w:eastAsia="en-AU"/>
    </w:rPr>
  </w:style>
  <w:style w:type="character" w:customStyle="1" w:styleId="ListBulletChar">
    <w:name w:val="List Bullet Char"/>
    <w:link w:val="ListBullet"/>
    <w:uiPriority w:val="99"/>
    <w:rsid w:val="00266E6D"/>
    <w:rPr>
      <w:rFonts w:cs="Arial"/>
      <w:sz w:val="22"/>
      <w:szCs w:val="22"/>
    </w:rPr>
  </w:style>
  <w:style w:type="character" w:customStyle="1" w:styleId="IndentnormalChar">
    <w:name w:val="Indent normal Char"/>
    <w:basedOn w:val="ListBulletChar"/>
    <w:link w:val="Indentnormal"/>
    <w:rsid w:val="00266E6D"/>
    <w:rPr>
      <w:rFonts w:cs="Arial"/>
      <w:sz w:val="22"/>
      <w:szCs w:val="22"/>
    </w:rPr>
  </w:style>
  <w:style w:type="character" w:customStyle="1" w:styleId="QuoteChar">
    <w:name w:val="Quote Char"/>
    <w:link w:val="Quote"/>
    <w:uiPriority w:val="29"/>
    <w:rsid w:val="005D2D25"/>
    <w:rPr>
      <w:rFonts w:cs="Arial"/>
      <w:i/>
      <w:iCs/>
      <w:color w:val="404040"/>
      <w:sz w:val="22"/>
      <w:szCs w:val="22"/>
    </w:rPr>
  </w:style>
  <w:style w:type="paragraph" w:styleId="ListParagraph">
    <w:name w:val="List Paragraph"/>
    <w:basedOn w:val="Normal"/>
    <w:uiPriority w:val="72"/>
    <w:qFormat/>
    <w:rsid w:val="009C1FA4"/>
    <w:pPr>
      <w:ind w:left="720"/>
      <w:contextualSpacing/>
    </w:pPr>
  </w:style>
  <w:style w:type="paragraph" w:styleId="Revision">
    <w:name w:val="Revision"/>
    <w:hidden/>
    <w:uiPriority w:val="71"/>
    <w:semiHidden/>
    <w:rsid w:val="004773FB"/>
    <w:rPr>
      <w:rFonts w:cs="Arial"/>
      <w:sz w:val="22"/>
      <w:szCs w:val="22"/>
      <w:lang w:eastAsia="en-AU"/>
    </w:rPr>
  </w:style>
  <w:style w:type="paragraph" w:customStyle="1" w:styleId="NumberList1">
    <w:name w:val="Number List 1"/>
    <w:uiPriority w:val="99"/>
    <w:rsid w:val="00463EC2"/>
    <w:pPr>
      <w:numPr>
        <w:numId w:val="44"/>
      </w:numPr>
      <w:spacing w:before="160" w:after="200"/>
    </w:pPr>
    <w:rPr>
      <w:rFonts w:eastAsia="Times New Roman"/>
      <w:sz w:val="22"/>
      <w:lang w:eastAsia="en-AU"/>
    </w:rPr>
  </w:style>
  <w:style w:type="paragraph" w:customStyle="1" w:styleId="NumberList2">
    <w:name w:val="Number List 2"/>
    <w:uiPriority w:val="99"/>
    <w:rsid w:val="00463EC2"/>
    <w:pPr>
      <w:numPr>
        <w:ilvl w:val="1"/>
        <w:numId w:val="44"/>
      </w:numPr>
      <w:spacing w:before="160" w:after="200"/>
    </w:pPr>
    <w:rPr>
      <w:rFonts w:eastAsia="Times New Roman"/>
      <w:sz w:val="22"/>
      <w:lang w:eastAsia="en-AU"/>
    </w:rPr>
  </w:style>
  <w:style w:type="paragraph" w:customStyle="1" w:styleId="NumberList3">
    <w:name w:val="Number List 3"/>
    <w:basedOn w:val="Normal"/>
    <w:uiPriority w:val="99"/>
    <w:rsid w:val="00463EC2"/>
    <w:pPr>
      <w:numPr>
        <w:ilvl w:val="2"/>
        <w:numId w:val="44"/>
      </w:numPr>
      <w:spacing w:before="160" w:after="200"/>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99268">
      <w:bodyDiv w:val="1"/>
      <w:marLeft w:val="0"/>
      <w:marRight w:val="0"/>
      <w:marTop w:val="0"/>
      <w:marBottom w:val="0"/>
      <w:divBdr>
        <w:top w:val="none" w:sz="0" w:space="0" w:color="auto"/>
        <w:left w:val="none" w:sz="0" w:space="0" w:color="auto"/>
        <w:bottom w:val="none" w:sz="0" w:space="0" w:color="auto"/>
        <w:right w:val="none" w:sz="0" w:space="0" w:color="auto"/>
      </w:divBdr>
    </w:div>
    <w:div w:id="174077768">
      <w:bodyDiv w:val="1"/>
      <w:marLeft w:val="0"/>
      <w:marRight w:val="0"/>
      <w:marTop w:val="0"/>
      <w:marBottom w:val="0"/>
      <w:divBdr>
        <w:top w:val="none" w:sz="0" w:space="0" w:color="auto"/>
        <w:left w:val="none" w:sz="0" w:space="0" w:color="auto"/>
        <w:bottom w:val="none" w:sz="0" w:space="0" w:color="auto"/>
        <w:right w:val="none" w:sz="0" w:space="0" w:color="auto"/>
      </w:divBdr>
    </w:div>
    <w:div w:id="203444622">
      <w:bodyDiv w:val="1"/>
      <w:marLeft w:val="0"/>
      <w:marRight w:val="0"/>
      <w:marTop w:val="0"/>
      <w:marBottom w:val="0"/>
      <w:divBdr>
        <w:top w:val="none" w:sz="0" w:space="0" w:color="auto"/>
        <w:left w:val="none" w:sz="0" w:space="0" w:color="auto"/>
        <w:bottom w:val="none" w:sz="0" w:space="0" w:color="auto"/>
        <w:right w:val="none" w:sz="0" w:space="0" w:color="auto"/>
      </w:divBdr>
      <w:divsChild>
        <w:div w:id="573709881">
          <w:marLeft w:val="0"/>
          <w:marRight w:val="0"/>
          <w:marTop w:val="0"/>
          <w:marBottom w:val="0"/>
          <w:divBdr>
            <w:top w:val="none" w:sz="0" w:space="0" w:color="auto"/>
            <w:left w:val="none" w:sz="0" w:space="0" w:color="auto"/>
            <w:bottom w:val="none" w:sz="0" w:space="0" w:color="auto"/>
            <w:right w:val="none" w:sz="0" w:space="0" w:color="auto"/>
          </w:divBdr>
          <w:divsChild>
            <w:div w:id="973870222">
              <w:marLeft w:val="0"/>
              <w:marRight w:val="0"/>
              <w:marTop w:val="0"/>
              <w:marBottom w:val="0"/>
              <w:divBdr>
                <w:top w:val="none" w:sz="0" w:space="0" w:color="auto"/>
                <w:left w:val="none" w:sz="0" w:space="0" w:color="auto"/>
                <w:bottom w:val="none" w:sz="0" w:space="0" w:color="auto"/>
                <w:right w:val="none" w:sz="0" w:space="0" w:color="auto"/>
              </w:divBdr>
              <w:divsChild>
                <w:div w:id="960264192">
                  <w:marLeft w:val="0"/>
                  <w:marRight w:val="0"/>
                  <w:marTop w:val="0"/>
                  <w:marBottom w:val="0"/>
                  <w:divBdr>
                    <w:top w:val="none" w:sz="0" w:space="0" w:color="auto"/>
                    <w:left w:val="none" w:sz="0" w:space="0" w:color="auto"/>
                    <w:bottom w:val="none" w:sz="0" w:space="0" w:color="auto"/>
                    <w:right w:val="none" w:sz="0" w:space="0" w:color="auto"/>
                  </w:divBdr>
                  <w:divsChild>
                    <w:div w:id="1738355583">
                      <w:marLeft w:val="0"/>
                      <w:marRight w:val="0"/>
                      <w:marTop w:val="0"/>
                      <w:marBottom w:val="0"/>
                      <w:divBdr>
                        <w:top w:val="none" w:sz="0" w:space="0" w:color="auto"/>
                        <w:left w:val="none" w:sz="0" w:space="0" w:color="auto"/>
                        <w:bottom w:val="none" w:sz="0" w:space="0" w:color="auto"/>
                        <w:right w:val="none" w:sz="0" w:space="0" w:color="auto"/>
                      </w:divBdr>
                      <w:divsChild>
                        <w:div w:id="2142573008">
                          <w:marLeft w:val="0"/>
                          <w:marRight w:val="0"/>
                          <w:marTop w:val="0"/>
                          <w:marBottom w:val="0"/>
                          <w:divBdr>
                            <w:top w:val="none" w:sz="0" w:space="0" w:color="auto"/>
                            <w:left w:val="none" w:sz="0" w:space="0" w:color="auto"/>
                            <w:bottom w:val="none" w:sz="0" w:space="0" w:color="auto"/>
                            <w:right w:val="none" w:sz="0" w:space="0" w:color="auto"/>
                          </w:divBdr>
                          <w:divsChild>
                            <w:div w:id="860898492">
                              <w:marLeft w:val="0"/>
                              <w:marRight w:val="0"/>
                              <w:marTop w:val="0"/>
                              <w:marBottom w:val="0"/>
                              <w:divBdr>
                                <w:top w:val="none" w:sz="0" w:space="0" w:color="auto"/>
                                <w:left w:val="none" w:sz="0" w:space="0" w:color="auto"/>
                                <w:bottom w:val="none" w:sz="0" w:space="0" w:color="auto"/>
                                <w:right w:val="none" w:sz="0" w:space="0" w:color="auto"/>
                              </w:divBdr>
                              <w:divsChild>
                                <w:div w:id="57753239">
                                  <w:marLeft w:val="165"/>
                                  <w:marRight w:val="165"/>
                                  <w:marTop w:val="0"/>
                                  <w:marBottom w:val="330"/>
                                  <w:divBdr>
                                    <w:top w:val="none" w:sz="0" w:space="0" w:color="auto"/>
                                    <w:left w:val="none" w:sz="0" w:space="0" w:color="auto"/>
                                    <w:bottom w:val="none" w:sz="0" w:space="0" w:color="auto"/>
                                    <w:right w:val="none" w:sz="0" w:space="0" w:color="auto"/>
                                  </w:divBdr>
                                  <w:divsChild>
                                    <w:div w:id="1035157505">
                                      <w:marLeft w:val="0"/>
                                      <w:marRight w:val="0"/>
                                      <w:marTop w:val="0"/>
                                      <w:marBottom w:val="0"/>
                                      <w:divBdr>
                                        <w:top w:val="none" w:sz="0" w:space="0" w:color="auto"/>
                                        <w:left w:val="none" w:sz="0" w:space="0" w:color="auto"/>
                                        <w:bottom w:val="none" w:sz="0" w:space="0" w:color="auto"/>
                                        <w:right w:val="none" w:sz="0" w:space="0" w:color="auto"/>
                                      </w:divBdr>
                                      <w:divsChild>
                                        <w:div w:id="17770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2856170">
      <w:bodyDiv w:val="1"/>
      <w:marLeft w:val="0"/>
      <w:marRight w:val="0"/>
      <w:marTop w:val="0"/>
      <w:marBottom w:val="0"/>
      <w:divBdr>
        <w:top w:val="none" w:sz="0" w:space="0" w:color="auto"/>
        <w:left w:val="none" w:sz="0" w:space="0" w:color="auto"/>
        <w:bottom w:val="none" w:sz="0" w:space="0" w:color="auto"/>
        <w:right w:val="none" w:sz="0" w:space="0" w:color="auto"/>
      </w:divBdr>
    </w:div>
    <w:div w:id="767584660">
      <w:bodyDiv w:val="1"/>
      <w:marLeft w:val="0"/>
      <w:marRight w:val="0"/>
      <w:marTop w:val="0"/>
      <w:marBottom w:val="0"/>
      <w:divBdr>
        <w:top w:val="none" w:sz="0" w:space="0" w:color="auto"/>
        <w:left w:val="none" w:sz="0" w:space="0" w:color="auto"/>
        <w:bottom w:val="none" w:sz="0" w:space="0" w:color="auto"/>
        <w:right w:val="none" w:sz="0" w:space="0" w:color="auto"/>
      </w:divBdr>
    </w:div>
    <w:div w:id="823818587">
      <w:bodyDiv w:val="1"/>
      <w:marLeft w:val="0"/>
      <w:marRight w:val="0"/>
      <w:marTop w:val="0"/>
      <w:marBottom w:val="0"/>
      <w:divBdr>
        <w:top w:val="none" w:sz="0" w:space="0" w:color="auto"/>
        <w:left w:val="none" w:sz="0" w:space="0" w:color="auto"/>
        <w:bottom w:val="none" w:sz="0" w:space="0" w:color="auto"/>
        <w:right w:val="none" w:sz="0" w:space="0" w:color="auto"/>
      </w:divBdr>
    </w:div>
    <w:div w:id="992375605">
      <w:bodyDiv w:val="1"/>
      <w:marLeft w:val="0"/>
      <w:marRight w:val="0"/>
      <w:marTop w:val="0"/>
      <w:marBottom w:val="0"/>
      <w:divBdr>
        <w:top w:val="none" w:sz="0" w:space="0" w:color="auto"/>
        <w:left w:val="none" w:sz="0" w:space="0" w:color="auto"/>
        <w:bottom w:val="none" w:sz="0" w:space="0" w:color="auto"/>
        <w:right w:val="none" w:sz="0" w:space="0" w:color="auto"/>
      </w:divBdr>
    </w:div>
    <w:div w:id="1058749875">
      <w:bodyDiv w:val="1"/>
      <w:marLeft w:val="0"/>
      <w:marRight w:val="0"/>
      <w:marTop w:val="0"/>
      <w:marBottom w:val="0"/>
      <w:divBdr>
        <w:top w:val="none" w:sz="0" w:space="0" w:color="auto"/>
        <w:left w:val="none" w:sz="0" w:space="0" w:color="auto"/>
        <w:bottom w:val="none" w:sz="0" w:space="0" w:color="auto"/>
        <w:right w:val="none" w:sz="0" w:space="0" w:color="auto"/>
      </w:divBdr>
    </w:div>
    <w:div w:id="1107702945">
      <w:bodyDiv w:val="1"/>
      <w:marLeft w:val="0"/>
      <w:marRight w:val="0"/>
      <w:marTop w:val="0"/>
      <w:marBottom w:val="0"/>
      <w:divBdr>
        <w:top w:val="none" w:sz="0" w:space="0" w:color="auto"/>
        <w:left w:val="none" w:sz="0" w:space="0" w:color="auto"/>
        <w:bottom w:val="none" w:sz="0" w:space="0" w:color="auto"/>
        <w:right w:val="none" w:sz="0" w:space="0" w:color="auto"/>
      </w:divBdr>
    </w:div>
    <w:div w:id="1196456200">
      <w:bodyDiv w:val="1"/>
      <w:marLeft w:val="0"/>
      <w:marRight w:val="0"/>
      <w:marTop w:val="0"/>
      <w:marBottom w:val="0"/>
      <w:divBdr>
        <w:top w:val="none" w:sz="0" w:space="0" w:color="auto"/>
        <w:left w:val="none" w:sz="0" w:space="0" w:color="auto"/>
        <w:bottom w:val="none" w:sz="0" w:space="0" w:color="auto"/>
        <w:right w:val="none" w:sz="0" w:space="0" w:color="auto"/>
      </w:divBdr>
    </w:div>
    <w:div w:id="1235704766">
      <w:bodyDiv w:val="1"/>
      <w:marLeft w:val="0"/>
      <w:marRight w:val="0"/>
      <w:marTop w:val="0"/>
      <w:marBottom w:val="0"/>
      <w:divBdr>
        <w:top w:val="none" w:sz="0" w:space="0" w:color="auto"/>
        <w:left w:val="none" w:sz="0" w:space="0" w:color="auto"/>
        <w:bottom w:val="none" w:sz="0" w:space="0" w:color="auto"/>
        <w:right w:val="none" w:sz="0" w:space="0" w:color="auto"/>
      </w:divBdr>
    </w:div>
    <w:div w:id="1463498084">
      <w:bodyDiv w:val="1"/>
      <w:marLeft w:val="0"/>
      <w:marRight w:val="0"/>
      <w:marTop w:val="0"/>
      <w:marBottom w:val="0"/>
      <w:divBdr>
        <w:top w:val="none" w:sz="0" w:space="0" w:color="auto"/>
        <w:left w:val="none" w:sz="0" w:space="0" w:color="auto"/>
        <w:bottom w:val="none" w:sz="0" w:space="0" w:color="auto"/>
        <w:right w:val="none" w:sz="0" w:space="0" w:color="auto"/>
      </w:divBdr>
    </w:div>
    <w:div w:id="1468353092">
      <w:bodyDiv w:val="1"/>
      <w:marLeft w:val="0"/>
      <w:marRight w:val="0"/>
      <w:marTop w:val="0"/>
      <w:marBottom w:val="0"/>
      <w:divBdr>
        <w:top w:val="none" w:sz="0" w:space="0" w:color="auto"/>
        <w:left w:val="none" w:sz="0" w:space="0" w:color="auto"/>
        <w:bottom w:val="none" w:sz="0" w:space="0" w:color="auto"/>
        <w:right w:val="none" w:sz="0" w:space="0" w:color="auto"/>
      </w:divBdr>
    </w:div>
    <w:div w:id="1546992204">
      <w:bodyDiv w:val="1"/>
      <w:marLeft w:val="0"/>
      <w:marRight w:val="0"/>
      <w:marTop w:val="0"/>
      <w:marBottom w:val="0"/>
      <w:divBdr>
        <w:top w:val="none" w:sz="0" w:space="0" w:color="auto"/>
        <w:left w:val="none" w:sz="0" w:space="0" w:color="auto"/>
        <w:bottom w:val="none" w:sz="0" w:space="0" w:color="auto"/>
        <w:right w:val="none" w:sz="0" w:space="0" w:color="auto"/>
      </w:divBdr>
    </w:div>
    <w:div w:id="1581401480">
      <w:bodyDiv w:val="1"/>
      <w:marLeft w:val="0"/>
      <w:marRight w:val="0"/>
      <w:marTop w:val="0"/>
      <w:marBottom w:val="0"/>
      <w:divBdr>
        <w:top w:val="none" w:sz="0" w:space="0" w:color="auto"/>
        <w:left w:val="none" w:sz="0" w:space="0" w:color="auto"/>
        <w:bottom w:val="none" w:sz="0" w:space="0" w:color="auto"/>
        <w:right w:val="none" w:sz="0" w:space="0" w:color="auto"/>
      </w:divBdr>
    </w:div>
    <w:div w:id="1610425683">
      <w:bodyDiv w:val="1"/>
      <w:marLeft w:val="0"/>
      <w:marRight w:val="0"/>
      <w:marTop w:val="0"/>
      <w:marBottom w:val="0"/>
      <w:divBdr>
        <w:top w:val="none" w:sz="0" w:space="0" w:color="auto"/>
        <w:left w:val="none" w:sz="0" w:space="0" w:color="auto"/>
        <w:bottom w:val="none" w:sz="0" w:space="0" w:color="auto"/>
        <w:right w:val="none" w:sz="0" w:space="0" w:color="auto"/>
      </w:divBdr>
    </w:div>
    <w:div w:id="1621835925">
      <w:bodyDiv w:val="1"/>
      <w:marLeft w:val="0"/>
      <w:marRight w:val="0"/>
      <w:marTop w:val="0"/>
      <w:marBottom w:val="0"/>
      <w:divBdr>
        <w:top w:val="none" w:sz="0" w:space="0" w:color="auto"/>
        <w:left w:val="none" w:sz="0" w:space="0" w:color="auto"/>
        <w:bottom w:val="none" w:sz="0" w:space="0" w:color="auto"/>
        <w:right w:val="none" w:sz="0" w:space="0" w:color="auto"/>
      </w:divBdr>
    </w:div>
    <w:div w:id="1752696321">
      <w:bodyDiv w:val="1"/>
      <w:marLeft w:val="0"/>
      <w:marRight w:val="0"/>
      <w:marTop w:val="0"/>
      <w:marBottom w:val="0"/>
      <w:divBdr>
        <w:top w:val="none" w:sz="0" w:space="0" w:color="auto"/>
        <w:left w:val="none" w:sz="0" w:space="0" w:color="auto"/>
        <w:bottom w:val="none" w:sz="0" w:space="0" w:color="auto"/>
        <w:right w:val="none" w:sz="0" w:space="0" w:color="auto"/>
      </w:divBdr>
    </w:div>
    <w:div w:id="1807813674">
      <w:bodyDiv w:val="1"/>
      <w:marLeft w:val="0"/>
      <w:marRight w:val="0"/>
      <w:marTop w:val="0"/>
      <w:marBottom w:val="0"/>
      <w:divBdr>
        <w:top w:val="none" w:sz="0" w:space="0" w:color="auto"/>
        <w:left w:val="none" w:sz="0" w:space="0" w:color="auto"/>
        <w:bottom w:val="none" w:sz="0" w:space="0" w:color="auto"/>
        <w:right w:val="none" w:sz="0" w:space="0" w:color="auto"/>
      </w:divBdr>
    </w:div>
    <w:div w:id="1871794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eedback@courts.vic.gov.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bac.vic.gov.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oi.vic.gov.au" TargetMode="External"/><Relationship Id="rId4" Type="http://schemas.openxmlformats.org/officeDocument/2006/relationships/settings" Target="settings.xml"/><Relationship Id="rId9" Type="http://schemas.openxmlformats.org/officeDocument/2006/relationships/hyperlink" Target="http://www.foi.vic.gov.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235EA1-8D0B-4849-A102-E6B3CCA6F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48</Pages>
  <Words>16426</Words>
  <Characters>93630</Characters>
  <Application>Microsoft Office Word</Application>
  <DocSecurity>0</DocSecurity>
  <Lines>780</Lines>
  <Paragraphs>219</Paragraphs>
  <ScaleCrop>false</ScaleCrop>
  <HeadingPairs>
    <vt:vector size="4" baseType="variant">
      <vt:variant>
        <vt:lpstr>Title</vt:lpstr>
      </vt:variant>
      <vt:variant>
        <vt:i4>1</vt:i4>
      </vt:variant>
      <vt:variant>
        <vt:lpstr>Headings</vt:lpstr>
      </vt:variant>
      <vt:variant>
        <vt:i4>74</vt:i4>
      </vt:variant>
    </vt:vector>
  </HeadingPairs>
  <TitlesOfParts>
    <vt:vector size="75" baseType="lpstr">
      <vt:lpstr/>
      <vt:lpstr>Court Services Victoria</vt:lpstr>
      <vt:lpstr>Annual Report 2015-16</vt:lpstr>
      <vt:lpstr>        Responsible Body’s Declaration</vt:lpstr>
      <vt:lpstr>    Message from the Chair</vt:lpstr>
      <vt:lpstr>        Consolidation</vt:lpstr>
      <vt:lpstr>        Technology</vt:lpstr>
      <vt:lpstr>        Finance</vt:lpstr>
      <vt:lpstr>        Independence</vt:lpstr>
      <vt:lpstr>        Acknowledgements</vt:lpstr>
      <vt:lpstr>    Message from the Chief Executive Officer</vt:lpstr>
      <vt:lpstr>        The key highlights for 2015-16 </vt:lpstr>
      <vt:lpstr>        Moving forward</vt:lpstr>
      <vt:lpstr>SECTION 1: GOVERNANCE AND ORGANISATIONAL STRUCTURE</vt:lpstr>
      <vt:lpstr>    About Court Services Victoria</vt:lpstr>
      <vt:lpstr>        Purpose, Functions and Powers</vt:lpstr>
      <vt:lpstr>        Role with Respect to the Jurisdictions </vt:lpstr>
      <vt:lpstr>        Manner of Establishment, Relevant Minister and Communities Served</vt:lpstr>
      <vt:lpstr>    Organisational Structure and Corporate Governance Arrangements</vt:lpstr>
      <vt:lpstr>    Governing Body</vt:lpstr>
      <vt:lpstr>        Courts Council</vt:lpstr>
      <vt:lpstr>        Courts Council Members</vt:lpstr>
      <vt:lpstr>        Committees</vt:lpstr>
      <vt:lpstr>    Senior Executive</vt:lpstr>
      <vt:lpstr>        Court Services Victoria Chief Executive Officer</vt:lpstr>
      <vt:lpstr>        Operational Divisions</vt:lpstr>
      <vt:lpstr>        Jurisdiction Chief Executive Officers</vt:lpstr>
      <vt:lpstr>SECTION 2: YEAR IN REVIEW</vt:lpstr>
      <vt:lpstr>    Corporate Services Division</vt:lpstr>
      <vt:lpstr>        Victorian Government Reporting Service</vt:lpstr>
      <vt:lpstr>        People and Culture</vt:lpstr>
      <vt:lpstr>    Financial Analysis, Planning and Reporting Division</vt:lpstr>
      <vt:lpstr>        Finance</vt:lpstr>
      <vt:lpstr>        Strategic Analysis and Review </vt:lpstr>
      <vt:lpstr>        Procurement </vt:lpstr>
      <vt:lpstr>        Responding to Challenges</vt:lpstr>
      <vt:lpstr>    Information Technology Services Division</vt:lpstr>
      <vt:lpstr>        Responding to Challenges</vt:lpstr>
      <vt:lpstr>    Assets and Security Division</vt:lpstr>
      <vt:lpstr>        Responding to Challenges</vt:lpstr>
      <vt:lpstr>    Capital Projects</vt:lpstr>
      <vt:lpstr>        Shepparton Law Courts Redevelopment</vt:lpstr>
      <vt:lpstr>        Broadmeadows Children’s Court</vt:lpstr>
      <vt:lpstr>    Output performance</vt:lpstr>
      <vt:lpstr>        International Framework for Court Excellence</vt:lpstr>
      <vt:lpstr>        </vt:lpstr>
      <vt:lpstr>        Performance Against Measures</vt:lpstr>
      <vt:lpstr>    Financial Summary and Review</vt:lpstr>
      <vt:lpstr>        Two-Year Financial Summary </vt:lpstr>
      <vt:lpstr>        </vt:lpstr>
      <vt:lpstr>        Court Services Victoria Current Year Financial Review</vt:lpstr>
      <vt:lpstr>        Budget Allocation </vt:lpstr>
      <vt:lpstr>        Disclosure of Grants and Transfer Payments</vt:lpstr>
      <vt:lpstr>SECTION 3: WORKFORCE DATA</vt:lpstr>
      <vt:lpstr>    Workforce Data</vt:lpstr>
      <vt:lpstr>        Executive Officer Data</vt:lpstr>
      <vt:lpstr>        Employment and conduct principles</vt:lpstr>
      <vt:lpstr>    Staff Health, Safety and Wellbeing</vt:lpstr>
      <vt:lpstr>Section 4: Other disclosures</vt:lpstr>
      <vt:lpstr>    Victorian Industry Participation Policy </vt:lpstr>
      <vt:lpstr>    Consultancy Expenditure</vt:lpstr>
      <vt:lpstr>        Details of Consultancies Valued at $10,000 or Greater</vt:lpstr>
      <vt:lpstr>        Details of Consultancies Under $10,000</vt:lpstr>
      <vt:lpstr>        Disclosure of Major Contracts </vt:lpstr>
      <vt:lpstr>    Information and Communication Technology Expenditure	</vt:lpstr>
      <vt:lpstr>        Details of Information and Communication Technology (ICT) expenditure		</vt:lpstr>
      <vt:lpstr>    Government Advertising Expenditure </vt:lpstr>
      <vt:lpstr>    Freedom of Information </vt:lpstr>
      <vt:lpstr>    Compliance with Building Act 1993 (Vic)</vt:lpstr>
      <vt:lpstr>    National Competition Policy </vt:lpstr>
      <vt:lpstr>    Compliance with the Protected Disclosure Act 2012 (Vic)</vt:lpstr>
      <vt:lpstr>        Reporting Procedures</vt:lpstr>
      <vt:lpstr>        Further information</vt:lpstr>
      <vt:lpstr>    Compliance with the Carers Recognition Act 2012 (Vic) </vt:lpstr>
      <vt:lpstr>    Office-based environmental impacts </vt:lpstr>
    </vt:vector>
  </TitlesOfParts>
  <Company>Victorian Department of Justice</Company>
  <LinksUpToDate>false</LinksUpToDate>
  <CharactersWithSpaces>109837</CharactersWithSpaces>
  <SharedDoc>false</SharedDoc>
  <HLinks>
    <vt:vector size="438" baseType="variant">
      <vt:variant>
        <vt:i4>2818059</vt:i4>
      </vt:variant>
      <vt:variant>
        <vt:i4>426</vt:i4>
      </vt:variant>
      <vt:variant>
        <vt:i4>0</vt:i4>
      </vt:variant>
      <vt:variant>
        <vt:i4>5</vt:i4>
      </vt:variant>
      <vt:variant>
        <vt:lpwstr>mailto:feedback@courts.vic.gov.au</vt:lpwstr>
      </vt:variant>
      <vt:variant>
        <vt:lpwstr/>
      </vt:variant>
      <vt:variant>
        <vt:i4>8257588</vt:i4>
      </vt:variant>
      <vt:variant>
        <vt:i4>423</vt:i4>
      </vt:variant>
      <vt:variant>
        <vt:i4>0</vt:i4>
      </vt:variant>
      <vt:variant>
        <vt:i4>5</vt:i4>
      </vt:variant>
      <vt:variant>
        <vt:lpwstr>http://www.ibac.vic.gov.au/</vt:lpwstr>
      </vt:variant>
      <vt:variant>
        <vt:lpwstr/>
      </vt:variant>
      <vt:variant>
        <vt:i4>7209058</vt:i4>
      </vt:variant>
      <vt:variant>
        <vt:i4>420</vt:i4>
      </vt:variant>
      <vt:variant>
        <vt:i4>0</vt:i4>
      </vt:variant>
      <vt:variant>
        <vt:i4>5</vt:i4>
      </vt:variant>
      <vt:variant>
        <vt:lpwstr>http://www.foi.vic.gov.au/</vt:lpwstr>
      </vt:variant>
      <vt:variant>
        <vt:lpwstr/>
      </vt:variant>
      <vt:variant>
        <vt:i4>7209058</vt:i4>
      </vt:variant>
      <vt:variant>
        <vt:i4>417</vt:i4>
      </vt:variant>
      <vt:variant>
        <vt:i4>0</vt:i4>
      </vt:variant>
      <vt:variant>
        <vt:i4>5</vt:i4>
      </vt:variant>
      <vt:variant>
        <vt:lpwstr>http://www.foi.vic.gov.au/</vt:lpwstr>
      </vt:variant>
      <vt:variant>
        <vt:lpwstr/>
      </vt:variant>
      <vt:variant>
        <vt:i4>1245237</vt:i4>
      </vt:variant>
      <vt:variant>
        <vt:i4>410</vt:i4>
      </vt:variant>
      <vt:variant>
        <vt:i4>0</vt:i4>
      </vt:variant>
      <vt:variant>
        <vt:i4>5</vt:i4>
      </vt:variant>
      <vt:variant>
        <vt:lpwstr/>
      </vt:variant>
      <vt:variant>
        <vt:lpwstr>_Toc452706300</vt:lpwstr>
      </vt:variant>
      <vt:variant>
        <vt:i4>1703988</vt:i4>
      </vt:variant>
      <vt:variant>
        <vt:i4>404</vt:i4>
      </vt:variant>
      <vt:variant>
        <vt:i4>0</vt:i4>
      </vt:variant>
      <vt:variant>
        <vt:i4>5</vt:i4>
      </vt:variant>
      <vt:variant>
        <vt:lpwstr/>
      </vt:variant>
      <vt:variant>
        <vt:lpwstr>_Toc452706299</vt:lpwstr>
      </vt:variant>
      <vt:variant>
        <vt:i4>1703988</vt:i4>
      </vt:variant>
      <vt:variant>
        <vt:i4>398</vt:i4>
      </vt:variant>
      <vt:variant>
        <vt:i4>0</vt:i4>
      </vt:variant>
      <vt:variant>
        <vt:i4>5</vt:i4>
      </vt:variant>
      <vt:variant>
        <vt:lpwstr/>
      </vt:variant>
      <vt:variant>
        <vt:lpwstr>_Toc452706298</vt:lpwstr>
      </vt:variant>
      <vt:variant>
        <vt:i4>1703988</vt:i4>
      </vt:variant>
      <vt:variant>
        <vt:i4>392</vt:i4>
      </vt:variant>
      <vt:variant>
        <vt:i4>0</vt:i4>
      </vt:variant>
      <vt:variant>
        <vt:i4>5</vt:i4>
      </vt:variant>
      <vt:variant>
        <vt:lpwstr/>
      </vt:variant>
      <vt:variant>
        <vt:lpwstr>_Toc452706297</vt:lpwstr>
      </vt:variant>
      <vt:variant>
        <vt:i4>1703988</vt:i4>
      </vt:variant>
      <vt:variant>
        <vt:i4>386</vt:i4>
      </vt:variant>
      <vt:variant>
        <vt:i4>0</vt:i4>
      </vt:variant>
      <vt:variant>
        <vt:i4>5</vt:i4>
      </vt:variant>
      <vt:variant>
        <vt:lpwstr/>
      </vt:variant>
      <vt:variant>
        <vt:lpwstr>_Toc452706296</vt:lpwstr>
      </vt:variant>
      <vt:variant>
        <vt:i4>1703988</vt:i4>
      </vt:variant>
      <vt:variant>
        <vt:i4>380</vt:i4>
      </vt:variant>
      <vt:variant>
        <vt:i4>0</vt:i4>
      </vt:variant>
      <vt:variant>
        <vt:i4>5</vt:i4>
      </vt:variant>
      <vt:variant>
        <vt:lpwstr/>
      </vt:variant>
      <vt:variant>
        <vt:lpwstr>_Toc452706295</vt:lpwstr>
      </vt:variant>
      <vt:variant>
        <vt:i4>1703988</vt:i4>
      </vt:variant>
      <vt:variant>
        <vt:i4>374</vt:i4>
      </vt:variant>
      <vt:variant>
        <vt:i4>0</vt:i4>
      </vt:variant>
      <vt:variant>
        <vt:i4>5</vt:i4>
      </vt:variant>
      <vt:variant>
        <vt:lpwstr/>
      </vt:variant>
      <vt:variant>
        <vt:lpwstr>_Toc452706294</vt:lpwstr>
      </vt:variant>
      <vt:variant>
        <vt:i4>1703988</vt:i4>
      </vt:variant>
      <vt:variant>
        <vt:i4>368</vt:i4>
      </vt:variant>
      <vt:variant>
        <vt:i4>0</vt:i4>
      </vt:variant>
      <vt:variant>
        <vt:i4>5</vt:i4>
      </vt:variant>
      <vt:variant>
        <vt:lpwstr/>
      </vt:variant>
      <vt:variant>
        <vt:lpwstr>_Toc452706293</vt:lpwstr>
      </vt:variant>
      <vt:variant>
        <vt:i4>1703988</vt:i4>
      </vt:variant>
      <vt:variant>
        <vt:i4>362</vt:i4>
      </vt:variant>
      <vt:variant>
        <vt:i4>0</vt:i4>
      </vt:variant>
      <vt:variant>
        <vt:i4>5</vt:i4>
      </vt:variant>
      <vt:variant>
        <vt:lpwstr/>
      </vt:variant>
      <vt:variant>
        <vt:lpwstr>_Toc452706292</vt:lpwstr>
      </vt:variant>
      <vt:variant>
        <vt:i4>1703988</vt:i4>
      </vt:variant>
      <vt:variant>
        <vt:i4>356</vt:i4>
      </vt:variant>
      <vt:variant>
        <vt:i4>0</vt:i4>
      </vt:variant>
      <vt:variant>
        <vt:i4>5</vt:i4>
      </vt:variant>
      <vt:variant>
        <vt:lpwstr/>
      </vt:variant>
      <vt:variant>
        <vt:lpwstr>_Toc452706291</vt:lpwstr>
      </vt:variant>
      <vt:variant>
        <vt:i4>1703988</vt:i4>
      </vt:variant>
      <vt:variant>
        <vt:i4>350</vt:i4>
      </vt:variant>
      <vt:variant>
        <vt:i4>0</vt:i4>
      </vt:variant>
      <vt:variant>
        <vt:i4>5</vt:i4>
      </vt:variant>
      <vt:variant>
        <vt:lpwstr/>
      </vt:variant>
      <vt:variant>
        <vt:lpwstr>_Toc452706290</vt:lpwstr>
      </vt:variant>
      <vt:variant>
        <vt:i4>1769524</vt:i4>
      </vt:variant>
      <vt:variant>
        <vt:i4>344</vt:i4>
      </vt:variant>
      <vt:variant>
        <vt:i4>0</vt:i4>
      </vt:variant>
      <vt:variant>
        <vt:i4>5</vt:i4>
      </vt:variant>
      <vt:variant>
        <vt:lpwstr/>
      </vt:variant>
      <vt:variant>
        <vt:lpwstr>_Toc452706289</vt:lpwstr>
      </vt:variant>
      <vt:variant>
        <vt:i4>1769524</vt:i4>
      </vt:variant>
      <vt:variant>
        <vt:i4>338</vt:i4>
      </vt:variant>
      <vt:variant>
        <vt:i4>0</vt:i4>
      </vt:variant>
      <vt:variant>
        <vt:i4>5</vt:i4>
      </vt:variant>
      <vt:variant>
        <vt:lpwstr/>
      </vt:variant>
      <vt:variant>
        <vt:lpwstr>_Toc452706288</vt:lpwstr>
      </vt:variant>
      <vt:variant>
        <vt:i4>1769524</vt:i4>
      </vt:variant>
      <vt:variant>
        <vt:i4>332</vt:i4>
      </vt:variant>
      <vt:variant>
        <vt:i4>0</vt:i4>
      </vt:variant>
      <vt:variant>
        <vt:i4>5</vt:i4>
      </vt:variant>
      <vt:variant>
        <vt:lpwstr/>
      </vt:variant>
      <vt:variant>
        <vt:lpwstr>_Toc452706287</vt:lpwstr>
      </vt:variant>
      <vt:variant>
        <vt:i4>1769524</vt:i4>
      </vt:variant>
      <vt:variant>
        <vt:i4>326</vt:i4>
      </vt:variant>
      <vt:variant>
        <vt:i4>0</vt:i4>
      </vt:variant>
      <vt:variant>
        <vt:i4>5</vt:i4>
      </vt:variant>
      <vt:variant>
        <vt:lpwstr/>
      </vt:variant>
      <vt:variant>
        <vt:lpwstr>_Toc452706286</vt:lpwstr>
      </vt:variant>
      <vt:variant>
        <vt:i4>1769524</vt:i4>
      </vt:variant>
      <vt:variant>
        <vt:i4>320</vt:i4>
      </vt:variant>
      <vt:variant>
        <vt:i4>0</vt:i4>
      </vt:variant>
      <vt:variant>
        <vt:i4>5</vt:i4>
      </vt:variant>
      <vt:variant>
        <vt:lpwstr/>
      </vt:variant>
      <vt:variant>
        <vt:lpwstr>_Toc452706285</vt:lpwstr>
      </vt:variant>
      <vt:variant>
        <vt:i4>1769524</vt:i4>
      </vt:variant>
      <vt:variant>
        <vt:i4>314</vt:i4>
      </vt:variant>
      <vt:variant>
        <vt:i4>0</vt:i4>
      </vt:variant>
      <vt:variant>
        <vt:i4>5</vt:i4>
      </vt:variant>
      <vt:variant>
        <vt:lpwstr/>
      </vt:variant>
      <vt:variant>
        <vt:lpwstr>_Toc452706284</vt:lpwstr>
      </vt:variant>
      <vt:variant>
        <vt:i4>1769524</vt:i4>
      </vt:variant>
      <vt:variant>
        <vt:i4>308</vt:i4>
      </vt:variant>
      <vt:variant>
        <vt:i4>0</vt:i4>
      </vt:variant>
      <vt:variant>
        <vt:i4>5</vt:i4>
      </vt:variant>
      <vt:variant>
        <vt:lpwstr/>
      </vt:variant>
      <vt:variant>
        <vt:lpwstr>_Toc452706283</vt:lpwstr>
      </vt:variant>
      <vt:variant>
        <vt:i4>1769524</vt:i4>
      </vt:variant>
      <vt:variant>
        <vt:i4>302</vt:i4>
      </vt:variant>
      <vt:variant>
        <vt:i4>0</vt:i4>
      </vt:variant>
      <vt:variant>
        <vt:i4>5</vt:i4>
      </vt:variant>
      <vt:variant>
        <vt:lpwstr/>
      </vt:variant>
      <vt:variant>
        <vt:lpwstr>_Toc452706282</vt:lpwstr>
      </vt:variant>
      <vt:variant>
        <vt:i4>1769524</vt:i4>
      </vt:variant>
      <vt:variant>
        <vt:i4>296</vt:i4>
      </vt:variant>
      <vt:variant>
        <vt:i4>0</vt:i4>
      </vt:variant>
      <vt:variant>
        <vt:i4>5</vt:i4>
      </vt:variant>
      <vt:variant>
        <vt:lpwstr/>
      </vt:variant>
      <vt:variant>
        <vt:lpwstr>_Toc452706281</vt:lpwstr>
      </vt:variant>
      <vt:variant>
        <vt:i4>1769524</vt:i4>
      </vt:variant>
      <vt:variant>
        <vt:i4>290</vt:i4>
      </vt:variant>
      <vt:variant>
        <vt:i4>0</vt:i4>
      </vt:variant>
      <vt:variant>
        <vt:i4>5</vt:i4>
      </vt:variant>
      <vt:variant>
        <vt:lpwstr/>
      </vt:variant>
      <vt:variant>
        <vt:lpwstr>_Toc452706280</vt:lpwstr>
      </vt:variant>
      <vt:variant>
        <vt:i4>1310772</vt:i4>
      </vt:variant>
      <vt:variant>
        <vt:i4>284</vt:i4>
      </vt:variant>
      <vt:variant>
        <vt:i4>0</vt:i4>
      </vt:variant>
      <vt:variant>
        <vt:i4>5</vt:i4>
      </vt:variant>
      <vt:variant>
        <vt:lpwstr/>
      </vt:variant>
      <vt:variant>
        <vt:lpwstr>_Toc452706279</vt:lpwstr>
      </vt:variant>
      <vt:variant>
        <vt:i4>1310772</vt:i4>
      </vt:variant>
      <vt:variant>
        <vt:i4>278</vt:i4>
      </vt:variant>
      <vt:variant>
        <vt:i4>0</vt:i4>
      </vt:variant>
      <vt:variant>
        <vt:i4>5</vt:i4>
      </vt:variant>
      <vt:variant>
        <vt:lpwstr/>
      </vt:variant>
      <vt:variant>
        <vt:lpwstr>_Toc452706278</vt:lpwstr>
      </vt:variant>
      <vt:variant>
        <vt:i4>1310772</vt:i4>
      </vt:variant>
      <vt:variant>
        <vt:i4>272</vt:i4>
      </vt:variant>
      <vt:variant>
        <vt:i4>0</vt:i4>
      </vt:variant>
      <vt:variant>
        <vt:i4>5</vt:i4>
      </vt:variant>
      <vt:variant>
        <vt:lpwstr/>
      </vt:variant>
      <vt:variant>
        <vt:lpwstr>_Toc452706277</vt:lpwstr>
      </vt:variant>
      <vt:variant>
        <vt:i4>1310772</vt:i4>
      </vt:variant>
      <vt:variant>
        <vt:i4>266</vt:i4>
      </vt:variant>
      <vt:variant>
        <vt:i4>0</vt:i4>
      </vt:variant>
      <vt:variant>
        <vt:i4>5</vt:i4>
      </vt:variant>
      <vt:variant>
        <vt:lpwstr/>
      </vt:variant>
      <vt:variant>
        <vt:lpwstr>_Toc452706276</vt:lpwstr>
      </vt:variant>
      <vt:variant>
        <vt:i4>1310772</vt:i4>
      </vt:variant>
      <vt:variant>
        <vt:i4>260</vt:i4>
      </vt:variant>
      <vt:variant>
        <vt:i4>0</vt:i4>
      </vt:variant>
      <vt:variant>
        <vt:i4>5</vt:i4>
      </vt:variant>
      <vt:variant>
        <vt:lpwstr/>
      </vt:variant>
      <vt:variant>
        <vt:lpwstr>_Toc452706275</vt:lpwstr>
      </vt:variant>
      <vt:variant>
        <vt:i4>1310772</vt:i4>
      </vt:variant>
      <vt:variant>
        <vt:i4>254</vt:i4>
      </vt:variant>
      <vt:variant>
        <vt:i4>0</vt:i4>
      </vt:variant>
      <vt:variant>
        <vt:i4>5</vt:i4>
      </vt:variant>
      <vt:variant>
        <vt:lpwstr/>
      </vt:variant>
      <vt:variant>
        <vt:lpwstr>_Toc452706274</vt:lpwstr>
      </vt:variant>
      <vt:variant>
        <vt:i4>1310772</vt:i4>
      </vt:variant>
      <vt:variant>
        <vt:i4>248</vt:i4>
      </vt:variant>
      <vt:variant>
        <vt:i4>0</vt:i4>
      </vt:variant>
      <vt:variant>
        <vt:i4>5</vt:i4>
      </vt:variant>
      <vt:variant>
        <vt:lpwstr/>
      </vt:variant>
      <vt:variant>
        <vt:lpwstr>_Toc452706273</vt:lpwstr>
      </vt:variant>
      <vt:variant>
        <vt:i4>1310772</vt:i4>
      </vt:variant>
      <vt:variant>
        <vt:i4>242</vt:i4>
      </vt:variant>
      <vt:variant>
        <vt:i4>0</vt:i4>
      </vt:variant>
      <vt:variant>
        <vt:i4>5</vt:i4>
      </vt:variant>
      <vt:variant>
        <vt:lpwstr/>
      </vt:variant>
      <vt:variant>
        <vt:lpwstr>_Toc452706272</vt:lpwstr>
      </vt:variant>
      <vt:variant>
        <vt:i4>1310772</vt:i4>
      </vt:variant>
      <vt:variant>
        <vt:i4>236</vt:i4>
      </vt:variant>
      <vt:variant>
        <vt:i4>0</vt:i4>
      </vt:variant>
      <vt:variant>
        <vt:i4>5</vt:i4>
      </vt:variant>
      <vt:variant>
        <vt:lpwstr/>
      </vt:variant>
      <vt:variant>
        <vt:lpwstr>_Toc452706271</vt:lpwstr>
      </vt:variant>
      <vt:variant>
        <vt:i4>1310772</vt:i4>
      </vt:variant>
      <vt:variant>
        <vt:i4>230</vt:i4>
      </vt:variant>
      <vt:variant>
        <vt:i4>0</vt:i4>
      </vt:variant>
      <vt:variant>
        <vt:i4>5</vt:i4>
      </vt:variant>
      <vt:variant>
        <vt:lpwstr/>
      </vt:variant>
      <vt:variant>
        <vt:lpwstr>_Toc452706270</vt:lpwstr>
      </vt:variant>
      <vt:variant>
        <vt:i4>1376308</vt:i4>
      </vt:variant>
      <vt:variant>
        <vt:i4>224</vt:i4>
      </vt:variant>
      <vt:variant>
        <vt:i4>0</vt:i4>
      </vt:variant>
      <vt:variant>
        <vt:i4>5</vt:i4>
      </vt:variant>
      <vt:variant>
        <vt:lpwstr/>
      </vt:variant>
      <vt:variant>
        <vt:lpwstr>_Toc452706269</vt:lpwstr>
      </vt:variant>
      <vt:variant>
        <vt:i4>1376308</vt:i4>
      </vt:variant>
      <vt:variant>
        <vt:i4>218</vt:i4>
      </vt:variant>
      <vt:variant>
        <vt:i4>0</vt:i4>
      </vt:variant>
      <vt:variant>
        <vt:i4>5</vt:i4>
      </vt:variant>
      <vt:variant>
        <vt:lpwstr/>
      </vt:variant>
      <vt:variant>
        <vt:lpwstr>_Toc452706268</vt:lpwstr>
      </vt:variant>
      <vt:variant>
        <vt:i4>1376308</vt:i4>
      </vt:variant>
      <vt:variant>
        <vt:i4>212</vt:i4>
      </vt:variant>
      <vt:variant>
        <vt:i4>0</vt:i4>
      </vt:variant>
      <vt:variant>
        <vt:i4>5</vt:i4>
      </vt:variant>
      <vt:variant>
        <vt:lpwstr/>
      </vt:variant>
      <vt:variant>
        <vt:lpwstr>_Toc452706267</vt:lpwstr>
      </vt:variant>
      <vt:variant>
        <vt:i4>1376308</vt:i4>
      </vt:variant>
      <vt:variant>
        <vt:i4>206</vt:i4>
      </vt:variant>
      <vt:variant>
        <vt:i4>0</vt:i4>
      </vt:variant>
      <vt:variant>
        <vt:i4>5</vt:i4>
      </vt:variant>
      <vt:variant>
        <vt:lpwstr/>
      </vt:variant>
      <vt:variant>
        <vt:lpwstr>_Toc452706266</vt:lpwstr>
      </vt:variant>
      <vt:variant>
        <vt:i4>1376308</vt:i4>
      </vt:variant>
      <vt:variant>
        <vt:i4>200</vt:i4>
      </vt:variant>
      <vt:variant>
        <vt:i4>0</vt:i4>
      </vt:variant>
      <vt:variant>
        <vt:i4>5</vt:i4>
      </vt:variant>
      <vt:variant>
        <vt:lpwstr/>
      </vt:variant>
      <vt:variant>
        <vt:lpwstr>_Toc452706265</vt:lpwstr>
      </vt:variant>
      <vt:variant>
        <vt:i4>1376308</vt:i4>
      </vt:variant>
      <vt:variant>
        <vt:i4>194</vt:i4>
      </vt:variant>
      <vt:variant>
        <vt:i4>0</vt:i4>
      </vt:variant>
      <vt:variant>
        <vt:i4>5</vt:i4>
      </vt:variant>
      <vt:variant>
        <vt:lpwstr/>
      </vt:variant>
      <vt:variant>
        <vt:lpwstr>_Toc452706264</vt:lpwstr>
      </vt:variant>
      <vt:variant>
        <vt:i4>1376308</vt:i4>
      </vt:variant>
      <vt:variant>
        <vt:i4>188</vt:i4>
      </vt:variant>
      <vt:variant>
        <vt:i4>0</vt:i4>
      </vt:variant>
      <vt:variant>
        <vt:i4>5</vt:i4>
      </vt:variant>
      <vt:variant>
        <vt:lpwstr/>
      </vt:variant>
      <vt:variant>
        <vt:lpwstr>_Toc452706263</vt:lpwstr>
      </vt:variant>
      <vt:variant>
        <vt:i4>1376308</vt:i4>
      </vt:variant>
      <vt:variant>
        <vt:i4>182</vt:i4>
      </vt:variant>
      <vt:variant>
        <vt:i4>0</vt:i4>
      </vt:variant>
      <vt:variant>
        <vt:i4>5</vt:i4>
      </vt:variant>
      <vt:variant>
        <vt:lpwstr/>
      </vt:variant>
      <vt:variant>
        <vt:lpwstr>_Toc452706262</vt:lpwstr>
      </vt:variant>
      <vt:variant>
        <vt:i4>1376308</vt:i4>
      </vt:variant>
      <vt:variant>
        <vt:i4>176</vt:i4>
      </vt:variant>
      <vt:variant>
        <vt:i4>0</vt:i4>
      </vt:variant>
      <vt:variant>
        <vt:i4>5</vt:i4>
      </vt:variant>
      <vt:variant>
        <vt:lpwstr/>
      </vt:variant>
      <vt:variant>
        <vt:lpwstr>_Toc452706261</vt:lpwstr>
      </vt:variant>
      <vt:variant>
        <vt:i4>1376308</vt:i4>
      </vt:variant>
      <vt:variant>
        <vt:i4>170</vt:i4>
      </vt:variant>
      <vt:variant>
        <vt:i4>0</vt:i4>
      </vt:variant>
      <vt:variant>
        <vt:i4>5</vt:i4>
      </vt:variant>
      <vt:variant>
        <vt:lpwstr/>
      </vt:variant>
      <vt:variant>
        <vt:lpwstr>_Toc452706260</vt:lpwstr>
      </vt:variant>
      <vt:variant>
        <vt:i4>1441844</vt:i4>
      </vt:variant>
      <vt:variant>
        <vt:i4>164</vt:i4>
      </vt:variant>
      <vt:variant>
        <vt:i4>0</vt:i4>
      </vt:variant>
      <vt:variant>
        <vt:i4>5</vt:i4>
      </vt:variant>
      <vt:variant>
        <vt:lpwstr/>
      </vt:variant>
      <vt:variant>
        <vt:lpwstr>_Toc452706259</vt:lpwstr>
      </vt:variant>
      <vt:variant>
        <vt:i4>1441844</vt:i4>
      </vt:variant>
      <vt:variant>
        <vt:i4>158</vt:i4>
      </vt:variant>
      <vt:variant>
        <vt:i4>0</vt:i4>
      </vt:variant>
      <vt:variant>
        <vt:i4>5</vt:i4>
      </vt:variant>
      <vt:variant>
        <vt:lpwstr/>
      </vt:variant>
      <vt:variant>
        <vt:lpwstr>_Toc452706258</vt:lpwstr>
      </vt:variant>
      <vt:variant>
        <vt:i4>1441844</vt:i4>
      </vt:variant>
      <vt:variant>
        <vt:i4>152</vt:i4>
      </vt:variant>
      <vt:variant>
        <vt:i4>0</vt:i4>
      </vt:variant>
      <vt:variant>
        <vt:i4>5</vt:i4>
      </vt:variant>
      <vt:variant>
        <vt:lpwstr/>
      </vt:variant>
      <vt:variant>
        <vt:lpwstr>_Toc452706257</vt:lpwstr>
      </vt:variant>
      <vt:variant>
        <vt:i4>1441844</vt:i4>
      </vt:variant>
      <vt:variant>
        <vt:i4>146</vt:i4>
      </vt:variant>
      <vt:variant>
        <vt:i4>0</vt:i4>
      </vt:variant>
      <vt:variant>
        <vt:i4>5</vt:i4>
      </vt:variant>
      <vt:variant>
        <vt:lpwstr/>
      </vt:variant>
      <vt:variant>
        <vt:lpwstr>_Toc452706256</vt:lpwstr>
      </vt:variant>
      <vt:variant>
        <vt:i4>1441844</vt:i4>
      </vt:variant>
      <vt:variant>
        <vt:i4>140</vt:i4>
      </vt:variant>
      <vt:variant>
        <vt:i4>0</vt:i4>
      </vt:variant>
      <vt:variant>
        <vt:i4>5</vt:i4>
      </vt:variant>
      <vt:variant>
        <vt:lpwstr/>
      </vt:variant>
      <vt:variant>
        <vt:lpwstr>_Toc452706255</vt:lpwstr>
      </vt:variant>
      <vt:variant>
        <vt:i4>1441844</vt:i4>
      </vt:variant>
      <vt:variant>
        <vt:i4>134</vt:i4>
      </vt:variant>
      <vt:variant>
        <vt:i4>0</vt:i4>
      </vt:variant>
      <vt:variant>
        <vt:i4>5</vt:i4>
      </vt:variant>
      <vt:variant>
        <vt:lpwstr/>
      </vt:variant>
      <vt:variant>
        <vt:lpwstr>_Toc452706254</vt:lpwstr>
      </vt:variant>
      <vt:variant>
        <vt:i4>1441844</vt:i4>
      </vt:variant>
      <vt:variant>
        <vt:i4>128</vt:i4>
      </vt:variant>
      <vt:variant>
        <vt:i4>0</vt:i4>
      </vt:variant>
      <vt:variant>
        <vt:i4>5</vt:i4>
      </vt:variant>
      <vt:variant>
        <vt:lpwstr/>
      </vt:variant>
      <vt:variant>
        <vt:lpwstr>_Toc452706253</vt:lpwstr>
      </vt:variant>
      <vt:variant>
        <vt:i4>1441844</vt:i4>
      </vt:variant>
      <vt:variant>
        <vt:i4>122</vt:i4>
      </vt:variant>
      <vt:variant>
        <vt:i4>0</vt:i4>
      </vt:variant>
      <vt:variant>
        <vt:i4>5</vt:i4>
      </vt:variant>
      <vt:variant>
        <vt:lpwstr/>
      </vt:variant>
      <vt:variant>
        <vt:lpwstr>_Toc452706252</vt:lpwstr>
      </vt:variant>
      <vt:variant>
        <vt:i4>1441844</vt:i4>
      </vt:variant>
      <vt:variant>
        <vt:i4>116</vt:i4>
      </vt:variant>
      <vt:variant>
        <vt:i4>0</vt:i4>
      </vt:variant>
      <vt:variant>
        <vt:i4>5</vt:i4>
      </vt:variant>
      <vt:variant>
        <vt:lpwstr/>
      </vt:variant>
      <vt:variant>
        <vt:lpwstr>_Toc452706251</vt:lpwstr>
      </vt:variant>
      <vt:variant>
        <vt:i4>1441844</vt:i4>
      </vt:variant>
      <vt:variant>
        <vt:i4>110</vt:i4>
      </vt:variant>
      <vt:variant>
        <vt:i4>0</vt:i4>
      </vt:variant>
      <vt:variant>
        <vt:i4>5</vt:i4>
      </vt:variant>
      <vt:variant>
        <vt:lpwstr/>
      </vt:variant>
      <vt:variant>
        <vt:lpwstr>_Toc452706250</vt:lpwstr>
      </vt:variant>
      <vt:variant>
        <vt:i4>1507380</vt:i4>
      </vt:variant>
      <vt:variant>
        <vt:i4>104</vt:i4>
      </vt:variant>
      <vt:variant>
        <vt:i4>0</vt:i4>
      </vt:variant>
      <vt:variant>
        <vt:i4>5</vt:i4>
      </vt:variant>
      <vt:variant>
        <vt:lpwstr/>
      </vt:variant>
      <vt:variant>
        <vt:lpwstr>_Toc452706249</vt:lpwstr>
      </vt:variant>
      <vt:variant>
        <vt:i4>1507380</vt:i4>
      </vt:variant>
      <vt:variant>
        <vt:i4>98</vt:i4>
      </vt:variant>
      <vt:variant>
        <vt:i4>0</vt:i4>
      </vt:variant>
      <vt:variant>
        <vt:i4>5</vt:i4>
      </vt:variant>
      <vt:variant>
        <vt:lpwstr/>
      </vt:variant>
      <vt:variant>
        <vt:lpwstr>_Toc452706248</vt:lpwstr>
      </vt:variant>
      <vt:variant>
        <vt:i4>1507380</vt:i4>
      </vt:variant>
      <vt:variant>
        <vt:i4>92</vt:i4>
      </vt:variant>
      <vt:variant>
        <vt:i4>0</vt:i4>
      </vt:variant>
      <vt:variant>
        <vt:i4>5</vt:i4>
      </vt:variant>
      <vt:variant>
        <vt:lpwstr/>
      </vt:variant>
      <vt:variant>
        <vt:lpwstr>_Toc452706247</vt:lpwstr>
      </vt:variant>
      <vt:variant>
        <vt:i4>1507380</vt:i4>
      </vt:variant>
      <vt:variant>
        <vt:i4>86</vt:i4>
      </vt:variant>
      <vt:variant>
        <vt:i4>0</vt:i4>
      </vt:variant>
      <vt:variant>
        <vt:i4>5</vt:i4>
      </vt:variant>
      <vt:variant>
        <vt:lpwstr/>
      </vt:variant>
      <vt:variant>
        <vt:lpwstr>_Toc452706246</vt:lpwstr>
      </vt:variant>
      <vt:variant>
        <vt:i4>1507380</vt:i4>
      </vt:variant>
      <vt:variant>
        <vt:i4>80</vt:i4>
      </vt:variant>
      <vt:variant>
        <vt:i4>0</vt:i4>
      </vt:variant>
      <vt:variant>
        <vt:i4>5</vt:i4>
      </vt:variant>
      <vt:variant>
        <vt:lpwstr/>
      </vt:variant>
      <vt:variant>
        <vt:lpwstr>_Toc452706245</vt:lpwstr>
      </vt:variant>
      <vt:variant>
        <vt:i4>1507380</vt:i4>
      </vt:variant>
      <vt:variant>
        <vt:i4>74</vt:i4>
      </vt:variant>
      <vt:variant>
        <vt:i4>0</vt:i4>
      </vt:variant>
      <vt:variant>
        <vt:i4>5</vt:i4>
      </vt:variant>
      <vt:variant>
        <vt:lpwstr/>
      </vt:variant>
      <vt:variant>
        <vt:lpwstr>_Toc452706244</vt:lpwstr>
      </vt:variant>
      <vt:variant>
        <vt:i4>1507380</vt:i4>
      </vt:variant>
      <vt:variant>
        <vt:i4>68</vt:i4>
      </vt:variant>
      <vt:variant>
        <vt:i4>0</vt:i4>
      </vt:variant>
      <vt:variant>
        <vt:i4>5</vt:i4>
      </vt:variant>
      <vt:variant>
        <vt:lpwstr/>
      </vt:variant>
      <vt:variant>
        <vt:lpwstr>_Toc452706243</vt:lpwstr>
      </vt:variant>
      <vt:variant>
        <vt:i4>1507380</vt:i4>
      </vt:variant>
      <vt:variant>
        <vt:i4>62</vt:i4>
      </vt:variant>
      <vt:variant>
        <vt:i4>0</vt:i4>
      </vt:variant>
      <vt:variant>
        <vt:i4>5</vt:i4>
      </vt:variant>
      <vt:variant>
        <vt:lpwstr/>
      </vt:variant>
      <vt:variant>
        <vt:lpwstr>_Toc452706242</vt:lpwstr>
      </vt:variant>
      <vt:variant>
        <vt:i4>1507380</vt:i4>
      </vt:variant>
      <vt:variant>
        <vt:i4>56</vt:i4>
      </vt:variant>
      <vt:variant>
        <vt:i4>0</vt:i4>
      </vt:variant>
      <vt:variant>
        <vt:i4>5</vt:i4>
      </vt:variant>
      <vt:variant>
        <vt:lpwstr/>
      </vt:variant>
      <vt:variant>
        <vt:lpwstr>_Toc452706241</vt:lpwstr>
      </vt:variant>
      <vt:variant>
        <vt:i4>1507380</vt:i4>
      </vt:variant>
      <vt:variant>
        <vt:i4>50</vt:i4>
      </vt:variant>
      <vt:variant>
        <vt:i4>0</vt:i4>
      </vt:variant>
      <vt:variant>
        <vt:i4>5</vt:i4>
      </vt:variant>
      <vt:variant>
        <vt:lpwstr/>
      </vt:variant>
      <vt:variant>
        <vt:lpwstr>_Toc452706240</vt:lpwstr>
      </vt:variant>
      <vt:variant>
        <vt:i4>1048628</vt:i4>
      </vt:variant>
      <vt:variant>
        <vt:i4>44</vt:i4>
      </vt:variant>
      <vt:variant>
        <vt:i4>0</vt:i4>
      </vt:variant>
      <vt:variant>
        <vt:i4>5</vt:i4>
      </vt:variant>
      <vt:variant>
        <vt:lpwstr/>
      </vt:variant>
      <vt:variant>
        <vt:lpwstr>_Toc452706239</vt:lpwstr>
      </vt:variant>
      <vt:variant>
        <vt:i4>1048628</vt:i4>
      </vt:variant>
      <vt:variant>
        <vt:i4>38</vt:i4>
      </vt:variant>
      <vt:variant>
        <vt:i4>0</vt:i4>
      </vt:variant>
      <vt:variant>
        <vt:i4>5</vt:i4>
      </vt:variant>
      <vt:variant>
        <vt:lpwstr/>
      </vt:variant>
      <vt:variant>
        <vt:lpwstr>_Toc452706238</vt:lpwstr>
      </vt:variant>
      <vt:variant>
        <vt:i4>1048628</vt:i4>
      </vt:variant>
      <vt:variant>
        <vt:i4>32</vt:i4>
      </vt:variant>
      <vt:variant>
        <vt:i4>0</vt:i4>
      </vt:variant>
      <vt:variant>
        <vt:i4>5</vt:i4>
      </vt:variant>
      <vt:variant>
        <vt:lpwstr/>
      </vt:variant>
      <vt:variant>
        <vt:lpwstr>_Toc452706237</vt:lpwstr>
      </vt:variant>
      <vt:variant>
        <vt:i4>1048628</vt:i4>
      </vt:variant>
      <vt:variant>
        <vt:i4>26</vt:i4>
      </vt:variant>
      <vt:variant>
        <vt:i4>0</vt:i4>
      </vt:variant>
      <vt:variant>
        <vt:i4>5</vt:i4>
      </vt:variant>
      <vt:variant>
        <vt:lpwstr/>
      </vt:variant>
      <vt:variant>
        <vt:lpwstr>_Toc452706236</vt:lpwstr>
      </vt:variant>
      <vt:variant>
        <vt:i4>1048628</vt:i4>
      </vt:variant>
      <vt:variant>
        <vt:i4>20</vt:i4>
      </vt:variant>
      <vt:variant>
        <vt:i4>0</vt:i4>
      </vt:variant>
      <vt:variant>
        <vt:i4>5</vt:i4>
      </vt:variant>
      <vt:variant>
        <vt:lpwstr/>
      </vt:variant>
      <vt:variant>
        <vt:lpwstr>_Toc452706235</vt:lpwstr>
      </vt:variant>
      <vt:variant>
        <vt:i4>1048628</vt:i4>
      </vt:variant>
      <vt:variant>
        <vt:i4>14</vt:i4>
      </vt:variant>
      <vt:variant>
        <vt:i4>0</vt:i4>
      </vt:variant>
      <vt:variant>
        <vt:i4>5</vt:i4>
      </vt:variant>
      <vt:variant>
        <vt:lpwstr/>
      </vt:variant>
      <vt:variant>
        <vt:lpwstr>_Toc452706234</vt:lpwstr>
      </vt:variant>
      <vt:variant>
        <vt:i4>1048628</vt:i4>
      </vt:variant>
      <vt:variant>
        <vt:i4>8</vt:i4>
      </vt:variant>
      <vt:variant>
        <vt:i4>0</vt:i4>
      </vt:variant>
      <vt:variant>
        <vt:i4>5</vt:i4>
      </vt:variant>
      <vt:variant>
        <vt:lpwstr/>
      </vt:variant>
      <vt:variant>
        <vt:lpwstr>_Toc452706233</vt:lpwstr>
      </vt:variant>
      <vt:variant>
        <vt:i4>1048628</vt:i4>
      </vt:variant>
      <vt:variant>
        <vt:i4>2</vt:i4>
      </vt:variant>
      <vt:variant>
        <vt:i4>0</vt:i4>
      </vt:variant>
      <vt:variant>
        <vt:i4>5</vt:i4>
      </vt:variant>
      <vt:variant>
        <vt:lpwstr/>
      </vt:variant>
      <vt:variant>
        <vt:lpwstr>_Toc452706232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 Coady</dc:creator>
  <cp:keywords/>
  <dc:description/>
  <cp:lastModifiedBy>Jenni Coady</cp:lastModifiedBy>
  <cp:revision>6</cp:revision>
  <cp:lastPrinted>2016-10-19T05:06:00Z</cp:lastPrinted>
  <dcterms:created xsi:type="dcterms:W3CDTF">2016-11-08T04:08:00Z</dcterms:created>
  <dcterms:modified xsi:type="dcterms:W3CDTF">2016-11-08T04:14:00Z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IMID">
    <vt:lpwstr>CD/16/555468*</vt:lpwstr>
  </property>
  <property fmtid="{D5CDD505-2E9C-101B-9397-08002B2CF9AE}" pid="3" name="TRIM_DateDue">
    <vt:lpwstr> </vt:lpwstr>
  </property>
  <property fmtid="{D5CDD505-2E9C-101B-9397-08002B2CF9AE}" pid="4" name="TRIM_Author">
    <vt:lpwstr>COADY, Jenni</vt:lpwstr>
  </property>
  <property fmtid="{D5CDD505-2E9C-101B-9397-08002B2CF9AE}" pid="5" name="TRIM_Container">
    <vt:lpwstr>DG/16/23528</vt:lpwstr>
  </property>
  <property fmtid="{D5CDD505-2E9C-101B-9397-08002B2CF9AE}" pid="6" name="TRIM_Creator">
    <vt:lpwstr>COADY, Jenni</vt:lpwstr>
  </property>
  <property fmtid="{D5CDD505-2E9C-101B-9397-08002B2CF9AE}" pid="7" name="TRIM_DateRegistered">
    <vt:lpwstr>8 November, 2016</vt:lpwstr>
  </property>
  <property fmtid="{D5CDD505-2E9C-101B-9397-08002B2CF9AE}" pid="8" name="TRIM_OwnerLocation">
    <vt:lpwstr>Engagement &amp; Online Services (People &amp; Business Services - JS)</vt:lpwstr>
  </property>
  <property fmtid="{D5CDD505-2E9C-101B-9397-08002B2CF9AE}" pid="9" name="TRIM_ResponsibleOfficer">
    <vt:lpwstr> </vt:lpwstr>
  </property>
  <property fmtid="{D5CDD505-2E9C-101B-9397-08002B2CF9AE}" pid="10" name="TRIM_Title">
    <vt:lpwstr>Report - Annual Report - FINAL - Web docx version</vt:lpwstr>
  </property>
</Properties>
</file>