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5BF7" w14:textId="77777777" w:rsidR="00EF2DBC" w:rsidRDefault="00EF2DBC">
      <w:pPr>
        <w:rPr>
          <w:rFonts w:ascii="Garamond" w:hAnsi="Garamond"/>
          <w:b/>
          <w:bCs/>
          <w:sz w:val="24"/>
          <w:szCs w:val="24"/>
        </w:rPr>
      </w:pPr>
    </w:p>
    <w:p w14:paraId="22E0E3DA" w14:textId="77777777" w:rsidR="00EF2DBC" w:rsidRDefault="00EF2DBC">
      <w:pPr>
        <w:rPr>
          <w:rFonts w:ascii="Garamond" w:hAnsi="Garamond"/>
          <w:b/>
          <w:bCs/>
          <w:sz w:val="24"/>
          <w:szCs w:val="24"/>
        </w:rPr>
      </w:pPr>
    </w:p>
    <w:p w14:paraId="7D90FB39" w14:textId="77777777" w:rsidR="00EF2DBC" w:rsidRDefault="00EF2DBC">
      <w:pPr>
        <w:rPr>
          <w:rFonts w:ascii="Garamond" w:hAnsi="Garamond"/>
          <w:b/>
          <w:bCs/>
          <w:sz w:val="24"/>
          <w:szCs w:val="24"/>
        </w:rPr>
      </w:pPr>
    </w:p>
    <w:p w14:paraId="07F3C4CB" w14:textId="77777777" w:rsidR="00EF2DBC" w:rsidRDefault="00EF2DBC">
      <w:pPr>
        <w:rPr>
          <w:rFonts w:ascii="Garamond" w:hAnsi="Garamond"/>
          <w:b/>
          <w:bCs/>
          <w:sz w:val="24"/>
          <w:szCs w:val="24"/>
        </w:rPr>
      </w:pPr>
    </w:p>
    <w:p w14:paraId="541350A0" w14:textId="77777777" w:rsidR="00EF2DBC" w:rsidRDefault="00EF2DBC">
      <w:pPr>
        <w:rPr>
          <w:rFonts w:ascii="Garamond" w:hAnsi="Garamond"/>
          <w:b/>
          <w:bCs/>
          <w:sz w:val="24"/>
          <w:szCs w:val="24"/>
        </w:rPr>
      </w:pPr>
    </w:p>
    <w:p w14:paraId="667CD11D" w14:textId="1611ABEB" w:rsidR="00EF2DBC" w:rsidRDefault="00EF2DBC">
      <w:pPr>
        <w:rPr>
          <w:rFonts w:ascii="Garamond" w:hAnsi="Garamond"/>
          <w:b/>
          <w:bCs/>
          <w:sz w:val="24"/>
          <w:szCs w:val="24"/>
        </w:rPr>
      </w:pPr>
    </w:p>
    <w:p w14:paraId="3EFD256C" w14:textId="485E3F75" w:rsidR="00EF2DBC" w:rsidRDefault="00EF2DBC">
      <w:pPr>
        <w:rPr>
          <w:rFonts w:ascii="Garamond" w:hAnsi="Garamond"/>
          <w:b/>
          <w:bCs/>
          <w:sz w:val="24"/>
          <w:szCs w:val="24"/>
        </w:rPr>
      </w:pPr>
    </w:p>
    <w:p w14:paraId="62B53FA6" w14:textId="5E579C78" w:rsidR="00EF2DBC" w:rsidRDefault="00EF2DBC">
      <w:pPr>
        <w:rPr>
          <w:rFonts w:ascii="Garamond" w:hAnsi="Garamond"/>
          <w:b/>
          <w:bCs/>
          <w:sz w:val="24"/>
          <w:szCs w:val="24"/>
        </w:rPr>
      </w:pPr>
    </w:p>
    <w:p w14:paraId="621A8747" w14:textId="2EC486E9" w:rsidR="00EF2DBC" w:rsidRDefault="00EF2DBC">
      <w:pPr>
        <w:rPr>
          <w:rFonts w:ascii="Garamond" w:hAnsi="Garamond"/>
          <w:b/>
          <w:bCs/>
          <w:sz w:val="24"/>
          <w:szCs w:val="24"/>
        </w:rPr>
      </w:pPr>
    </w:p>
    <w:p w14:paraId="4478637F" w14:textId="598DEA95" w:rsidR="00EF2DBC" w:rsidRDefault="00EF2DBC">
      <w:pPr>
        <w:rPr>
          <w:rFonts w:ascii="Garamond" w:hAnsi="Garamond"/>
          <w:b/>
          <w:bCs/>
          <w:sz w:val="24"/>
          <w:szCs w:val="24"/>
        </w:rPr>
      </w:pPr>
    </w:p>
    <w:p w14:paraId="346D421A" w14:textId="5E8DAF78" w:rsidR="00EF2DBC" w:rsidRDefault="00EF2DBC">
      <w:pPr>
        <w:rPr>
          <w:rFonts w:ascii="Garamond" w:hAnsi="Garamond"/>
          <w:b/>
          <w:bCs/>
          <w:sz w:val="24"/>
          <w:szCs w:val="24"/>
        </w:rPr>
      </w:pPr>
    </w:p>
    <w:p w14:paraId="7C916821" w14:textId="7154BC83" w:rsidR="00EF2DBC" w:rsidRDefault="00EF2DBC">
      <w:pPr>
        <w:rPr>
          <w:rFonts w:ascii="Garamond" w:hAnsi="Garamond"/>
          <w:b/>
          <w:bCs/>
          <w:sz w:val="24"/>
          <w:szCs w:val="24"/>
        </w:rPr>
      </w:pPr>
    </w:p>
    <w:p w14:paraId="5AD0D79D" w14:textId="18EC7CC7" w:rsidR="00EF2DBC" w:rsidRDefault="00EF2DBC">
      <w:pPr>
        <w:rPr>
          <w:rFonts w:ascii="Garamond" w:hAnsi="Garamond"/>
          <w:b/>
          <w:bCs/>
          <w:sz w:val="24"/>
          <w:szCs w:val="24"/>
        </w:rPr>
      </w:pPr>
    </w:p>
    <w:p w14:paraId="437B907F" w14:textId="7663266F" w:rsidR="00EF2DBC" w:rsidRDefault="00EF2DBC">
      <w:pPr>
        <w:rPr>
          <w:rFonts w:ascii="Garamond" w:hAnsi="Garamond"/>
          <w:b/>
          <w:bCs/>
          <w:sz w:val="24"/>
          <w:szCs w:val="24"/>
        </w:rPr>
      </w:pPr>
    </w:p>
    <w:p w14:paraId="54C66968" w14:textId="5AC6A900" w:rsidR="00EF2DBC" w:rsidRDefault="00EF2DBC">
      <w:pPr>
        <w:rPr>
          <w:rFonts w:ascii="Garamond" w:hAnsi="Garamond"/>
          <w:b/>
          <w:bCs/>
          <w:sz w:val="24"/>
          <w:szCs w:val="24"/>
        </w:rPr>
      </w:pPr>
    </w:p>
    <w:p w14:paraId="124E4643" w14:textId="5FEA22F9" w:rsidR="00EF2DBC" w:rsidRDefault="00EF2DBC">
      <w:pPr>
        <w:rPr>
          <w:rFonts w:ascii="Garamond" w:hAnsi="Garamond"/>
          <w:b/>
          <w:bCs/>
          <w:sz w:val="24"/>
          <w:szCs w:val="24"/>
        </w:rPr>
      </w:pPr>
    </w:p>
    <w:p w14:paraId="344C91DC" w14:textId="788471DF" w:rsidR="00EF2DBC" w:rsidRDefault="00EF2DBC">
      <w:pPr>
        <w:rPr>
          <w:rFonts w:ascii="Garamond" w:hAnsi="Garamond"/>
          <w:b/>
          <w:bCs/>
          <w:sz w:val="24"/>
          <w:szCs w:val="24"/>
        </w:rPr>
      </w:pPr>
    </w:p>
    <w:p w14:paraId="0C1166C2" w14:textId="129FE5F0" w:rsidR="00EF2DBC" w:rsidRDefault="00EF2DBC">
      <w:pPr>
        <w:rPr>
          <w:rFonts w:ascii="Garamond" w:hAnsi="Garamond"/>
          <w:b/>
          <w:bCs/>
          <w:sz w:val="24"/>
          <w:szCs w:val="24"/>
        </w:rPr>
      </w:pPr>
    </w:p>
    <w:p w14:paraId="1B44EA47" w14:textId="3DDC6136" w:rsidR="00EF2DBC" w:rsidRDefault="00EF2DBC">
      <w:pPr>
        <w:rPr>
          <w:rFonts w:ascii="Garamond" w:hAnsi="Garamond"/>
          <w:b/>
          <w:bCs/>
          <w:sz w:val="24"/>
          <w:szCs w:val="24"/>
        </w:rPr>
      </w:pPr>
    </w:p>
    <w:p w14:paraId="4A8A3008" w14:textId="29AADAAB" w:rsidR="00EF2DBC" w:rsidRDefault="00EF2DBC">
      <w:pPr>
        <w:rPr>
          <w:rFonts w:ascii="Garamond" w:hAnsi="Garamond"/>
          <w:b/>
          <w:bCs/>
          <w:sz w:val="24"/>
          <w:szCs w:val="24"/>
        </w:rPr>
      </w:pPr>
      <w:r>
        <w:rPr>
          <w:noProof/>
        </w:rPr>
        <mc:AlternateContent>
          <mc:Choice Requires="wps">
            <w:drawing>
              <wp:anchor distT="0" distB="0" distL="114300" distR="114300" simplePos="0" relativeHeight="251657728" behindDoc="0" locked="0" layoutInCell="1" allowOverlap="1" wp14:anchorId="44D966FA" wp14:editId="1D807BFE">
                <wp:simplePos x="0" y="0"/>
                <wp:positionH relativeFrom="column">
                  <wp:posOffset>-104775</wp:posOffset>
                </wp:positionH>
                <wp:positionV relativeFrom="paragraph">
                  <wp:posOffset>56515</wp:posOffset>
                </wp:positionV>
                <wp:extent cx="5787390" cy="2757487"/>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5787390" cy="2757487"/>
                        </a:xfrm>
                        <a:prstGeom prst="rect">
                          <a:avLst/>
                        </a:prstGeom>
                        <a:noFill/>
                        <a:ln w="6350">
                          <a:noFill/>
                        </a:ln>
                      </wps:spPr>
                      <wps:txbx>
                        <w:txbxContent>
                          <w:p w14:paraId="47B796D1" w14:textId="5D532EA7" w:rsidR="00EF2DBC" w:rsidRDefault="00EF2DBC" w:rsidP="00EF2DBC">
                            <w:pPr>
                              <w:pStyle w:val="RSHVCCoverTitle"/>
                            </w:pPr>
                            <w:r>
                              <w:t>Appendix 4:</w:t>
                            </w:r>
                          </w:p>
                          <w:p w14:paraId="724BA66B" w14:textId="2D4DD830" w:rsidR="00EF2DBC" w:rsidRPr="00D54D6D" w:rsidRDefault="00EF2DBC" w:rsidP="00EF2DBC">
                            <w:pPr>
                              <w:pStyle w:val="RSHVCCoverTitle"/>
                              <w:spacing w:after="240"/>
                            </w:pPr>
                            <w:r>
                              <w:t>Review to Address Sexual Harassment in Courts and Law Memorandum</w:t>
                            </w:r>
                          </w:p>
                          <w:p w14:paraId="6921B7A0" w14:textId="77777777" w:rsidR="00EF2DBC" w:rsidRPr="007A4447" w:rsidRDefault="00EF2DBC" w:rsidP="00EF2DBC">
                            <w:pPr>
                              <w:pStyle w:val="RSHVCCoverTitle"/>
                            </w:pPr>
                          </w:p>
                          <w:p w14:paraId="4D8E5DF3" w14:textId="77777777" w:rsidR="00EF2DBC" w:rsidRDefault="00EF2DBC" w:rsidP="00EF2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D966FA" id="_x0000_t202" coordsize="21600,21600" o:spt="202" path="m,l,21600r21600,l21600,xe">
                <v:stroke joinstyle="miter"/>
                <v:path gradientshapeok="t" o:connecttype="rect"/>
              </v:shapetype>
              <v:shape id="Text Box 2" o:spid="_x0000_s1026" type="#_x0000_t202" style="position:absolute;margin-left:-8.25pt;margin-top:4.45pt;width:455.7pt;height:217.1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" filled="f" stroked="f" strokeweight=".5pt">
                <v:textbox>
                  <w:txbxContent>
                    <w:p w14:paraId="47B796D1" w14:textId="5D532EA7" w:rsidR="00EF2DBC" w:rsidRDefault="00EF2DBC" w:rsidP="00EF2DBC">
                      <w:pPr>
                        <w:pStyle w:val="RSHVCCoverTitle"/>
                      </w:pPr>
                      <w:r>
                        <w:t>Appendix 4:</w:t>
                      </w:r>
                    </w:p>
                    <w:p w14:paraId="724BA66B" w14:textId="2D4DD830" w:rsidR="00EF2DBC" w:rsidRPr="00D54D6D" w:rsidRDefault="00EF2DBC" w:rsidP="00EF2DBC">
                      <w:pPr>
                        <w:pStyle w:val="RSHVCCoverTitle"/>
                        <w:spacing w:after="240"/>
                      </w:pPr>
                      <w:r>
                        <w:t>Review to Address Sexual Harassment in Courts and Law Memorandum</w:t>
                      </w:r>
                    </w:p>
                    <w:p w14:paraId="6921B7A0" w14:textId="77777777" w:rsidR="00EF2DBC" w:rsidRPr="007A4447" w:rsidRDefault="00EF2DBC" w:rsidP="00EF2DBC">
                      <w:pPr>
                        <w:pStyle w:val="RSHVCCoverTitle"/>
                      </w:pPr>
                    </w:p>
                    <w:p w14:paraId="4D8E5DF3" w14:textId="77777777" w:rsidR="00EF2DBC" w:rsidRDefault="00EF2DBC" w:rsidP="00EF2DBC"/>
                  </w:txbxContent>
                </v:textbox>
              </v:shape>
            </w:pict>
          </mc:Fallback>
        </mc:AlternateContent>
      </w:r>
    </w:p>
    <w:p w14:paraId="5EB11771" w14:textId="2943D0B8" w:rsidR="00EF2DBC" w:rsidRDefault="00EF2DBC">
      <w:pPr>
        <w:rPr>
          <w:rFonts w:ascii="Garamond" w:hAnsi="Garamond"/>
          <w:b/>
          <w:bCs/>
          <w:sz w:val="24"/>
          <w:szCs w:val="24"/>
        </w:rPr>
      </w:pPr>
    </w:p>
    <w:p w14:paraId="25602742" w14:textId="0441BD4A" w:rsidR="00EF2DBC" w:rsidRDefault="00EF2DBC">
      <w:pPr>
        <w:rPr>
          <w:rFonts w:ascii="Garamond" w:hAnsi="Garamond"/>
          <w:b/>
          <w:bCs/>
          <w:sz w:val="24"/>
          <w:szCs w:val="24"/>
        </w:rPr>
      </w:pPr>
      <w:r>
        <w:rPr>
          <w:noProof/>
        </w:rPr>
        <mc:AlternateContent>
          <mc:Choice Requires="wps">
            <w:drawing>
              <wp:anchor distT="0" distB="0" distL="114300" distR="114300" simplePos="0" relativeHeight="251659776" behindDoc="0" locked="0" layoutInCell="1" allowOverlap="1" wp14:anchorId="690776A7" wp14:editId="50B18BF0">
                <wp:simplePos x="0" y="0"/>
                <wp:positionH relativeFrom="column">
                  <wp:posOffset>-70168</wp:posOffset>
                </wp:positionH>
                <wp:positionV relativeFrom="paragraph">
                  <wp:posOffset>2653347</wp:posOffset>
                </wp:positionV>
                <wp:extent cx="5787390" cy="858272"/>
                <wp:effectExtent l="0" t="0" r="0" b="0"/>
                <wp:wrapNone/>
                <wp:docPr id="3" name="Text Box 3"/>
                <wp:cNvGraphicFramePr/>
                <a:graphic xmlns:a="http://schemas.openxmlformats.org/drawingml/2006/main">
                  <a:graphicData uri="http://schemas.microsoft.com/office/word/2010/wordprocessingShape">
                    <wps:wsp>
                      <wps:cNvSpPr txBox="1"/>
                      <wps:spPr>
                        <a:xfrm>
                          <a:off x="0" y="0"/>
                          <a:ext cx="5787390" cy="858272"/>
                        </a:xfrm>
                        <a:prstGeom prst="rect">
                          <a:avLst/>
                        </a:prstGeom>
                        <a:noFill/>
                        <a:ln w="6350">
                          <a:noFill/>
                        </a:ln>
                      </wps:spPr>
                      <wps:txbx>
                        <w:txbxContent>
                          <w:p w14:paraId="5F9C09AC" w14:textId="6F4F27DE" w:rsidR="00EF2DBC" w:rsidRDefault="00EF2DBC" w:rsidP="00EF2DBC">
                            <w:pPr>
                              <w:pStyle w:val="RSHVCCoverSubhead"/>
                            </w:pPr>
                            <w:r w:rsidRPr="00EF2DBC">
                              <w:t>Fiona McLeod AO SC</w:t>
                            </w:r>
                          </w:p>
                          <w:p w14:paraId="0AF2A251" w14:textId="68AD68D8" w:rsidR="00EF2DBC" w:rsidRPr="00F77EF3" w:rsidRDefault="00EF2DBC" w:rsidP="00EF2DBC">
                            <w:pPr>
                              <w:pStyle w:val="RSHVCCoverSubhead"/>
                            </w:pPr>
                            <w:r>
                              <w:t xml:space="preserve">FEBRUARY </w:t>
                            </w:r>
                            <w:r w:rsidRPr="00F77EF3">
                              <w:t>202</w:t>
                            </w:r>
                            <w:r>
                              <w:t>1</w:t>
                            </w:r>
                          </w:p>
                          <w:p w14:paraId="1949A48B" w14:textId="77777777" w:rsidR="00EF2DBC" w:rsidRPr="00F03F23" w:rsidRDefault="00EF2DBC" w:rsidP="00EF2DBC">
                            <w:pPr>
                              <w:pStyle w:val="RSHVCCoverSubhea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0776A7" id="Text Box 3" o:spid="_x0000_s1027" type="#_x0000_t202" style="position:absolute;margin-left:-5.55pt;margin-top:208.9pt;width:455.7pt;height:67.6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" filled="f" stroked="f" strokeweight=".5pt">
                <v:textbox>
                  <w:txbxContent>
                    <w:p w14:paraId="5F9C09AC" w14:textId="6F4F27DE" w:rsidR="00EF2DBC" w:rsidRDefault="00EF2DBC" w:rsidP="00EF2DBC">
                      <w:pPr>
                        <w:pStyle w:val="RSHVCCoverSubhead"/>
                      </w:pPr>
                      <w:r w:rsidRPr="00EF2DBC">
                        <w:t>Fiona McLeod AO SC</w:t>
                      </w:r>
                    </w:p>
                    <w:p w14:paraId="0AF2A251" w14:textId="68AD68D8" w:rsidR="00EF2DBC" w:rsidRPr="00F77EF3" w:rsidRDefault="00EF2DBC" w:rsidP="00EF2DBC">
                      <w:pPr>
                        <w:pStyle w:val="RSHVCCoverSubhead"/>
                      </w:pPr>
                      <w:r>
                        <w:t>FEBRUARY</w:t>
                      </w:r>
                      <w:r>
                        <w:t xml:space="preserve"> </w:t>
                      </w:r>
                      <w:r w:rsidRPr="00F77EF3">
                        <w:t>202</w:t>
                      </w:r>
                      <w:r>
                        <w:t>1</w:t>
                      </w:r>
                    </w:p>
                    <w:p w14:paraId="1949A48B" w14:textId="77777777" w:rsidR="00EF2DBC" w:rsidRPr="00F03F23" w:rsidRDefault="00EF2DBC" w:rsidP="00EF2DBC">
                      <w:pPr>
                        <w:pStyle w:val="RSHVCCoverSubhead"/>
                      </w:pPr>
                    </w:p>
                  </w:txbxContent>
                </v:textbox>
              </v:shape>
            </w:pict>
          </mc:Fallback>
        </mc:AlternateContent>
      </w:r>
      <w:r>
        <w:rPr>
          <w:rFonts w:ascii="Garamond" w:hAnsi="Garamond"/>
          <w:b/>
          <w:bCs/>
          <w:sz w:val="24"/>
          <w:szCs w:val="24"/>
        </w:rPr>
        <w:br w:type="page"/>
      </w:r>
    </w:p>
    <w:p w14:paraId="4B10361B" w14:textId="212F0F06" w:rsidR="009916E9" w:rsidRPr="001F021D" w:rsidRDefault="009916E9" w:rsidP="002E1644">
      <w:pPr>
        <w:jc w:val="center"/>
        <w:rPr>
          <w:rFonts w:ascii="Garamond" w:hAnsi="Garamond"/>
          <w:b/>
          <w:bCs/>
          <w:sz w:val="24"/>
          <w:szCs w:val="24"/>
        </w:rPr>
      </w:pPr>
      <w:r w:rsidRPr="001F021D">
        <w:rPr>
          <w:rFonts w:ascii="Garamond" w:hAnsi="Garamond"/>
          <w:b/>
          <w:bCs/>
          <w:sz w:val="24"/>
          <w:szCs w:val="24"/>
        </w:rPr>
        <w:lastRenderedPageBreak/>
        <w:t>REVIEW TO ADDRESS SEXUAL HARASSMENT IN COURTS AND LAW</w:t>
      </w:r>
      <w:r w:rsidR="003A13FB" w:rsidRPr="001F021D">
        <w:rPr>
          <w:rFonts w:ascii="Garamond" w:hAnsi="Garamond"/>
          <w:b/>
          <w:bCs/>
          <w:sz w:val="24"/>
          <w:szCs w:val="24"/>
        </w:rPr>
        <w:t xml:space="preserve"> </w:t>
      </w:r>
    </w:p>
    <w:p w14:paraId="47F897BA" w14:textId="77777777" w:rsidR="002E1644" w:rsidRPr="001F021D" w:rsidRDefault="00A633CA" w:rsidP="002E1644">
      <w:pPr>
        <w:jc w:val="center"/>
        <w:rPr>
          <w:rFonts w:ascii="Garamond" w:hAnsi="Garamond"/>
          <w:b/>
          <w:bCs/>
          <w:sz w:val="24"/>
          <w:szCs w:val="24"/>
        </w:rPr>
      </w:pPr>
      <w:r w:rsidRPr="001F021D">
        <w:rPr>
          <w:rFonts w:ascii="Garamond" w:hAnsi="Garamond"/>
          <w:b/>
          <w:bCs/>
          <w:sz w:val="24"/>
          <w:szCs w:val="24"/>
        </w:rPr>
        <w:t xml:space="preserve">MEMORANDUM OF </w:t>
      </w:r>
      <w:r w:rsidR="002E1644" w:rsidRPr="001F021D">
        <w:rPr>
          <w:rFonts w:ascii="Garamond" w:hAnsi="Garamond"/>
          <w:b/>
          <w:bCs/>
          <w:sz w:val="24"/>
          <w:szCs w:val="24"/>
        </w:rPr>
        <w:t>ADVICE</w:t>
      </w:r>
    </w:p>
    <w:p w14:paraId="26E1A652" w14:textId="77777777" w:rsidR="002E05BA" w:rsidRPr="001F021D" w:rsidRDefault="002E05BA" w:rsidP="002E1644">
      <w:pPr>
        <w:jc w:val="center"/>
        <w:rPr>
          <w:rFonts w:ascii="Garamond" w:hAnsi="Garamond"/>
          <w:sz w:val="24"/>
          <w:szCs w:val="24"/>
        </w:rPr>
      </w:pPr>
    </w:p>
    <w:p w14:paraId="39B652E8" w14:textId="77777777" w:rsidR="00A633CA" w:rsidRPr="001F021D" w:rsidRDefault="00A633CA" w:rsidP="00A633CA">
      <w:pPr>
        <w:jc w:val="both"/>
        <w:rPr>
          <w:rFonts w:ascii="Garamond" w:hAnsi="Garamond"/>
          <w:sz w:val="24"/>
          <w:szCs w:val="24"/>
        </w:rPr>
      </w:pPr>
    </w:p>
    <w:p w14:paraId="22977430" w14:textId="77777777" w:rsidR="001C7BED" w:rsidRPr="001F021D" w:rsidRDefault="00D22467" w:rsidP="002E05BA">
      <w:pPr>
        <w:pStyle w:val="ListParagraph"/>
        <w:numPr>
          <w:ilvl w:val="0"/>
          <w:numId w:val="1"/>
        </w:numPr>
        <w:jc w:val="both"/>
        <w:rPr>
          <w:rFonts w:ascii="Garamond" w:hAnsi="Garamond"/>
          <w:sz w:val="24"/>
          <w:szCs w:val="24"/>
        </w:rPr>
      </w:pPr>
      <w:r w:rsidRPr="001F021D">
        <w:rPr>
          <w:rFonts w:ascii="Garamond" w:hAnsi="Garamond"/>
          <w:sz w:val="24"/>
          <w:szCs w:val="24"/>
        </w:rPr>
        <w:t xml:space="preserve">I have been </w:t>
      </w:r>
      <w:r w:rsidR="00D74A41" w:rsidRPr="001F021D">
        <w:rPr>
          <w:rFonts w:ascii="Garamond" w:hAnsi="Garamond"/>
          <w:sz w:val="24"/>
          <w:szCs w:val="24"/>
        </w:rPr>
        <w:t>asked</w:t>
      </w:r>
      <w:r w:rsidRPr="001F021D">
        <w:rPr>
          <w:rFonts w:ascii="Garamond" w:hAnsi="Garamond"/>
          <w:sz w:val="24"/>
          <w:szCs w:val="24"/>
        </w:rPr>
        <w:t xml:space="preserve"> to advise </w:t>
      </w:r>
      <w:r w:rsidR="003A13FB" w:rsidRPr="001F021D">
        <w:rPr>
          <w:rFonts w:ascii="Garamond" w:hAnsi="Garamond"/>
          <w:sz w:val="24"/>
          <w:szCs w:val="24"/>
        </w:rPr>
        <w:t xml:space="preserve">the Review </w:t>
      </w:r>
      <w:r w:rsidR="005C350E" w:rsidRPr="001F021D">
        <w:rPr>
          <w:rFonts w:ascii="Garamond" w:hAnsi="Garamond"/>
          <w:bCs/>
          <w:sz w:val="24"/>
          <w:szCs w:val="24"/>
        </w:rPr>
        <w:t>t</w:t>
      </w:r>
      <w:r w:rsidR="00FA3F29" w:rsidRPr="001F021D">
        <w:rPr>
          <w:rFonts w:ascii="Garamond" w:hAnsi="Garamond"/>
          <w:bCs/>
          <w:sz w:val="24"/>
          <w:szCs w:val="24"/>
        </w:rPr>
        <w:t xml:space="preserve">o Address Sexual Harassment </w:t>
      </w:r>
      <w:r w:rsidR="005C350E" w:rsidRPr="001F021D">
        <w:rPr>
          <w:rFonts w:ascii="Garamond" w:hAnsi="Garamond"/>
          <w:bCs/>
          <w:sz w:val="24"/>
          <w:szCs w:val="24"/>
        </w:rPr>
        <w:t>i</w:t>
      </w:r>
      <w:r w:rsidR="00FA3F29" w:rsidRPr="001F021D">
        <w:rPr>
          <w:rFonts w:ascii="Garamond" w:hAnsi="Garamond"/>
          <w:bCs/>
          <w:sz w:val="24"/>
          <w:szCs w:val="24"/>
        </w:rPr>
        <w:t xml:space="preserve">n Courts </w:t>
      </w:r>
      <w:r w:rsidR="005C350E" w:rsidRPr="001F021D">
        <w:rPr>
          <w:rFonts w:ascii="Garamond" w:hAnsi="Garamond"/>
          <w:bCs/>
          <w:sz w:val="24"/>
          <w:szCs w:val="24"/>
        </w:rPr>
        <w:t>a</w:t>
      </w:r>
      <w:r w:rsidR="00FA3F29" w:rsidRPr="001F021D">
        <w:rPr>
          <w:rFonts w:ascii="Garamond" w:hAnsi="Garamond"/>
          <w:bCs/>
          <w:sz w:val="24"/>
          <w:szCs w:val="24"/>
        </w:rPr>
        <w:t>nd Law</w:t>
      </w:r>
      <w:r w:rsidR="00FA3F29" w:rsidRPr="001F021D">
        <w:rPr>
          <w:rFonts w:ascii="Garamond" w:hAnsi="Garamond"/>
          <w:sz w:val="24"/>
          <w:szCs w:val="24"/>
        </w:rPr>
        <w:t xml:space="preserve"> (</w:t>
      </w:r>
      <w:r w:rsidR="00FA3F29" w:rsidRPr="001F021D">
        <w:rPr>
          <w:rFonts w:ascii="Garamond" w:hAnsi="Garamond"/>
          <w:b/>
          <w:sz w:val="24"/>
          <w:szCs w:val="24"/>
        </w:rPr>
        <w:t>Review</w:t>
      </w:r>
      <w:r w:rsidR="005C350E" w:rsidRPr="001F021D">
        <w:rPr>
          <w:rFonts w:ascii="Garamond" w:hAnsi="Garamond"/>
          <w:sz w:val="24"/>
          <w:szCs w:val="24"/>
        </w:rPr>
        <w:t>)</w:t>
      </w:r>
      <w:r w:rsidR="00FA3F29" w:rsidRPr="001F021D">
        <w:rPr>
          <w:rFonts w:ascii="Garamond" w:hAnsi="Garamond"/>
          <w:sz w:val="24"/>
          <w:szCs w:val="24"/>
        </w:rPr>
        <w:t xml:space="preserve"> </w:t>
      </w:r>
      <w:r w:rsidR="003A13FB" w:rsidRPr="001F021D">
        <w:rPr>
          <w:rFonts w:ascii="Garamond" w:hAnsi="Garamond"/>
          <w:sz w:val="24"/>
          <w:szCs w:val="24"/>
        </w:rPr>
        <w:t xml:space="preserve">Advisory Committee </w:t>
      </w:r>
      <w:r w:rsidRPr="001F021D">
        <w:rPr>
          <w:rFonts w:ascii="Garamond" w:hAnsi="Garamond"/>
          <w:sz w:val="24"/>
          <w:szCs w:val="24"/>
        </w:rPr>
        <w:t>in relation to certain</w:t>
      </w:r>
      <w:r w:rsidR="00332252" w:rsidRPr="001F021D">
        <w:rPr>
          <w:rFonts w:ascii="Garamond" w:hAnsi="Garamond"/>
          <w:sz w:val="24"/>
          <w:szCs w:val="24"/>
        </w:rPr>
        <w:t xml:space="preserve"> issues </w:t>
      </w:r>
      <w:r w:rsidR="003A13FB" w:rsidRPr="001F021D">
        <w:rPr>
          <w:rFonts w:ascii="Garamond" w:hAnsi="Garamond"/>
          <w:sz w:val="24"/>
          <w:szCs w:val="24"/>
        </w:rPr>
        <w:t>concerning</w:t>
      </w:r>
      <w:r w:rsidR="004953B7" w:rsidRPr="001F021D">
        <w:rPr>
          <w:rFonts w:ascii="Garamond" w:hAnsi="Garamond"/>
          <w:sz w:val="24"/>
          <w:szCs w:val="24"/>
        </w:rPr>
        <w:t xml:space="preserve"> the </w:t>
      </w:r>
      <w:r w:rsidR="003A13FB" w:rsidRPr="001F021D">
        <w:rPr>
          <w:rFonts w:ascii="Garamond" w:hAnsi="Garamond"/>
          <w:sz w:val="24"/>
          <w:szCs w:val="24"/>
        </w:rPr>
        <w:t xml:space="preserve">application of sexual harassment laws to </w:t>
      </w:r>
      <w:r w:rsidR="004953B7" w:rsidRPr="001F021D">
        <w:rPr>
          <w:rFonts w:ascii="Garamond" w:hAnsi="Garamond"/>
          <w:sz w:val="24"/>
          <w:szCs w:val="24"/>
        </w:rPr>
        <w:t>judicial officers</w:t>
      </w:r>
      <w:r w:rsidR="0048453D" w:rsidRPr="001F021D">
        <w:rPr>
          <w:rFonts w:ascii="Garamond" w:hAnsi="Garamond"/>
          <w:sz w:val="24"/>
          <w:szCs w:val="24"/>
        </w:rPr>
        <w:t xml:space="preserve">. </w:t>
      </w:r>
      <w:r w:rsidR="002E05BA" w:rsidRPr="001F021D">
        <w:rPr>
          <w:rFonts w:ascii="Garamond" w:hAnsi="Garamond"/>
          <w:sz w:val="24"/>
          <w:szCs w:val="24"/>
        </w:rPr>
        <w:t xml:space="preserve">These questions have been refined after </w:t>
      </w:r>
      <w:r w:rsidR="001C7BED" w:rsidRPr="001F021D">
        <w:rPr>
          <w:rFonts w:ascii="Garamond" w:hAnsi="Garamond"/>
          <w:sz w:val="24"/>
          <w:szCs w:val="24"/>
        </w:rPr>
        <w:t>a</w:t>
      </w:r>
      <w:r w:rsidR="0074222C" w:rsidRPr="001F021D">
        <w:rPr>
          <w:rFonts w:ascii="Garamond" w:hAnsi="Garamond"/>
          <w:sz w:val="24"/>
          <w:szCs w:val="24"/>
        </w:rPr>
        <w:t xml:space="preserve"> </w:t>
      </w:r>
      <w:r w:rsidR="002E05BA" w:rsidRPr="001F021D">
        <w:rPr>
          <w:rFonts w:ascii="Garamond" w:hAnsi="Garamond"/>
          <w:sz w:val="24"/>
          <w:szCs w:val="24"/>
        </w:rPr>
        <w:t xml:space="preserve">conference of 11 December, 2020. </w:t>
      </w:r>
    </w:p>
    <w:p w14:paraId="27510A1D" w14:textId="77777777" w:rsidR="001C7BED" w:rsidRPr="001F021D" w:rsidRDefault="001C7BED" w:rsidP="001C7BED">
      <w:pPr>
        <w:pStyle w:val="ListParagraph"/>
        <w:ind w:left="360"/>
        <w:jc w:val="both"/>
        <w:rPr>
          <w:rFonts w:ascii="Garamond" w:hAnsi="Garamond"/>
          <w:sz w:val="24"/>
          <w:szCs w:val="24"/>
        </w:rPr>
      </w:pPr>
    </w:p>
    <w:p w14:paraId="6AFDC89C" w14:textId="77777777" w:rsidR="005611FE" w:rsidRPr="001F021D" w:rsidRDefault="002E05BA" w:rsidP="002E05BA">
      <w:pPr>
        <w:pStyle w:val="ListParagraph"/>
        <w:numPr>
          <w:ilvl w:val="0"/>
          <w:numId w:val="1"/>
        </w:numPr>
        <w:jc w:val="both"/>
        <w:rPr>
          <w:rFonts w:ascii="Garamond" w:hAnsi="Garamond"/>
          <w:sz w:val="24"/>
          <w:szCs w:val="24"/>
        </w:rPr>
      </w:pPr>
      <w:r w:rsidRPr="001F021D">
        <w:rPr>
          <w:rFonts w:ascii="Garamond" w:hAnsi="Garamond"/>
          <w:sz w:val="24"/>
          <w:szCs w:val="24"/>
        </w:rPr>
        <w:t>I am asked to advise on:</w:t>
      </w:r>
    </w:p>
    <w:p w14:paraId="2505ECDA" w14:textId="77777777" w:rsidR="002E05BA" w:rsidRPr="001F021D" w:rsidRDefault="002E05BA" w:rsidP="002E05BA">
      <w:pPr>
        <w:pStyle w:val="ListParagraph"/>
        <w:ind w:left="360"/>
        <w:jc w:val="both"/>
        <w:rPr>
          <w:rFonts w:ascii="Garamond" w:hAnsi="Garamond"/>
          <w:sz w:val="24"/>
          <w:szCs w:val="24"/>
        </w:rPr>
      </w:pPr>
    </w:p>
    <w:p w14:paraId="6F5C3B7D" w14:textId="77777777" w:rsidR="0031236C" w:rsidRPr="001F021D" w:rsidRDefault="002E05BA" w:rsidP="002E05BA">
      <w:pPr>
        <w:pStyle w:val="ListParagraph"/>
        <w:numPr>
          <w:ilvl w:val="1"/>
          <w:numId w:val="1"/>
        </w:numPr>
        <w:jc w:val="both"/>
        <w:rPr>
          <w:rFonts w:ascii="Garamond" w:hAnsi="Garamond"/>
          <w:sz w:val="24"/>
          <w:szCs w:val="24"/>
        </w:rPr>
      </w:pPr>
      <w:r w:rsidRPr="001F021D">
        <w:rPr>
          <w:rFonts w:ascii="Garamond" w:hAnsi="Garamond"/>
          <w:sz w:val="24"/>
          <w:szCs w:val="24"/>
        </w:rPr>
        <w:t>t</w:t>
      </w:r>
      <w:r w:rsidR="005611FE" w:rsidRPr="001F021D">
        <w:rPr>
          <w:rFonts w:ascii="Garamond" w:hAnsi="Garamond"/>
          <w:sz w:val="24"/>
          <w:szCs w:val="24"/>
        </w:rPr>
        <w:t xml:space="preserve">he application of </w:t>
      </w:r>
      <w:r w:rsidR="009816D5" w:rsidRPr="001F021D">
        <w:rPr>
          <w:rFonts w:ascii="Garamond" w:hAnsi="Garamond"/>
          <w:sz w:val="24"/>
          <w:szCs w:val="24"/>
        </w:rPr>
        <w:t xml:space="preserve">ss 15, 93, 94, 99, 105 and 109 of </w:t>
      </w:r>
      <w:r w:rsidR="005611FE" w:rsidRPr="001F021D">
        <w:rPr>
          <w:rFonts w:ascii="Garamond" w:hAnsi="Garamond"/>
          <w:sz w:val="24"/>
          <w:szCs w:val="24"/>
        </w:rPr>
        <w:t xml:space="preserve">the </w:t>
      </w:r>
      <w:r w:rsidR="005611FE" w:rsidRPr="001F021D">
        <w:rPr>
          <w:rFonts w:ascii="Garamond" w:hAnsi="Garamond"/>
          <w:i/>
          <w:iCs/>
          <w:sz w:val="24"/>
          <w:szCs w:val="24"/>
        </w:rPr>
        <w:t>E</w:t>
      </w:r>
      <w:r w:rsidR="000E0E58" w:rsidRPr="001F021D">
        <w:rPr>
          <w:rFonts w:ascii="Garamond" w:hAnsi="Garamond"/>
          <w:i/>
          <w:iCs/>
          <w:sz w:val="24"/>
          <w:szCs w:val="24"/>
        </w:rPr>
        <w:t xml:space="preserve">qual </w:t>
      </w:r>
      <w:r w:rsidR="005611FE" w:rsidRPr="001F021D">
        <w:rPr>
          <w:rFonts w:ascii="Garamond" w:hAnsi="Garamond"/>
          <w:i/>
          <w:iCs/>
          <w:sz w:val="24"/>
          <w:szCs w:val="24"/>
        </w:rPr>
        <w:t>O</w:t>
      </w:r>
      <w:r w:rsidR="000E0E58" w:rsidRPr="001F021D">
        <w:rPr>
          <w:rFonts w:ascii="Garamond" w:hAnsi="Garamond"/>
          <w:i/>
          <w:iCs/>
          <w:sz w:val="24"/>
          <w:szCs w:val="24"/>
        </w:rPr>
        <w:t>pportunity</w:t>
      </w:r>
      <w:r w:rsidR="005611FE" w:rsidRPr="001F021D">
        <w:rPr>
          <w:rFonts w:ascii="Garamond" w:hAnsi="Garamond"/>
          <w:i/>
          <w:iCs/>
          <w:sz w:val="24"/>
          <w:szCs w:val="24"/>
        </w:rPr>
        <w:t xml:space="preserve"> Act</w:t>
      </w:r>
      <w:r w:rsidR="000E0E58" w:rsidRPr="001F021D">
        <w:rPr>
          <w:rFonts w:ascii="Garamond" w:hAnsi="Garamond"/>
          <w:i/>
          <w:iCs/>
          <w:sz w:val="24"/>
          <w:szCs w:val="24"/>
        </w:rPr>
        <w:t xml:space="preserve"> 2010 </w:t>
      </w:r>
      <w:r w:rsidR="000E0E58" w:rsidRPr="001F021D">
        <w:rPr>
          <w:rFonts w:ascii="Garamond" w:hAnsi="Garamond"/>
          <w:sz w:val="24"/>
          <w:szCs w:val="24"/>
        </w:rPr>
        <w:t>(Vic) (</w:t>
      </w:r>
      <w:r w:rsidR="000E0E58" w:rsidRPr="001F021D">
        <w:rPr>
          <w:rFonts w:ascii="Garamond" w:hAnsi="Garamond"/>
          <w:b/>
          <w:bCs/>
          <w:sz w:val="24"/>
          <w:szCs w:val="24"/>
        </w:rPr>
        <w:t>EO Act</w:t>
      </w:r>
      <w:r w:rsidR="000E0E58" w:rsidRPr="001F021D">
        <w:rPr>
          <w:rFonts w:ascii="Garamond" w:hAnsi="Garamond"/>
          <w:sz w:val="24"/>
          <w:szCs w:val="24"/>
        </w:rPr>
        <w:t>)</w:t>
      </w:r>
      <w:r w:rsidR="005611FE" w:rsidRPr="001F021D">
        <w:rPr>
          <w:rFonts w:ascii="Garamond" w:hAnsi="Garamond"/>
          <w:sz w:val="24"/>
          <w:szCs w:val="24"/>
        </w:rPr>
        <w:t xml:space="preserve"> </w:t>
      </w:r>
      <w:r w:rsidR="009816D5" w:rsidRPr="001F021D">
        <w:rPr>
          <w:rFonts w:ascii="Garamond" w:hAnsi="Garamond"/>
          <w:sz w:val="24"/>
          <w:szCs w:val="24"/>
        </w:rPr>
        <w:t xml:space="preserve">in the context of </w:t>
      </w:r>
      <w:r w:rsidRPr="001F021D">
        <w:rPr>
          <w:rFonts w:ascii="Garamond" w:hAnsi="Garamond"/>
          <w:sz w:val="24"/>
          <w:szCs w:val="24"/>
        </w:rPr>
        <w:t xml:space="preserve">sexual harassment by </w:t>
      </w:r>
      <w:r w:rsidR="005611FE" w:rsidRPr="001F021D">
        <w:rPr>
          <w:rFonts w:ascii="Garamond" w:hAnsi="Garamond"/>
          <w:sz w:val="24"/>
          <w:szCs w:val="24"/>
        </w:rPr>
        <w:t>judicial officers</w:t>
      </w:r>
      <w:r w:rsidR="00EC5284" w:rsidRPr="001F021D">
        <w:rPr>
          <w:rFonts w:ascii="Garamond" w:hAnsi="Garamond"/>
          <w:sz w:val="24"/>
          <w:szCs w:val="24"/>
        </w:rPr>
        <w:t>;</w:t>
      </w:r>
    </w:p>
    <w:p w14:paraId="40631183" w14:textId="77777777" w:rsidR="007248CD" w:rsidRPr="001F021D" w:rsidRDefault="007248CD" w:rsidP="007248CD">
      <w:pPr>
        <w:pStyle w:val="ListParagraph"/>
        <w:rPr>
          <w:rFonts w:ascii="Garamond" w:hAnsi="Garamond"/>
          <w:sz w:val="24"/>
          <w:szCs w:val="24"/>
        </w:rPr>
      </w:pPr>
    </w:p>
    <w:p w14:paraId="33A3A608" w14:textId="77777777" w:rsidR="007248CD" w:rsidRPr="001F021D" w:rsidRDefault="002E05BA" w:rsidP="005611FE">
      <w:pPr>
        <w:pStyle w:val="ListParagraph"/>
        <w:numPr>
          <w:ilvl w:val="1"/>
          <w:numId w:val="1"/>
        </w:numPr>
        <w:jc w:val="both"/>
        <w:rPr>
          <w:rFonts w:ascii="Garamond" w:hAnsi="Garamond"/>
          <w:sz w:val="24"/>
          <w:szCs w:val="24"/>
        </w:rPr>
      </w:pPr>
      <w:r w:rsidRPr="001F021D">
        <w:rPr>
          <w:rFonts w:ascii="Garamond" w:hAnsi="Garamond"/>
          <w:sz w:val="24"/>
          <w:szCs w:val="24"/>
        </w:rPr>
        <w:t>t</w:t>
      </w:r>
      <w:r w:rsidR="007248CD" w:rsidRPr="001F021D">
        <w:rPr>
          <w:rFonts w:ascii="Garamond" w:hAnsi="Garamond"/>
          <w:sz w:val="24"/>
          <w:szCs w:val="24"/>
        </w:rPr>
        <w:t xml:space="preserve">he application of the </w:t>
      </w:r>
      <w:r w:rsidR="007248CD" w:rsidRPr="001F021D">
        <w:rPr>
          <w:rFonts w:ascii="Garamond" w:hAnsi="Garamond"/>
          <w:i/>
          <w:iCs/>
          <w:sz w:val="24"/>
          <w:szCs w:val="24"/>
        </w:rPr>
        <w:t>Charter of Human Rights</w:t>
      </w:r>
      <w:r w:rsidR="00F10216" w:rsidRPr="001F021D">
        <w:rPr>
          <w:rFonts w:ascii="Garamond" w:hAnsi="Garamond"/>
          <w:i/>
          <w:iCs/>
          <w:sz w:val="24"/>
          <w:szCs w:val="24"/>
        </w:rPr>
        <w:t xml:space="preserve"> and Responsibilities Act 2006</w:t>
      </w:r>
      <w:r w:rsidR="00F10216" w:rsidRPr="001F021D">
        <w:rPr>
          <w:rFonts w:ascii="Garamond" w:hAnsi="Garamond"/>
          <w:sz w:val="24"/>
          <w:szCs w:val="24"/>
        </w:rPr>
        <w:t xml:space="preserve"> (Vic) (</w:t>
      </w:r>
      <w:r w:rsidR="00F10216" w:rsidRPr="001F021D">
        <w:rPr>
          <w:rFonts w:ascii="Garamond" w:hAnsi="Garamond"/>
          <w:b/>
          <w:bCs/>
          <w:sz w:val="24"/>
          <w:szCs w:val="24"/>
        </w:rPr>
        <w:t>Charter</w:t>
      </w:r>
      <w:r w:rsidR="00F10216" w:rsidRPr="001F021D">
        <w:rPr>
          <w:rFonts w:ascii="Garamond" w:hAnsi="Garamond"/>
          <w:sz w:val="24"/>
          <w:szCs w:val="24"/>
        </w:rPr>
        <w:t>)</w:t>
      </w:r>
      <w:r w:rsidR="00C7094E" w:rsidRPr="001F021D">
        <w:rPr>
          <w:rFonts w:ascii="Garamond" w:hAnsi="Garamond"/>
          <w:sz w:val="24"/>
          <w:szCs w:val="24"/>
        </w:rPr>
        <w:t xml:space="preserve"> to </w:t>
      </w:r>
      <w:r w:rsidRPr="001F021D">
        <w:rPr>
          <w:rFonts w:ascii="Garamond" w:hAnsi="Garamond"/>
          <w:sz w:val="24"/>
          <w:szCs w:val="24"/>
        </w:rPr>
        <w:t xml:space="preserve">sexual harassment by </w:t>
      </w:r>
      <w:r w:rsidR="00C7094E" w:rsidRPr="001F021D">
        <w:rPr>
          <w:rFonts w:ascii="Garamond" w:hAnsi="Garamond"/>
          <w:sz w:val="24"/>
          <w:szCs w:val="24"/>
        </w:rPr>
        <w:t>judicial officers</w:t>
      </w:r>
      <w:r w:rsidR="00EC5284" w:rsidRPr="001F021D">
        <w:rPr>
          <w:rFonts w:ascii="Garamond" w:hAnsi="Garamond"/>
          <w:sz w:val="24"/>
          <w:szCs w:val="24"/>
        </w:rPr>
        <w:t>; and</w:t>
      </w:r>
    </w:p>
    <w:p w14:paraId="282559C6" w14:textId="77777777" w:rsidR="00EC5284" w:rsidRPr="001F021D" w:rsidRDefault="00EC5284" w:rsidP="00EC5284">
      <w:pPr>
        <w:pStyle w:val="ListParagraph"/>
        <w:ind w:left="1080"/>
        <w:jc w:val="both"/>
        <w:rPr>
          <w:rFonts w:ascii="Garamond" w:hAnsi="Garamond"/>
          <w:sz w:val="24"/>
          <w:szCs w:val="24"/>
        </w:rPr>
      </w:pPr>
    </w:p>
    <w:p w14:paraId="3BF1C4BE" w14:textId="77777777" w:rsidR="004F7370" w:rsidRPr="001F021D" w:rsidRDefault="002E05BA" w:rsidP="00293267">
      <w:pPr>
        <w:pStyle w:val="ListParagraph"/>
        <w:numPr>
          <w:ilvl w:val="1"/>
          <w:numId w:val="1"/>
        </w:numPr>
        <w:jc w:val="both"/>
        <w:rPr>
          <w:rFonts w:ascii="Garamond" w:hAnsi="Garamond"/>
          <w:sz w:val="24"/>
          <w:szCs w:val="24"/>
        </w:rPr>
      </w:pPr>
      <w:r w:rsidRPr="001F021D">
        <w:rPr>
          <w:rFonts w:ascii="Garamond" w:hAnsi="Garamond"/>
          <w:sz w:val="24"/>
          <w:szCs w:val="24"/>
        </w:rPr>
        <w:t>t</w:t>
      </w:r>
      <w:r w:rsidR="00EC5284" w:rsidRPr="001F021D">
        <w:rPr>
          <w:rFonts w:ascii="Garamond" w:hAnsi="Garamond"/>
          <w:sz w:val="24"/>
          <w:szCs w:val="24"/>
        </w:rPr>
        <w:t xml:space="preserve">he application of the </w:t>
      </w:r>
      <w:r w:rsidR="00B1477D" w:rsidRPr="001F021D">
        <w:rPr>
          <w:rFonts w:ascii="Garamond" w:hAnsi="Garamond"/>
          <w:i/>
          <w:iCs/>
          <w:sz w:val="24"/>
          <w:szCs w:val="24"/>
        </w:rPr>
        <w:t>O</w:t>
      </w:r>
      <w:r w:rsidR="00F10216" w:rsidRPr="001F021D">
        <w:rPr>
          <w:rFonts w:ascii="Garamond" w:hAnsi="Garamond"/>
          <w:i/>
          <w:iCs/>
          <w:sz w:val="24"/>
          <w:szCs w:val="24"/>
        </w:rPr>
        <w:t xml:space="preserve">ccupational </w:t>
      </w:r>
      <w:r w:rsidR="00B1477D" w:rsidRPr="001F021D">
        <w:rPr>
          <w:rFonts w:ascii="Garamond" w:hAnsi="Garamond"/>
          <w:i/>
          <w:iCs/>
          <w:sz w:val="24"/>
          <w:szCs w:val="24"/>
        </w:rPr>
        <w:t>H</w:t>
      </w:r>
      <w:r w:rsidR="00F10216" w:rsidRPr="001F021D">
        <w:rPr>
          <w:rFonts w:ascii="Garamond" w:hAnsi="Garamond"/>
          <w:i/>
          <w:iCs/>
          <w:sz w:val="24"/>
          <w:szCs w:val="24"/>
        </w:rPr>
        <w:t xml:space="preserve">ealth and </w:t>
      </w:r>
      <w:r w:rsidR="00B1477D" w:rsidRPr="001F021D">
        <w:rPr>
          <w:rFonts w:ascii="Garamond" w:hAnsi="Garamond"/>
          <w:i/>
          <w:iCs/>
          <w:sz w:val="24"/>
          <w:szCs w:val="24"/>
        </w:rPr>
        <w:t>S</w:t>
      </w:r>
      <w:r w:rsidR="00F10216" w:rsidRPr="001F021D">
        <w:rPr>
          <w:rFonts w:ascii="Garamond" w:hAnsi="Garamond"/>
          <w:i/>
          <w:iCs/>
          <w:sz w:val="24"/>
          <w:szCs w:val="24"/>
        </w:rPr>
        <w:t>afety</w:t>
      </w:r>
      <w:r w:rsidR="00B1477D" w:rsidRPr="001F021D">
        <w:rPr>
          <w:rFonts w:ascii="Garamond" w:hAnsi="Garamond"/>
          <w:i/>
          <w:iCs/>
          <w:sz w:val="24"/>
          <w:szCs w:val="24"/>
        </w:rPr>
        <w:t xml:space="preserve"> Act</w:t>
      </w:r>
      <w:r w:rsidR="00FF2102" w:rsidRPr="001F021D">
        <w:rPr>
          <w:rFonts w:ascii="Garamond" w:hAnsi="Garamond"/>
          <w:i/>
          <w:iCs/>
          <w:sz w:val="24"/>
          <w:szCs w:val="24"/>
        </w:rPr>
        <w:t xml:space="preserve"> 2004</w:t>
      </w:r>
      <w:r w:rsidR="00FF2102" w:rsidRPr="001F021D">
        <w:rPr>
          <w:rFonts w:ascii="Garamond" w:hAnsi="Garamond"/>
          <w:sz w:val="24"/>
          <w:szCs w:val="24"/>
        </w:rPr>
        <w:t xml:space="preserve"> (Vic) (</w:t>
      </w:r>
      <w:r w:rsidR="00FF2102" w:rsidRPr="001F021D">
        <w:rPr>
          <w:rFonts w:ascii="Garamond" w:hAnsi="Garamond"/>
          <w:b/>
          <w:bCs/>
          <w:sz w:val="24"/>
          <w:szCs w:val="24"/>
        </w:rPr>
        <w:t>OHS Act</w:t>
      </w:r>
      <w:r w:rsidR="00FF2102" w:rsidRPr="001F021D">
        <w:rPr>
          <w:rFonts w:ascii="Garamond" w:hAnsi="Garamond"/>
          <w:sz w:val="24"/>
          <w:szCs w:val="24"/>
        </w:rPr>
        <w:t>)</w:t>
      </w:r>
      <w:r w:rsidR="00B1477D" w:rsidRPr="001F021D">
        <w:rPr>
          <w:rFonts w:ascii="Garamond" w:hAnsi="Garamond"/>
          <w:sz w:val="24"/>
          <w:szCs w:val="24"/>
        </w:rPr>
        <w:t xml:space="preserve"> to </w:t>
      </w:r>
      <w:r w:rsidRPr="001F021D">
        <w:rPr>
          <w:rFonts w:ascii="Garamond" w:hAnsi="Garamond"/>
          <w:sz w:val="24"/>
          <w:szCs w:val="24"/>
        </w:rPr>
        <w:t xml:space="preserve">sexual harassment by </w:t>
      </w:r>
      <w:r w:rsidR="00B1477D" w:rsidRPr="001F021D">
        <w:rPr>
          <w:rFonts w:ascii="Garamond" w:hAnsi="Garamond"/>
          <w:sz w:val="24"/>
          <w:szCs w:val="24"/>
        </w:rPr>
        <w:t>judicial officers</w:t>
      </w:r>
      <w:r w:rsidR="001C7BED" w:rsidRPr="001F021D">
        <w:rPr>
          <w:rFonts w:ascii="Garamond" w:hAnsi="Garamond"/>
          <w:sz w:val="24"/>
          <w:szCs w:val="24"/>
        </w:rPr>
        <w:t>.</w:t>
      </w:r>
    </w:p>
    <w:p w14:paraId="45156F43" w14:textId="77777777" w:rsidR="002E05BA" w:rsidRPr="001F021D" w:rsidRDefault="002E05BA" w:rsidP="002E05BA">
      <w:pPr>
        <w:pStyle w:val="ListParagraph"/>
        <w:rPr>
          <w:rFonts w:ascii="Garamond" w:hAnsi="Garamond"/>
          <w:sz w:val="24"/>
          <w:szCs w:val="24"/>
        </w:rPr>
      </w:pPr>
    </w:p>
    <w:p w14:paraId="625A26B1" w14:textId="77777777" w:rsidR="002E05BA" w:rsidRPr="001F021D" w:rsidRDefault="002E05BA" w:rsidP="002E05BA">
      <w:pPr>
        <w:pStyle w:val="ListParagraph"/>
        <w:ind w:left="1080"/>
        <w:jc w:val="both"/>
        <w:rPr>
          <w:rFonts w:ascii="Garamond" w:hAnsi="Garamond"/>
          <w:sz w:val="24"/>
          <w:szCs w:val="24"/>
        </w:rPr>
      </w:pPr>
    </w:p>
    <w:p w14:paraId="378B4DD6" w14:textId="77777777" w:rsidR="004F7370" w:rsidRPr="001F021D" w:rsidRDefault="004F7370" w:rsidP="004F7370">
      <w:pPr>
        <w:pStyle w:val="ListParagraph"/>
        <w:numPr>
          <w:ilvl w:val="0"/>
          <w:numId w:val="1"/>
        </w:numPr>
        <w:jc w:val="both"/>
        <w:rPr>
          <w:rFonts w:ascii="Garamond" w:hAnsi="Garamond"/>
          <w:sz w:val="24"/>
          <w:szCs w:val="24"/>
        </w:rPr>
      </w:pPr>
      <w:r w:rsidRPr="001F021D">
        <w:rPr>
          <w:rFonts w:ascii="Garamond" w:hAnsi="Garamond"/>
          <w:sz w:val="24"/>
          <w:szCs w:val="24"/>
        </w:rPr>
        <w:t>In summary</w:t>
      </w:r>
      <w:r w:rsidR="00D521A5" w:rsidRPr="001F021D">
        <w:rPr>
          <w:rFonts w:ascii="Garamond" w:hAnsi="Garamond"/>
          <w:sz w:val="24"/>
          <w:szCs w:val="24"/>
        </w:rPr>
        <w:t>,</w:t>
      </w:r>
      <w:r w:rsidR="00C73D47" w:rsidRPr="001F021D">
        <w:rPr>
          <w:rFonts w:ascii="Garamond" w:hAnsi="Garamond"/>
          <w:sz w:val="24"/>
          <w:szCs w:val="24"/>
        </w:rPr>
        <w:t xml:space="preserve"> in my opinion</w:t>
      </w:r>
      <w:r w:rsidRPr="001F021D">
        <w:rPr>
          <w:rFonts w:ascii="Garamond" w:hAnsi="Garamond"/>
          <w:sz w:val="24"/>
          <w:szCs w:val="24"/>
        </w:rPr>
        <w:t>:</w:t>
      </w:r>
    </w:p>
    <w:p w14:paraId="7635D60B" w14:textId="77777777" w:rsidR="00CD60AF" w:rsidRPr="001F021D" w:rsidRDefault="00CD60AF" w:rsidP="00CD60AF">
      <w:pPr>
        <w:pStyle w:val="ListParagraph"/>
        <w:ind w:left="360"/>
        <w:jc w:val="both"/>
        <w:rPr>
          <w:rFonts w:ascii="Garamond" w:hAnsi="Garamond"/>
          <w:sz w:val="24"/>
          <w:szCs w:val="24"/>
        </w:rPr>
      </w:pPr>
    </w:p>
    <w:p w14:paraId="0A6152E5" w14:textId="77777777" w:rsidR="00CD60AF" w:rsidRPr="001F021D" w:rsidRDefault="00CD60AF" w:rsidP="003A13FB">
      <w:pPr>
        <w:pStyle w:val="ListParagraph"/>
        <w:ind w:left="360"/>
        <w:jc w:val="both"/>
        <w:rPr>
          <w:rFonts w:ascii="Garamond" w:hAnsi="Garamond"/>
          <w:b/>
          <w:i/>
          <w:sz w:val="24"/>
          <w:szCs w:val="24"/>
        </w:rPr>
      </w:pPr>
      <w:r w:rsidRPr="001F021D">
        <w:rPr>
          <w:rFonts w:ascii="Garamond" w:hAnsi="Garamond"/>
          <w:b/>
          <w:i/>
          <w:sz w:val="24"/>
          <w:szCs w:val="24"/>
        </w:rPr>
        <w:t xml:space="preserve">EO ACT </w:t>
      </w:r>
    </w:p>
    <w:p w14:paraId="52B5C813" w14:textId="77777777" w:rsidR="00D521A5" w:rsidRPr="001F021D" w:rsidRDefault="004F7370" w:rsidP="00672842">
      <w:pPr>
        <w:pStyle w:val="ListParagraph"/>
        <w:numPr>
          <w:ilvl w:val="1"/>
          <w:numId w:val="1"/>
        </w:numPr>
        <w:ind w:left="720"/>
        <w:jc w:val="both"/>
        <w:rPr>
          <w:rFonts w:ascii="Garamond" w:hAnsi="Garamond"/>
          <w:sz w:val="24"/>
          <w:szCs w:val="24"/>
        </w:rPr>
      </w:pPr>
      <w:r w:rsidRPr="001F021D">
        <w:rPr>
          <w:rFonts w:ascii="Garamond" w:hAnsi="Garamond"/>
          <w:sz w:val="24"/>
          <w:szCs w:val="24"/>
        </w:rPr>
        <w:t xml:space="preserve">It is unlikely that sections 93 or 99 of the EO Act will ordinarily apply to the conduct of a judicial officer.  </w:t>
      </w:r>
    </w:p>
    <w:p w14:paraId="22C9532D" w14:textId="77777777" w:rsidR="00D521A5" w:rsidRPr="001F021D" w:rsidRDefault="00D521A5" w:rsidP="00672842">
      <w:pPr>
        <w:pStyle w:val="ListParagraph"/>
        <w:jc w:val="both"/>
        <w:rPr>
          <w:rFonts w:ascii="Garamond" w:hAnsi="Garamond"/>
          <w:sz w:val="24"/>
          <w:szCs w:val="24"/>
        </w:rPr>
      </w:pPr>
    </w:p>
    <w:p w14:paraId="2088A9C2" w14:textId="77777777" w:rsidR="00C44F8F" w:rsidRPr="001F021D" w:rsidRDefault="004F7370" w:rsidP="00672842">
      <w:pPr>
        <w:pStyle w:val="ListParagraph"/>
        <w:numPr>
          <w:ilvl w:val="1"/>
          <w:numId w:val="1"/>
        </w:numPr>
        <w:ind w:left="720"/>
        <w:jc w:val="both"/>
        <w:rPr>
          <w:rFonts w:ascii="Garamond" w:hAnsi="Garamond"/>
          <w:sz w:val="24"/>
          <w:szCs w:val="24"/>
        </w:rPr>
      </w:pPr>
      <w:r w:rsidRPr="001F021D">
        <w:rPr>
          <w:rFonts w:ascii="Garamond" w:hAnsi="Garamond"/>
          <w:sz w:val="24"/>
          <w:szCs w:val="24"/>
        </w:rPr>
        <w:t>Whilst there is scope for section 94 of the EO Act to apply</w:t>
      </w:r>
      <w:r w:rsidR="00D521A5" w:rsidRPr="001F021D">
        <w:rPr>
          <w:rFonts w:ascii="Garamond" w:hAnsi="Garamond"/>
          <w:sz w:val="24"/>
          <w:szCs w:val="24"/>
        </w:rPr>
        <w:t xml:space="preserve"> to the conduct of a judicial officer</w:t>
      </w:r>
      <w:r w:rsidRPr="001F021D">
        <w:rPr>
          <w:rFonts w:ascii="Garamond" w:hAnsi="Garamond"/>
          <w:sz w:val="24"/>
          <w:szCs w:val="24"/>
        </w:rPr>
        <w:t xml:space="preserve">, such application is limited to </w:t>
      </w:r>
      <w:r w:rsidR="00D521A5" w:rsidRPr="001F021D">
        <w:rPr>
          <w:rFonts w:ascii="Garamond" w:hAnsi="Garamond"/>
          <w:sz w:val="24"/>
          <w:szCs w:val="24"/>
        </w:rPr>
        <w:t xml:space="preserve">sexual harassment occurring in </w:t>
      </w:r>
      <w:r w:rsidR="00672842" w:rsidRPr="001F021D">
        <w:rPr>
          <w:rFonts w:ascii="Garamond" w:hAnsi="Garamond"/>
          <w:sz w:val="24"/>
          <w:szCs w:val="24"/>
        </w:rPr>
        <w:t xml:space="preserve">a </w:t>
      </w:r>
      <w:r w:rsidRPr="001F021D">
        <w:rPr>
          <w:rFonts w:ascii="Garamond" w:hAnsi="Garamond"/>
          <w:sz w:val="24"/>
          <w:szCs w:val="24"/>
        </w:rPr>
        <w:t>workplace</w:t>
      </w:r>
      <w:r w:rsidR="00CA59B9" w:rsidRPr="001F021D">
        <w:rPr>
          <w:rFonts w:ascii="Garamond" w:hAnsi="Garamond"/>
          <w:sz w:val="24"/>
          <w:szCs w:val="24"/>
        </w:rPr>
        <w:t xml:space="preserve"> of both </w:t>
      </w:r>
      <w:r w:rsidR="00FA3F29" w:rsidRPr="001F021D">
        <w:rPr>
          <w:rFonts w:ascii="Garamond" w:hAnsi="Garamond"/>
          <w:sz w:val="24"/>
          <w:szCs w:val="24"/>
        </w:rPr>
        <w:t>parties</w:t>
      </w:r>
      <w:r w:rsidRPr="001F021D">
        <w:rPr>
          <w:rFonts w:ascii="Garamond" w:hAnsi="Garamond"/>
          <w:sz w:val="24"/>
          <w:szCs w:val="24"/>
        </w:rPr>
        <w:t>.</w:t>
      </w:r>
    </w:p>
    <w:p w14:paraId="35E54B19" w14:textId="77777777" w:rsidR="004F7370" w:rsidRPr="001F021D" w:rsidRDefault="004F7370" w:rsidP="00672842">
      <w:pPr>
        <w:rPr>
          <w:rFonts w:ascii="Garamond" w:hAnsi="Garamond"/>
          <w:sz w:val="24"/>
          <w:szCs w:val="24"/>
        </w:rPr>
      </w:pPr>
    </w:p>
    <w:p w14:paraId="387ECCD5" w14:textId="77777777" w:rsidR="004F7370" w:rsidRPr="001F021D" w:rsidRDefault="004F7370" w:rsidP="00672842">
      <w:pPr>
        <w:pStyle w:val="ListParagraph"/>
        <w:numPr>
          <w:ilvl w:val="1"/>
          <w:numId w:val="1"/>
        </w:numPr>
        <w:ind w:left="720"/>
        <w:jc w:val="both"/>
        <w:rPr>
          <w:rFonts w:ascii="Garamond" w:hAnsi="Garamond"/>
          <w:sz w:val="24"/>
          <w:szCs w:val="24"/>
        </w:rPr>
      </w:pPr>
      <w:r w:rsidRPr="001F021D">
        <w:rPr>
          <w:rFonts w:ascii="Garamond" w:hAnsi="Garamond"/>
          <w:sz w:val="24"/>
          <w:szCs w:val="24"/>
        </w:rPr>
        <w:t xml:space="preserve">A breach of the EO Act may expose a person with knowledge of the essential elements of the </w:t>
      </w:r>
      <w:r w:rsidR="00DB5E81" w:rsidRPr="001F021D">
        <w:rPr>
          <w:rFonts w:ascii="Garamond" w:hAnsi="Garamond"/>
          <w:sz w:val="24"/>
          <w:szCs w:val="24"/>
        </w:rPr>
        <w:t>conduct</w:t>
      </w:r>
      <w:r w:rsidR="00A82676" w:rsidRPr="001F021D">
        <w:rPr>
          <w:rFonts w:ascii="Garamond" w:hAnsi="Garamond"/>
          <w:sz w:val="24"/>
          <w:szCs w:val="24"/>
        </w:rPr>
        <w:t xml:space="preserve"> to</w:t>
      </w:r>
      <w:r w:rsidRPr="001F021D">
        <w:rPr>
          <w:rFonts w:ascii="Garamond" w:hAnsi="Garamond"/>
          <w:sz w:val="24"/>
          <w:szCs w:val="24"/>
        </w:rPr>
        <w:t xml:space="preserve"> a breach of s105 of the EO Act</w:t>
      </w:r>
      <w:r w:rsidR="002E05BA" w:rsidRPr="001F021D">
        <w:rPr>
          <w:rFonts w:ascii="Garamond" w:hAnsi="Garamond"/>
          <w:sz w:val="24"/>
          <w:szCs w:val="24"/>
        </w:rPr>
        <w:t>.</w:t>
      </w:r>
    </w:p>
    <w:p w14:paraId="7384DD8B" w14:textId="77777777" w:rsidR="0077487A" w:rsidRPr="001F021D" w:rsidRDefault="0077487A" w:rsidP="0077487A">
      <w:pPr>
        <w:pStyle w:val="ListParagraph"/>
        <w:rPr>
          <w:rFonts w:ascii="Garamond" w:hAnsi="Garamond"/>
          <w:sz w:val="24"/>
          <w:szCs w:val="24"/>
        </w:rPr>
      </w:pPr>
    </w:p>
    <w:p w14:paraId="4B34195A" w14:textId="77777777" w:rsidR="0077487A" w:rsidRPr="001F021D" w:rsidRDefault="0077487A" w:rsidP="00672842">
      <w:pPr>
        <w:pStyle w:val="ListParagraph"/>
        <w:numPr>
          <w:ilvl w:val="1"/>
          <w:numId w:val="1"/>
        </w:numPr>
        <w:ind w:left="720"/>
        <w:jc w:val="both"/>
        <w:rPr>
          <w:rFonts w:ascii="Garamond" w:hAnsi="Garamond"/>
          <w:sz w:val="24"/>
          <w:szCs w:val="24"/>
        </w:rPr>
      </w:pPr>
      <w:r w:rsidRPr="001F021D">
        <w:rPr>
          <w:rFonts w:ascii="Garamond" w:hAnsi="Garamond"/>
          <w:sz w:val="24"/>
          <w:szCs w:val="24"/>
        </w:rPr>
        <w:t xml:space="preserve">A breach of the EO Act is unlikely to expose the Courts or relevant government department </w:t>
      </w:r>
      <w:r w:rsidR="001C7BED" w:rsidRPr="001F021D">
        <w:rPr>
          <w:rFonts w:ascii="Garamond" w:hAnsi="Garamond"/>
          <w:sz w:val="24"/>
          <w:szCs w:val="24"/>
        </w:rPr>
        <w:t xml:space="preserve">employer </w:t>
      </w:r>
      <w:r w:rsidRPr="001F021D">
        <w:rPr>
          <w:rFonts w:ascii="Garamond" w:hAnsi="Garamond"/>
          <w:sz w:val="24"/>
          <w:szCs w:val="24"/>
        </w:rPr>
        <w:t>to vicarious liability</w:t>
      </w:r>
      <w:r w:rsidR="001C7BED" w:rsidRPr="001F021D">
        <w:rPr>
          <w:rFonts w:ascii="Garamond" w:hAnsi="Garamond"/>
          <w:sz w:val="24"/>
          <w:szCs w:val="24"/>
        </w:rPr>
        <w:t xml:space="preserve"> under s109.</w:t>
      </w:r>
      <w:r w:rsidRPr="001F021D">
        <w:rPr>
          <w:rFonts w:ascii="Garamond" w:hAnsi="Garamond"/>
          <w:sz w:val="24"/>
          <w:szCs w:val="24"/>
        </w:rPr>
        <w:t xml:space="preserve"> </w:t>
      </w:r>
    </w:p>
    <w:p w14:paraId="28BD7547" w14:textId="77777777" w:rsidR="0077487A" w:rsidRPr="001F021D" w:rsidRDefault="0077487A" w:rsidP="0077487A">
      <w:pPr>
        <w:pStyle w:val="ListParagraph"/>
        <w:rPr>
          <w:rFonts w:ascii="Garamond" w:hAnsi="Garamond"/>
          <w:sz w:val="24"/>
          <w:szCs w:val="24"/>
        </w:rPr>
      </w:pPr>
    </w:p>
    <w:p w14:paraId="0748E7A2" w14:textId="77777777" w:rsidR="0077487A" w:rsidRPr="001F021D" w:rsidRDefault="0077487A" w:rsidP="00672842">
      <w:pPr>
        <w:pStyle w:val="ListParagraph"/>
        <w:numPr>
          <w:ilvl w:val="1"/>
          <w:numId w:val="1"/>
        </w:numPr>
        <w:ind w:left="720"/>
        <w:jc w:val="both"/>
        <w:rPr>
          <w:rFonts w:ascii="Garamond" w:hAnsi="Garamond"/>
          <w:sz w:val="24"/>
          <w:szCs w:val="24"/>
        </w:rPr>
      </w:pPr>
      <w:r w:rsidRPr="001F021D">
        <w:rPr>
          <w:rFonts w:ascii="Garamond" w:hAnsi="Garamond"/>
          <w:sz w:val="24"/>
          <w:szCs w:val="24"/>
        </w:rPr>
        <w:t xml:space="preserve">There is an obligation upon </w:t>
      </w:r>
      <w:r w:rsidR="001C7BED" w:rsidRPr="001F021D">
        <w:rPr>
          <w:rFonts w:ascii="Garamond" w:hAnsi="Garamond"/>
          <w:sz w:val="24"/>
          <w:szCs w:val="24"/>
        </w:rPr>
        <w:t xml:space="preserve">an employer </w:t>
      </w:r>
      <w:r w:rsidRPr="001F021D">
        <w:rPr>
          <w:rFonts w:ascii="Garamond" w:hAnsi="Garamond"/>
          <w:sz w:val="24"/>
          <w:szCs w:val="24"/>
        </w:rPr>
        <w:t>to take reasonable and proportionate steps to eliminate sexual harassment</w:t>
      </w:r>
      <w:r w:rsidR="001C7BED" w:rsidRPr="001F021D">
        <w:rPr>
          <w:rFonts w:ascii="Garamond" w:hAnsi="Garamond"/>
          <w:sz w:val="24"/>
          <w:szCs w:val="24"/>
        </w:rPr>
        <w:t xml:space="preserve"> under s15</w:t>
      </w:r>
      <w:r w:rsidRPr="001F021D">
        <w:rPr>
          <w:rFonts w:ascii="Garamond" w:hAnsi="Garamond"/>
          <w:sz w:val="24"/>
          <w:szCs w:val="24"/>
        </w:rPr>
        <w:t xml:space="preserve">. </w:t>
      </w:r>
    </w:p>
    <w:p w14:paraId="12EAE63B" w14:textId="77777777" w:rsidR="0077487A" w:rsidRPr="001F021D" w:rsidRDefault="0077487A" w:rsidP="0077487A">
      <w:pPr>
        <w:pStyle w:val="ListParagraph"/>
        <w:rPr>
          <w:rFonts w:ascii="Garamond" w:hAnsi="Garamond"/>
          <w:sz w:val="24"/>
          <w:szCs w:val="24"/>
        </w:rPr>
      </w:pPr>
    </w:p>
    <w:p w14:paraId="588F17A2" w14:textId="77777777" w:rsidR="0077487A" w:rsidRPr="001F021D" w:rsidRDefault="0077487A" w:rsidP="0077487A">
      <w:pPr>
        <w:pStyle w:val="ListParagraph"/>
        <w:numPr>
          <w:ilvl w:val="1"/>
          <w:numId w:val="1"/>
        </w:numPr>
        <w:ind w:left="720"/>
        <w:jc w:val="both"/>
        <w:rPr>
          <w:rFonts w:ascii="Garamond" w:hAnsi="Garamond"/>
          <w:sz w:val="24"/>
          <w:szCs w:val="24"/>
        </w:rPr>
      </w:pPr>
      <w:r w:rsidRPr="001F021D">
        <w:rPr>
          <w:rFonts w:ascii="Garamond" w:hAnsi="Garamond"/>
          <w:sz w:val="24"/>
          <w:szCs w:val="24"/>
        </w:rPr>
        <w:t>The Review should consider supporting the proposal of the Victorian Equal Opportunity and Human Rights Commission (</w:t>
      </w:r>
      <w:r w:rsidRPr="001F021D">
        <w:rPr>
          <w:rFonts w:ascii="Garamond" w:hAnsi="Garamond"/>
          <w:b/>
          <w:sz w:val="24"/>
          <w:szCs w:val="24"/>
        </w:rPr>
        <w:t>VEOHRC</w:t>
      </w:r>
      <w:r w:rsidRPr="001F021D">
        <w:rPr>
          <w:rFonts w:ascii="Garamond" w:hAnsi="Garamond"/>
          <w:sz w:val="24"/>
          <w:szCs w:val="24"/>
        </w:rPr>
        <w:t>) relating to own motion investigations.</w:t>
      </w:r>
    </w:p>
    <w:p w14:paraId="048A9685" w14:textId="77777777" w:rsidR="00C44F8F" w:rsidRPr="001F021D" w:rsidRDefault="00C44F8F" w:rsidP="00672842">
      <w:pPr>
        <w:pStyle w:val="ListParagraph"/>
        <w:ind w:left="360"/>
        <w:rPr>
          <w:rFonts w:ascii="Garamond" w:hAnsi="Garamond"/>
          <w:sz w:val="24"/>
          <w:szCs w:val="24"/>
        </w:rPr>
      </w:pPr>
    </w:p>
    <w:p w14:paraId="53BD18AC" w14:textId="77777777" w:rsidR="009A2C49" w:rsidRPr="001F021D" w:rsidRDefault="00C44F8F" w:rsidP="00672842">
      <w:pPr>
        <w:pStyle w:val="ListParagraph"/>
        <w:numPr>
          <w:ilvl w:val="1"/>
          <w:numId w:val="1"/>
        </w:numPr>
        <w:ind w:left="720"/>
        <w:jc w:val="both"/>
        <w:rPr>
          <w:rFonts w:ascii="Garamond" w:hAnsi="Garamond"/>
          <w:sz w:val="24"/>
          <w:szCs w:val="24"/>
        </w:rPr>
      </w:pPr>
      <w:r w:rsidRPr="001F021D">
        <w:rPr>
          <w:rFonts w:ascii="Garamond" w:hAnsi="Garamond"/>
          <w:sz w:val="24"/>
          <w:szCs w:val="24"/>
        </w:rPr>
        <w:t xml:space="preserve">The Review </w:t>
      </w:r>
      <w:r w:rsidR="00D521A5" w:rsidRPr="001F021D">
        <w:rPr>
          <w:rFonts w:ascii="Garamond" w:hAnsi="Garamond"/>
          <w:sz w:val="24"/>
          <w:szCs w:val="24"/>
        </w:rPr>
        <w:t xml:space="preserve">may </w:t>
      </w:r>
      <w:r w:rsidRPr="001F021D">
        <w:rPr>
          <w:rFonts w:ascii="Garamond" w:hAnsi="Garamond"/>
          <w:sz w:val="24"/>
          <w:szCs w:val="24"/>
        </w:rPr>
        <w:t>recommend an amendment to the EO Act to expressly capture sexual harassment by a judicial officer.</w:t>
      </w:r>
      <w:r w:rsidR="002E05BA" w:rsidRPr="001F021D">
        <w:rPr>
          <w:rFonts w:ascii="Garamond" w:hAnsi="Garamond"/>
          <w:sz w:val="24"/>
          <w:szCs w:val="24"/>
        </w:rPr>
        <w:t xml:space="preserve"> Alternate option</w:t>
      </w:r>
      <w:r w:rsidR="003A13FB" w:rsidRPr="001F021D">
        <w:rPr>
          <w:rFonts w:ascii="Garamond" w:hAnsi="Garamond"/>
          <w:sz w:val="24"/>
          <w:szCs w:val="24"/>
        </w:rPr>
        <w:t>s</w:t>
      </w:r>
      <w:r w:rsidR="002E05BA" w:rsidRPr="001F021D">
        <w:rPr>
          <w:rFonts w:ascii="Garamond" w:hAnsi="Garamond"/>
          <w:sz w:val="24"/>
          <w:szCs w:val="24"/>
        </w:rPr>
        <w:t xml:space="preserve"> for</w:t>
      </w:r>
      <w:r w:rsidRPr="001F021D">
        <w:rPr>
          <w:rFonts w:ascii="Garamond" w:hAnsi="Garamond"/>
          <w:sz w:val="24"/>
          <w:szCs w:val="24"/>
        </w:rPr>
        <w:t xml:space="preserve"> amendment</w:t>
      </w:r>
      <w:r w:rsidR="002E05BA" w:rsidRPr="001F021D">
        <w:rPr>
          <w:rFonts w:ascii="Garamond" w:hAnsi="Garamond"/>
          <w:sz w:val="24"/>
          <w:szCs w:val="24"/>
        </w:rPr>
        <w:t xml:space="preserve"> are set out</w:t>
      </w:r>
      <w:r w:rsidRPr="001F021D">
        <w:rPr>
          <w:rFonts w:ascii="Garamond" w:hAnsi="Garamond"/>
          <w:sz w:val="24"/>
          <w:szCs w:val="24"/>
        </w:rPr>
        <w:t xml:space="preserve"> </w:t>
      </w:r>
      <w:r w:rsidR="00CD60AF" w:rsidRPr="001F021D">
        <w:rPr>
          <w:rFonts w:ascii="Garamond" w:hAnsi="Garamond"/>
          <w:sz w:val="24"/>
          <w:szCs w:val="24"/>
        </w:rPr>
        <w:t>in</w:t>
      </w:r>
      <w:r w:rsidRPr="001F021D">
        <w:rPr>
          <w:rFonts w:ascii="Garamond" w:hAnsi="Garamond"/>
          <w:sz w:val="24"/>
          <w:szCs w:val="24"/>
        </w:rPr>
        <w:t xml:space="preserve"> Attachment A. </w:t>
      </w:r>
    </w:p>
    <w:p w14:paraId="18686CB5" w14:textId="77777777" w:rsidR="009816D5" w:rsidRPr="001F021D" w:rsidRDefault="009816D5" w:rsidP="00672842">
      <w:pPr>
        <w:pStyle w:val="ListParagraph"/>
        <w:rPr>
          <w:rFonts w:ascii="Garamond" w:hAnsi="Garamond"/>
          <w:sz w:val="24"/>
          <w:szCs w:val="24"/>
        </w:rPr>
      </w:pPr>
    </w:p>
    <w:p w14:paraId="791F16A5" w14:textId="77777777" w:rsidR="00A47204" w:rsidRPr="001F021D" w:rsidRDefault="00A47204" w:rsidP="00672842">
      <w:pPr>
        <w:jc w:val="both"/>
        <w:rPr>
          <w:rFonts w:ascii="Garamond" w:hAnsi="Garamond"/>
          <w:b/>
          <w:sz w:val="24"/>
          <w:szCs w:val="24"/>
        </w:rPr>
      </w:pPr>
    </w:p>
    <w:p w14:paraId="38B4AF4E" w14:textId="77777777" w:rsidR="00CD60AF" w:rsidRPr="001F021D" w:rsidRDefault="00CD60AF" w:rsidP="00672842">
      <w:pPr>
        <w:ind w:left="360"/>
        <w:jc w:val="both"/>
        <w:rPr>
          <w:rFonts w:ascii="Garamond" w:hAnsi="Garamond"/>
          <w:b/>
          <w:i/>
          <w:sz w:val="24"/>
          <w:szCs w:val="24"/>
        </w:rPr>
      </w:pPr>
      <w:r w:rsidRPr="001F021D">
        <w:rPr>
          <w:rFonts w:ascii="Garamond" w:hAnsi="Garamond"/>
          <w:b/>
          <w:i/>
          <w:sz w:val="24"/>
          <w:szCs w:val="24"/>
        </w:rPr>
        <w:t>CHARTER</w:t>
      </w:r>
    </w:p>
    <w:p w14:paraId="06B60474" w14:textId="77777777" w:rsidR="004F7370" w:rsidRPr="001F021D" w:rsidRDefault="004F7370" w:rsidP="00672842">
      <w:pPr>
        <w:pStyle w:val="ListParagraph"/>
        <w:numPr>
          <w:ilvl w:val="1"/>
          <w:numId w:val="1"/>
        </w:numPr>
        <w:ind w:left="720"/>
        <w:jc w:val="both"/>
        <w:rPr>
          <w:rFonts w:ascii="Garamond" w:hAnsi="Garamond"/>
          <w:sz w:val="24"/>
          <w:szCs w:val="24"/>
        </w:rPr>
      </w:pPr>
      <w:r w:rsidRPr="001F021D">
        <w:rPr>
          <w:rFonts w:ascii="Garamond" w:hAnsi="Garamond"/>
          <w:sz w:val="24"/>
          <w:szCs w:val="24"/>
        </w:rPr>
        <w:t xml:space="preserve">The Charter of Human Rights and Responsibilities </w:t>
      </w:r>
      <w:r w:rsidR="009816D5" w:rsidRPr="001F021D">
        <w:rPr>
          <w:rFonts w:ascii="Garamond" w:hAnsi="Garamond"/>
          <w:sz w:val="24"/>
          <w:szCs w:val="24"/>
        </w:rPr>
        <w:t xml:space="preserve">Act </w:t>
      </w:r>
      <w:r w:rsidR="00A47204" w:rsidRPr="001F021D">
        <w:rPr>
          <w:rFonts w:ascii="Garamond" w:hAnsi="Garamond"/>
          <w:sz w:val="24"/>
          <w:szCs w:val="24"/>
        </w:rPr>
        <w:t xml:space="preserve">is unlikely to apply </w:t>
      </w:r>
      <w:r w:rsidR="00D521A5" w:rsidRPr="001F021D">
        <w:rPr>
          <w:rFonts w:ascii="Garamond" w:hAnsi="Garamond"/>
          <w:sz w:val="24"/>
          <w:szCs w:val="24"/>
        </w:rPr>
        <w:t>to sexual harassment by</w:t>
      </w:r>
      <w:r w:rsidR="00A47204" w:rsidRPr="001F021D">
        <w:rPr>
          <w:rFonts w:ascii="Garamond" w:hAnsi="Garamond"/>
          <w:sz w:val="24"/>
          <w:szCs w:val="24"/>
        </w:rPr>
        <w:t xml:space="preserve"> judicial officers</w:t>
      </w:r>
      <w:r w:rsidR="009816D5" w:rsidRPr="001F021D">
        <w:rPr>
          <w:rFonts w:ascii="Garamond" w:hAnsi="Garamond"/>
          <w:sz w:val="24"/>
          <w:szCs w:val="24"/>
        </w:rPr>
        <w:t xml:space="preserve"> for several reasons </w:t>
      </w:r>
      <w:r w:rsidR="00672842" w:rsidRPr="001F021D">
        <w:rPr>
          <w:rFonts w:ascii="Garamond" w:hAnsi="Garamond"/>
          <w:sz w:val="24"/>
          <w:szCs w:val="24"/>
        </w:rPr>
        <w:t xml:space="preserve">including </w:t>
      </w:r>
      <w:r w:rsidR="009816D5" w:rsidRPr="001F021D">
        <w:rPr>
          <w:rFonts w:ascii="Garamond" w:hAnsi="Garamond"/>
          <w:sz w:val="24"/>
          <w:szCs w:val="24"/>
        </w:rPr>
        <w:t>that</w:t>
      </w:r>
      <w:r w:rsidR="00D521A5" w:rsidRPr="001F021D">
        <w:rPr>
          <w:rFonts w:ascii="Garamond" w:hAnsi="Garamond"/>
          <w:sz w:val="24"/>
          <w:szCs w:val="24"/>
        </w:rPr>
        <w:t xml:space="preserve"> </w:t>
      </w:r>
      <w:r w:rsidR="009816D5" w:rsidRPr="001F021D">
        <w:rPr>
          <w:rFonts w:ascii="Garamond" w:hAnsi="Garamond"/>
          <w:sz w:val="24"/>
          <w:szCs w:val="24"/>
        </w:rPr>
        <w:t xml:space="preserve">judicial </w:t>
      </w:r>
      <w:r w:rsidR="00D521A5" w:rsidRPr="001F021D">
        <w:rPr>
          <w:rFonts w:ascii="Garamond" w:hAnsi="Garamond"/>
          <w:sz w:val="24"/>
          <w:szCs w:val="24"/>
        </w:rPr>
        <w:t>officer</w:t>
      </w:r>
      <w:r w:rsidR="009816D5" w:rsidRPr="001F021D">
        <w:rPr>
          <w:rFonts w:ascii="Garamond" w:hAnsi="Garamond"/>
          <w:sz w:val="24"/>
          <w:szCs w:val="24"/>
        </w:rPr>
        <w:t>s</w:t>
      </w:r>
      <w:r w:rsidR="00A47204" w:rsidRPr="001F021D">
        <w:rPr>
          <w:rFonts w:ascii="Garamond" w:hAnsi="Garamond"/>
          <w:sz w:val="24"/>
          <w:szCs w:val="24"/>
        </w:rPr>
        <w:t xml:space="preserve"> are </w:t>
      </w:r>
      <w:r w:rsidR="00A47204" w:rsidRPr="001F021D">
        <w:rPr>
          <w:rFonts w:ascii="Garamond" w:hAnsi="Garamond"/>
          <w:sz w:val="24"/>
          <w:szCs w:val="24"/>
        </w:rPr>
        <w:lastRenderedPageBreak/>
        <w:t>unlikely to be public authorities</w:t>
      </w:r>
      <w:r w:rsidR="00D521A5" w:rsidRPr="001F021D">
        <w:rPr>
          <w:rFonts w:ascii="Garamond" w:hAnsi="Garamond"/>
          <w:sz w:val="24"/>
          <w:szCs w:val="24"/>
        </w:rPr>
        <w:t>; they</w:t>
      </w:r>
      <w:r w:rsidR="00A47204" w:rsidRPr="001F021D">
        <w:rPr>
          <w:rFonts w:ascii="Garamond" w:hAnsi="Garamond"/>
          <w:sz w:val="24"/>
          <w:szCs w:val="24"/>
        </w:rPr>
        <w:t xml:space="preserve"> </w:t>
      </w:r>
      <w:r w:rsidR="009A2C49" w:rsidRPr="001F021D">
        <w:rPr>
          <w:rFonts w:ascii="Garamond" w:hAnsi="Garamond"/>
          <w:sz w:val="24"/>
          <w:szCs w:val="24"/>
        </w:rPr>
        <w:t>are</w:t>
      </w:r>
      <w:r w:rsidR="00A47204" w:rsidRPr="001F021D">
        <w:rPr>
          <w:rFonts w:ascii="Garamond" w:hAnsi="Garamond"/>
          <w:sz w:val="24"/>
          <w:szCs w:val="24"/>
        </w:rPr>
        <w:t xml:space="preserve"> likely to be acting privately</w:t>
      </w:r>
      <w:r w:rsidR="009816D5" w:rsidRPr="001F021D">
        <w:rPr>
          <w:rFonts w:ascii="Garamond" w:hAnsi="Garamond"/>
          <w:sz w:val="24"/>
          <w:szCs w:val="24"/>
        </w:rPr>
        <w:t xml:space="preserve">; </w:t>
      </w:r>
      <w:r w:rsidR="00A47204" w:rsidRPr="001F021D">
        <w:rPr>
          <w:rFonts w:ascii="Garamond" w:hAnsi="Garamond"/>
          <w:sz w:val="24"/>
          <w:szCs w:val="24"/>
        </w:rPr>
        <w:t xml:space="preserve">and further, </w:t>
      </w:r>
      <w:r w:rsidR="001F021D">
        <w:rPr>
          <w:rFonts w:ascii="Garamond" w:hAnsi="Garamond"/>
          <w:sz w:val="24"/>
          <w:szCs w:val="24"/>
        </w:rPr>
        <w:t xml:space="preserve">it is uncertain that sexual harassment </w:t>
      </w:r>
      <w:r w:rsidR="0025283E">
        <w:rPr>
          <w:rFonts w:ascii="Garamond" w:hAnsi="Garamond"/>
          <w:sz w:val="24"/>
          <w:szCs w:val="24"/>
        </w:rPr>
        <w:t xml:space="preserve">falls within a right </w:t>
      </w:r>
      <w:r w:rsidR="001F021D">
        <w:rPr>
          <w:rFonts w:ascii="Garamond" w:hAnsi="Garamond"/>
          <w:sz w:val="24"/>
          <w:szCs w:val="24"/>
        </w:rPr>
        <w:t xml:space="preserve">protected </w:t>
      </w:r>
      <w:r w:rsidR="0025283E">
        <w:rPr>
          <w:rFonts w:ascii="Garamond" w:hAnsi="Garamond"/>
          <w:sz w:val="24"/>
          <w:szCs w:val="24"/>
        </w:rPr>
        <w:t xml:space="preserve">by the </w:t>
      </w:r>
      <w:r w:rsidR="001F021D">
        <w:rPr>
          <w:rFonts w:ascii="Garamond" w:hAnsi="Garamond"/>
          <w:sz w:val="24"/>
          <w:szCs w:val="24"/>
        </w:rPr>
        <w:t>Charter</w:t>
      </w:r>
      <w:r w:rsidR="00A47204" w:rsidRPr="001F021D">
        <w:rPr>
          <w:rFonts w:ascii="Garamond" w:hAnsi="Garamond"/>
          <w:sz w:val="24"/>
          <w:szCs w:val="24"/>
        </w:rPr>
        <w:t>.</w:t>
      </w:r>
    </w:p>
    <w:p w14:paraId="0FD583B3" w14:textId="77777777" w:rsidR="003A13FB" w:rsidRPr="001F021D" w:rsidRDefault="003A13FB" w:rsidP="00672842">
      <w:pPr>
        <w:pStyle w:val="ListParagraph"/>
        <w:jc w:val="both"/>
        <w:rPr>
          <w:rFonts w:ascii="Garamond" w:hAnsi="Garamond"/>
          <w:sz w:val="24"/>
          <w:szCs w:val="24"/>
        </w:rPr>
      </w:pPr>
    </w:p>
    <w:p w14:paraId="0D2A2E4A" w14:textId="77777777" w:rsidR="00CD60AF" w:rsidRPr="001F021D" w:rsidRDefault="00CD60AF" w:rsidP="00672842">
      <w:pPr>
        <w:pStyle w:val="ListParagraph"/>
        <w:jc w:val="both"/>
        <w:rPr>
          <w:rFonts w:ascii="Garamond" w:hAnsi="Garamond"/>
          <w:sz w:val="24"/>
          <w:szCs w:val="24"/>
        </w:rPr>
      </w:pPr>
    </w:p>
    <w:p w14:paraId="263E9291" w14:textId="77777777" w:rsidR="00A47204" w:rsidRPr="001F021D" w:rsidRDefault="00CD60AF" w:rsidP="00672842">
      <w:pPr>
        <w:pStyle w:val="ListParagraph"/>
        <w:ind w:left="360"/>
        <w:jc w:val="both"/>
        <w:rPr>
          <w:rFonts w:ascii="Garamond" w:hAnsi="Garamond"/>
          <w:b/>
          <w:i/>
          <w:sz w:val="24"/>
          <w:szCs w:val="24"/>
        </w:rPr>
      </w:pPr>
      <w:r w:rsidRPr="001F021D">
        <w:rPr>
          <w:rFonts w:ascii="Garamond" w:hAnsi="Garamond"/>
          <w:b/>
          <w:i/>
          <w:sz w:val="24"/>
          <w:szCs w:val="24"/>
        </w:rPr>
        <w:t>OHS ACT</w:t>
      </w:r>
    </w:p>
    <w:p w14:paraId="49899BAB" w14:textId="77777777" w:rsidR="00CD60AF" w:rsidRPr="001F021D" w:rsidRDefault="00CD60AF" w:rsidP="00672842">
      <w:pPr>
        <w:pStyle w:val="ListParagraph"/>
        <w:numPr>
          <w:ilvl w:val="1"/>
          <w:numId w:val="1"/>
        </w:numPr>
        <w:ind w:left="720"/>
        <w:jc w:val="both"/>
        <w:rPr>
          <w:rFonts w:ascii="Garamond" w:hAnsi="Garamond"/>
          <w:sz w:val="24"/>
          <w:szCs w:val="24"/>
        </w:rPr>
      </w:pPr>
      <w:r w:rsidRPr="001F021D">
        <w:rPr>
          <w:rFonts w:ascii="Garamond" w:hAnsi="Garamond"/>
          <w:sz w:val="24"/>
          <w:szCs w:val="24"/>
        </w:rPr>
        <w:t>A</w:t>
      </w:r>
      <w:r w:rsidR="00A47204" w:rsidRPr="001F021D">
        <w:rPr>
          <w:rFonts w:ascii="Garamond" w:hAnsi="Garamond"/>
          <w:sz w:val="24"/>
          <w:szCs w:val="24"/>
        </w:rPr>
        <w:t xml:space="preserve"> judicial officer is likely to be a person with requisite management and control over the activities of a worker in the workplace under the OHS Act</w:t>
      </w:r>
      <w:r w:rsidRPr="001F021D">
        <w:rPr>
          <w:rFonts w:ascii="Garamond" w:hAnsi="Garamond"/>
          <w:sz w:val="24"/>
          <w:szCs w:val="24"/>
        </w:rPr>
        <w:t xml:space="preserve">. </w:t>
      </w:r>
    </w:p>
    <w:p w14:paraId="3F25C48A" w14:textId="77777777" w:rsidR="00CD60AF" w:rsidRPr="001F021D" w:rsidRDefault="00CD60AF" w:rsidP="00672842">
      <w:pPr>
        <w:jc w:val="both"/>
        <w:rPr>
          <w:rFonts w:ascii="Garamond" w:hAnsi="Garamond"/>
          <w:sz w:val="24"/>
          <w:szCs w:val="24"/>
        </w:rPr>
      </w:pPr>
    </w:p>
    <w:p w14:paraId="26F1BEAC" w14:textId="77777777" w:rsidR="00CD60AF" w:rsidRPr="001F021D" w:rsidRDefault="00CD60AF" w:rsidP="00672842">
      <w:pPr>
        <w:pStyle w:val="ListParagraph"/>
        <w:numPr>
          <w:ilvl w:val="1"/>
          <w:numId w:val="1"/>
        </w:numPr>
        <w:ind w:left="720"/>
        <w:jc w:val="both"/>
        <w:rPr>
          <w:rFonts w:ascii="Garamond" w:hAnsi="Garamond"/>
          <w:sz w:val="24"/>
          <w:szCs w:val="24"/>
        </w:rPr>
      </w:pPr>
      <w:r w:rsidRPr="001F021D">
        <w:rPr>
          <w:rFonts w:ascii="Garamond" w:hAnsi="Garamond"/>
          <w:sz w:val="24"/>
          <w:szCs w:val="24"/>
        </w:rPr>
        <w:t>The OHS Act could</w:t>
      </w:r>
      <w:r w:rsidR="005C350E" w:rsidRPr="001F021D">
        <w:rPr>
          <w:rFonts w:ascii="Garamond" w:hAnsi="Garamond"/>
          <w:sz w:val="24"/>
          <w:szCs w:val="24"/>
        </w:rPr>
        <w:t>,</w:t>
      </w:r>
      <w:r w:rsidRPr="001F021D">
        <w:rPr>
          <w:rFonts w:ascii="Garamond" w:hAnsi="Garamond"/>
          <w:sz w:val="24"/>
          <w:szCs w:val="24"/>
        </w:rPr>
        <w:t xml:space="preserve"> </w:t>
      </w:r>
      <w:r w:rsidR="00672842" w:rsidRPr="001F021D">
        <w:rPr>
          <w:rFonts w:ascii="Garamond" w:hAnsi="Garamond"/>
          <w:sz w:val="24"/>
          <w:szCs w:val="24"/>
        </w:rPr>
        <w:t>in theory</w:t>
      </w:r>
      <w:r w:rsidR="005C350E" w:rsidRPr="001F021D">
        <w:rPr>
          <w:rFonts w:ascii="Garamond" w:hAnsi="Garamond"/>
          <w:sz w:val="24"/>
          <w:szCs w:val="24"/>
        </w:rPr>
        <w:t>,</w:t>
      </w:r>
      <w:r w:rsidR="00672842" w:rsidRPr="001F021D">
        <w:rPr>
          <w:rFonts w:ascii="Garamond" w:hAnsi="Garamond"/>
          <w:sz w:val="24"/>
          <w:szCs w:val="24"/>
        </w:rPr>
        <w:t xml:space="preserve"> </w:t>
      </w:r>
      <w:r w:rsidRPr="001F021D">
        <w:rPr>
          <w:rFonts w:ascii="Garamond" w:hAnsi="Garamond"/>
          <w:sz w:val="24"/>
          <w:szCs w:val="24"/>
        </w:rPr>
        <w:t>be amended to clarify the application of the Act to sexual harassment by judicial officers</w:t>
      </w:r>
      <w:r w:rsidR="003A13FB" w:rsidRPr="001F021D">
        <w:rPr>
          <w:rFonts w:ascii="Garamond" w:hAnsi="Garamond"/>
          <w:sz w:val="24"/>
          <w:szCs w:val="24"/>
        </w:rPr>
        <w:t xml:space="preserve"> although it would need to single out</w:t>
      </w:r>
      <w:r w:rsidR="001C7BED" w:rsidRPr="001F021D">
        <w:rPr>
          <w:rFonts w:ascii="Garamond" w:hAnsi="Garamond"/>
          <w:sz w:val="24"/>
          <w:szCs w:val="24"/>
        </w:rPr>
        <w:t xml:space="preserve"> the management and control of </w:t>
      </w:r>
      <w:r w:rsidR="003A13FB" w:rsidRPr="001F021D">
        <w:rPr>
          <w:rFonts w:ascii="Garamond" w:hAnsi="Garamond"/>
          <w:sz w:val="24"/>
          <w:szCs w:val="24"/>
        </w:rPr>
        <w:t>judicial officers</w:t>
      </w:r>
      <w:r w:rsidRPr="001F021D">
        <w:rPr>
          <w:rFonts w:ascii="Garamond" w:hAnsi="Garamond"/>
          <w:sz w:val="24"/>
          <w:szCs w:val="24"/>
        </w:rPr>
        <w:t>.</w:t>
      </w:r>
      <w:r w:rsidR="003A13FB" w:rsidRPr="001F021D">
        <w:rPr>
          <w:rFonts w:ascii="Garamond" w:hAnsi="Garamond"/>
          <w:sz w:val="24"/>
          <w:szCs w:val="24"/>
        </w:rPr>
        <w:t xml:space="preserve"> Such specific focus is feasible but not consistent with the </w:t>
      </w:r>
      <w:r w:rsidR="00672842" w:rsidRPr="001F021D">
        <w:rPr>
          <w:rFonts w:ascii="Garamond" w:hAnsi="Garamond"/>
          <w:sz w:val="24"/>
          <w:szCs w:val="24"/>
        </w:rPr>
        <w:t xml:space="preserve">scheme of the </w:t>
      </w:r>
      <w:r w:rsidR="003A13FB" w:rsidRPr="001F021D">
        <w:rPr>
          <w:rFonts w:ascii="Garamond" w:hAnsi="Garamond"/>
          <w:sz w:val="24"/>
          <w:szCs w:val="24"/>
        </w:rPr>
        <w:t>legislation.</w:t>
      </w:r>
      <w:r w:rsidRPr="001F021D">
        <w:rPr>
          <w:rFonts w:ascii="Garamond" w:hAnsi="Garamond"/>
          <w:sz w:val="24"/>
          <w:szCs w:val="24"/>
        </w:rPr>
        <w:t xml:space="preserve"> A draft amendment is noted in Attachment </w:t>
      </w:r>
      <w:r w:rsidR="003A13FB" w:rsidRPr="001F021D">
        <w:rPr>
          <w:rFonts w:ascii="Garamond" w:hAnsi="Garamond"/>
          <w:sz w:val="24"/>
          <w:szCs w:val="24"/>
        </w:rPr>
        <w:t>A</w:t>
      </w:r>
      <w:r w:rsidRPr="001F021D">
        <w:rPr>
          <w:rFonts w:ascii="Garamond" w:hAnsi="Garamond"/>
          <w:sz w:val="24"/>
          <w:szCs w:val="24"/>
        </w:rPr>
        <w:t xml:space="preserve">. </w:t>
      </w:r>
    </w:p>
    <w:p w14:paraId="232C8C7A" w14:textId="77777777" w:rsidR="00684F65" w:rsidRPr="001F021D" w:rsidRDefault="00684F65" w:rsidP="00672842">
      <w:pPr>
        <w:jc w:val="both"/>
        <w:rPr>
          <w:rFonts w:ascii="Garamond" w:hAnsi="Garamond"/>
          <w:sz w:val="24"/>
          <w:szCs w:val="24"/>
        </w:rPr>
      </w:pPr>
    </w:p>
    <w:p w14:paraId="7F15DC70" w14:textId="77777777" w:rsidR="001E11A9" w:rsidRPr="001F021D" w:rsidRDefault="001E11A9" w:rsidP="001E11A9">
      <w:pPr>
        <w:jc w:val="both"/>
        <w:rPr>
          <w:rFonts w:ascii="Garamond" w:hAnsi="Garamond"/>
          <w:sz w:val="24"/>
          <w:szCs w:val="24"/>
        </w:rPr>
      </w:pPr>
    </w:p>
    <w:p w14:paraId="04B6B6C4" w14:textId="77777777" w:rsidR="00CC48A9" w:rsidRDefault="009A2C49" w:rsidP="009816D5">
      <w:pPr>
        <w:pStyle w:val="ListParagraph"/>
        <w:numPr>
          <w:ilvl w:val="0"/>
          <w:numId w:val="1"/>
        </w:numPr>
        <w:jc w:val="both"/>
        <w:rPr>
          <w:rFonts w:ascii="Garamond" w:hAnsi="Garamond"/>
          <w:sz w:val="24"/>
          <w:szCs w:val="24"/>
        </w:rPr>
      </w:pPr>
      <w:r w:rsidRPr="001F021D">
        <w:rPr>
          <w:rFonts w:ascii="Garamond" w:hAnsi="Garamond"/>
          <w:sz w:val="24"/>
          <w:szCs w:val="24"/>
        </w:rPr>
        <w:t>I am asked additional questions concerning judicial immunity</w:t>
      </w:r>
      <w:r w:rsidR="009816D5" w:rsidRPr="001F021D">
        <w:rPr>
          <w:rFonts w:ascii="Garamond" w:hAnsi="Garamond"/>
          <w:sz w:val="24"/>
          <w:szCs w:val="24"/>
        </w:rPr>
        <w:t xml:space="preserve">. </w:t>
      </w:r>
      <w:r w:rsidRPr="001F021D">
        <w:rPr>
          <w:rFonts w:ascii="Garamond" w:hAnsi="Garamond"/>
          <w:sz w:val="24"/>
          <w:szCs w:val="24"/>
        </w:rPr>
        <w:t>In short, judicial immunity is unlikely to apply to a case of sexual harassment except in very limited c</w:t>
      </w:r>
      <w:r w:rsidR="003A13FB" w:rsidRPr="001F021D">
        <w:rPr>
          <w:rFonts w:ascii="Garamond" w:hAnsi="Garamond"/>
          <w:sz w:val="24"/>
          <w:szCs w:val="24"/>
        </w:rPr>
        <w:t>ircumstances,</w:t>
      </w:r>
      <w:r w:rsidRPr="001F021D">
        <w:rPr>
          <w:rFonts w:ascii="Garamond" w:hAnsi="Garamond"/>
          <w:sz w:val="24"/>
          <w:szCs w:val="24"/>
        </w:rPr>
        <w:t xml:space="preserve"> </w:t>
      </w:r>
      <w:r w:rsidR="003A13FB" w:rsidRPr="001F021D">
        <w:rPr>
          <w:rFonts w:ascii="Garamond" w:hAnsi="Garamond"/>
          <w:sz w:val="24"/>
          <w:szCs w:val="24"/>
        </w:rPr>
        <w:t xml:space="preserve">although the immunity </w:t>
      </w:r>
      <w:r w:rsidR="001C7BED" w:rsidRPr="001F021D">
        <w:rPr>
          <w:rFonts w:ascii="Garamond" w:hAnsi="Garamond"/>
          <w:sz w:val="24"/>
          <w:szCs w:val="24"/>
        </w:rPr>
        <w:t>may</w:t>
      </w:r>
      <w:r w:rsidR="003A13FB" w:rsidRPr="001F021D">
        <w:rPr>
          <w:rFonts w:ascii="Garamond" w:hAnsi="Garamond"/>
          <w:sz w:val="24"/>
          <w:szCs w:val="24"/>
        </w:rPr>
        <w:t xml:space="preserve"> present an initial </w:t>
      </w:r>
      <w:r w:rsidR="009816D5" w:rsidRPr="001F021D">
        <w:rPr>
          <w:rFonts w:ascii="Garamond" w:hAnsi="Garamond"/>
          <w:sz w:val="24"/>
          <w:szCs w:val="24"/>
        </w:rPr>
        <w:t xml:space="preserve">procedural </w:t>
      </w:r>
      <w:r w:rsidR="003A13FB" w:rsidRPr="001F021D">
        <w:rPr>
          <w:rFonts w:ascii="Garamond" w:hAnsi="Garamond"/>
          <w:sz w:val="24"/>
          <w:szCs w:val="24"/>
        </w:rPr>
        <w:t xml:space="preserve">hurdle in terms of </w:t>
      </w:r>
      <w:r w:rsidR="009816D5" w:rsidRPr="001F021D">
        <w:rPr>
          <w:rFonts w:ascii="Garamond" w:hAnsi="Garamond"/>
          <w:sz w:val="24"/>
          <w:szCs w:val="24"/>
        </w:rPr>
        <w:t xml:space="preserve">a challenge to </w:t>
      </w:r>
      <w:r w:rsidR="003A13FB" w:rsidRPr="001F021D">
        <w:rPr>
          <w:rFonts w:ascii="Garamond" w:hAnsi="Garamond"/>
          <w:sz w:val="24"/>
          <w:szCs w:val="24"/>
        </w:rPr>
        <w:t>proceeding under</w:t>
      </w:r>
      <w:r w:rsidR="00684F65" w:rsidRPr="001F021D">
        <w:rPr>
          <w:rFonts w:ascii="Garamond" w:hAnsi="Garamond"/>
          <w:sz w:val="24"/>
          <w:szCs w:val="24"/>
        </w:rPr>
        <w:t xml:space="preserve"> both </w:t>
      </w:r>
      <w:r w:rsidR="009816D5" w:rsidRPr="001F021D">
        <w:rPr>
          <w:rFonts w:ascii="Garamond" w:hAnsi="Garamond"/>
          <w:sz w:val="24"/>
          <w:szCs w:val="24"/>
        </w:rPr>
        <w:t xml:space="preserve">the EO </w:t>
      </w:r>
      <w:r w:rsidR="00684F65" w:rsidRPr="001F021D">
        <w:rPr>
          <w:rFonts w:ascii="Garamond" w:hAnsi="Garamond"/>
          <w:sz w:val="24"/>
          <w:szCs w:val="24"/>
        </w:rPr>
        <w:t>Act</w:t>
      </w:r>
      <w:r w:rsidR="009816D5" w:rsidRPr="001F021D">
        <w:rPr>
          <w:rFonts w:ascii="Garamond" w:hAnsi="Garamond"/>
          <w:sz w:val="24"/>
          <w:szCs w:val="24"/>
        </w:rPr>
        <w:t xml:space="preserve"> and the OHS Act</w:t>
      </w:r>
      <w:r w:rsidR="003A13FB" w:rsidRPr="001F021D">
        <w:rPr>
          <w:rFonts w:ascii="Garamond" w:hAnsi="Garamond"/>
          <w:sz w:val="24"/>
          <w:szCs w:val="24"/>
        </w:rPr>
        <w:t xml:space="preserve">.  </w:t>
      </w:r>
    </w:p>
    <w:p w14:paraId="708E3D44" w14:textId="77777777" w:rsidR="00CC48A9" w:rsidRDefault="00CC48A9" w:rsidP="00CC48A9">
      <w:pPr>
        <w:pStyle w:val="ListParagraph"/>
        <w:ind w:left="360"/>
        <w:jc w:val="both"/>
        <w:rPr>
          <w:rFonts w:ascii="Garamond" w:hAnsi="Garamond"/>
          <w:sz w:val="24"/>
          <w:szCs w:val="24"/>
        </w:rPr>
      </w:pPr>
    </w:p>
    <w:p w14:paraId="1BD13F29" w14:textId="77777777" w:rsidR="003A13FB" w:rsidRPr="001F021D" w:rsidRDefault="001C7BED" w:rsidP="009816D5">
      <w:pPr>
        <w:pStyle w:val="ListParagraph"/>
        <w:numPr>
          <w:ilvl w:val="0"/>
          <w:numId w:val="1"/>
        </w:numPr>
        <w:jc w:val="both"/>
        <w:rPr>
          <w:rFonts w:ascii="Garamond" w:hAnsi="Garamond"/>
          <w:sz w:val="24"/>
          <w:szCs w:val="24"/>
        </w:rPr>
      </w:pPr>
      <w:r w:rsidRPr="001F021D">
        <w:rPr>
          <w:rFonts w:ascii="Garamond" w:hAnsi="Garamond"/>
          <w:sz w:val="24"/>
          <w:szCs w:val="24"/>
        </w:rPr>
        <w:t xml:space="preserve">Regardless of findings under either </w:t>
      </w:r>
      <w:r w:rsidR="00CC48A9">
        <w:rPr>
          <w:rFonts w:ascii="Garamond" w:hAnsi="Garamond"/>
          <w:sz w:val="24"/>
          <w:szCs w:val="24"/>
        </w:rPr>
        <w:t xml:space="preserve">the EO </w:t>
      </w:r>
      <w:r w:rsidRPr="001F021D">
        <w:rPr>
          <w:rFonts w:ascii="Garamond" w:hAnsi="Garamond"/>
          <w:sz w:val="24"/>
          <w:szCs w:val="24"/>
        </w:rPr>
        <w:t>Act</w:t>
      </w:r>
      <w:r w:rsidR="00CC48A9">
        <w:rPr>
          <w:rFonts w:ascii="Garamond" w:hAnsi="Garamond"/>
          <w:sz w:val="24"/>
          <w:szCs w:val="24"/>
        </w:rPr>
        <w:t xml:space="preserve"> or the OHS Act</w:t>
      </w:r>
      <w:r w:rsidRPr="001F021D">
        <w:rPr>
          <w:rFonts w:ascii="Garamond" w:hAnsi="Garamond"/>
          <w:sz w:val="24"/>
          <w:szCs w:val="24"/>
        </w:rPr>
        <w:t>, the conduct may form the subject of a complaint to the Judicial Commission Victoria (JCV).</w:t>
      </w:r>
    </w:p>
    <w:p w14:paraId="4570B946" w14:textId="77777777" w:rsidR="003A13FB" w:rsidRPr="001F021D" w:rsidRDefault="003A13FB" w:rsidP="003A13FB">
      <w:pPr>
        <w:pStyle w:val="ListParagraph"/>
        <w:rPr>
          <w:rFonts w:ascii="Garamond" w:hAnsi="Garamond"/>
          <w:sz w:val="24"/>
          <w:szCs w:val="24"/>
        </w:rPr>
      </w:pPr>
    </w:p>
    <w:p w14:paraId="108080CF" w14:textId="77777777" w:rsidR="009A490E" w:rsidRPr="001F021D" w:rsidRDefault="009A490E" w:rsidP="009816D5">
      <w:pPr>
        <w:pStyle w:val="ListParagraph"/>
        <w:ind w:left="360"/>
        <w:jc w:val="both"/>
        <w:rPr>
          <w:rFonts w:ascii="Garamond" w:hAnsi="Garamond"/>
          <w:sz w:val="24"/>
          <w:szCs w:val="24"/>
        </w:rPr>
      </w:pPr>
    </w:p>
    <w:p w14:paraId="2CDA3887" w14:textId="77777777" w:rsidR="009A2C49" w:rsidRPr="001F021D" w:rsidRDefault="009A2C49" w:rsidP="009A2C49">
      <w:pPr>
        <w:pStyle w:val="ListParagraph"/>
        <w:ind w:left="360"/>
        <w:jc w:val="both"/>
        <w:rPr>
          <w:rFonts w:ascii="Garamond" w:hAnsi="Garamond"/>
          <w:sz w:val="24"/>
          <w:szCs w:val="24"/>
        </w:rPr>
      </w:pPr>
    </w:p>
    <w:p w14:paraId="4AB756C7" w14:textId="77777777" w:rsidR="0039598E" w:rsidRPr="001F021D" w:rsidRDefault="0039598E" w:rsidP="0039598E">
      <w:pPr>
        <w:jc w:val="both"/>
        <w:rPr>
          <w:rFonts w:ascii="Garamond" w:hAnsi="Garamond"/>
          <w:sz w:val="24"/>
          <w:szCs w:val="24"/>
        </w:rPr>
      </w:pPr>
    </w:p>
    <w:p w14:paraId="7688F1EC" w14:textId="77777777" w:rsidR="0039598E" w:rsidRPr="001F021D" w:rsidRDefault="0039598E" w:rsidP="0039598E">
      <w:pPr>
        <w:jc w:val="both"/>
        <w:rPr>
          <w:rFonts w:ascii="Garamond" w:hAnsi="Garamond"/>
          <w:b/>
          <w:i/>
          <w:sz w:val="24"/>
          <w:szCs w:val="24"/>
        </w:rPr>
      </w:pPr>
      <w:r w:rsidRPr="001F021D">
        <w:rPr>
          <w:rFonts w:ascii="Garamond" w:hAnsi="Garamond"/>
          <w:b/>
          <w:i/>
          <w:sz w:val="24"/>
          <w:szCs w:val="24"/>
        </w:rPr>
        <w:t xml:space="preserve">General Observations </w:t>
      </w:r>
    </w:p>
    <w:p w14:paraId="7EB5DE92" w14:textId="77777777" w:rsidR="00B1477D" w:rsidRPr="001F021D" w:rsidRDefault="00B1477D" w:rsidP="00B1477D">
      <w:pPr>
        <w:jc w:val="both"/>
        <w:rPr>
          <w:rFonts w:ascii="Garamond" w:hAnsi="Garamond"/>
          <w:sz w:val="24"/>
          <w:szCs w:val="24"/>
        </w:rPr>
      </w:pPr>
    </w:p>
    <w:p w14:paraId="2228805A" w14:textId="77777777" w:rsidR="0039598E" w:rsidRPr="001F021D" w:rsidRDefault="009916E9" w:rsidP="0039598E">
      <w:pPr>
        <w:pStyle w:val="ListParagraph"/>
        <w:numPr>
          <w:ilvl w:val="0"/>
          <w:numId w:val="1"/>
        </w:numPr>
        <w:jc w:val="both"/>
        <w:rPr>
          <w:rFonts w:ascii="Garamond" w:hAnsi="Garamond"/>
          <w:sz w:val="24"/>
          <w:szCs w:val="24"/>
        </w:rPr>
      </w:pPr>
      <w:r w:rsidRPr="001F021D">
        <w:rPr>
          <w:rFonts w:ascii="Garamond" w:hAnsi="Garamond"/>
          <w:sz w:val="24"/>
          <w:szCs w:val="24"/>
        </w:rPr>
        <w:t>Research indicates sexual harassment within the justice system, including by judicial officers, is prevalent</w:t>
      </w:r>
      <w:r w:rsidR="0039598E" w:rsidRPr="001F021D">
        <w:rPr>
          <w:rFonts w:ascii="Garamond" w:hAnsi="Garamond"/>
          <w:sz w:val="24"/>
          <w:szCs w:val="24"/>
        </w:rPr>
        <w:t>.</w:t>
      </w:r>
      <w:r w:rsidR="007B4368" w:rsidRPr="001F021D">
        <w:rPr>
          <w:rStyle w:val="FootnoteReference"/>
          <w:rFonts w:ascii="Garamond" w:hAnsi="Garamond"/>
          <w:sz w:val="24"/>
          <w:szCs w:val="24"/>
        </w:rPr>
        <w:footnoteReference w:id="1"/>
      </w:r>
      <w:r w:rsidR="0039598E" w:rsidRPr="001F021D">
        <w:rPr>
          <w:rFonts w:ascii="Garamond" w:hAnsi="Garamond"/>
          <w:sz w:val="24"/>
          <w:szCs w:val="24"/>
        </w:rPr>
        <w:t xml:space="preserve"> In this context</w:t>
      </w:r>
      <w:r w:rsidRPr="001F021D">
        <w:rPr>
          <w:rFonts w:ascii="Garamond" w:hAnsi="Garamond"/>
          <w:sz w:val="24"/>
          <w:szCs w:val="24"/>
        </w:rPr>
        <w:t>,</w:t>
      </w:r>
      <w:r w:rsidR="0039598E" w:rsidRPr="001F021D">
        <w:rPr>
          <w:rFonts w:ascii="Garamond" w:hAnsi="Garamond"/>
          <w:sz w:val="24"/>
          <w:szCs w:val="24"/>
        </w:rPr>
        <w:t xml:space="preserve"> the </w:t>
      </w:r>
      <w:r w:rsidR="00684F65" w:rsidRPr="001F021D">
        <w:rPr>
          <w:rFonts w:ascii="Garamond" w:hAnsi="Garamond"/>
          <w:sz w:val="24"/>
          <w:szCs w:val="24"/>
        </w:rPr>
        <w:t>Review</w:t>
      </w:r>
      <w:r w:rsidR="0039598E" w:rsidRPr="001F021D">
        <w:rPr>
          <w:rFonts w:ascii="Garamond" w:hAnsi="Garamond"/>
          <w:sz w:val="24"/>
          <w:szCs w:val="24"/>
        </w:rPr>
        <w:t xml:space="preserve"> is </w:t>
      </w:r>
      <w:r w:rsidR="00684F65" w:rsidRPr="001F021D">
        <w:rPr>
          <w:rFonts w:ascii="Garamond" w:hAnsi="Garamond"/>
          <w:sz w:val="24"/>
          <w:szCs w:val="24"/>
        </w:rPr>
        <w:t>examining</w:t>
      </w:r>
      <w:r w:rsidR="0039598E" w:rsidRPr="001F021D">
        <w:rPr>
          <w:rFonts w:ascii="Garamond" w:hAnsi="Garamond"/>
          <w:sz w:val="24"/>
          <w:szCs w:val="24"/>
        </w:rPr>
        <w:t xml:space="preserve"> sexual harassment in Victorian Courts </w:t>
      </w:r>
      <w:r w:rsidRPr="001F021D">
        <w:rPr>
          <w:rFonts w:ascii="Garamond" w:hAnsi="Garamond"/>
          <w:sz w:val="24"/>
          <w:szCs w:val="24"/>
        </w:rPr>
        <w:t>involving judges, VCAT members and magistrates, Court Services Victoria employees and those working in Court and Tribunal precincts.</w:t>
      </w:r>
    </w:p>
    <w:p w14:paraId="06D0B32C" w14:textId="77777777" w:rsidR="009916E9" w:rsidRPr="001F021D" w:rsidRDefault="009916E9" w:rsidP="009916E9">
      <w:pPr>
        <w:pStyle w:val="ListParagraph"/>
        <w:ind w:left="360"/>
        <w:jc w:val="both"/>
        <w:rPr>
          <w:rFonts w:ascii="Garamond" w:hAnsi="Garamond"/>
          <w:sz w:val="24"/>
          <w:szCs w:val="24"/>
        </w:rPr>
      </w:pPr>
    </w:p>
    <w:p w14:paraId="0F76547D" w14:textId="77777777" w:rsidR="00A27FFB" w:rsidRPr="001F021D" w:rsidRDefault="009916E9" w:rsidP="00E7513D">
      <w:pPr>
        <w:pStyle w:val="ListParagraph"/>
        <w:numPr>
          <w:ilvl w:val="0"/>
          <w:numId w:val="1"/>
        </w:numPr>
        <w:jc w:val="both"/>
        <w:rPr>
          <w:rFonts w:ascii="Garamond" w:hAnsi="Garamond"/>
          <w:sz w:val="24"/>
          <w:szCs w:val="24"/>
        </w:rPr>
      </w:pPr>
      <w:r w:rsidRPr="001F021D">
        <w:rPr>
          <w:rFonts w:ascii="Garamond" w:hAnsi="Garamond"/>
          <w:sz w:val="24"/>
          <w:szCs w:val="24"/>
        </w:rPr>
        <w:t xml:space="preserve">The Review is conscious of judicial independence </w:t>
      </w:r>
      <w:r w:rsidR="00750889" w:rsidRPr="001F021D">
        <w:rPr>
          <w:rFonts w:ascii="Garamond" w:hAnsi="Garamond"/>
          <w:sz w:val="24"/>
          <w:szCs w:val="24"/>
        </w:rPr>
        <w:t xml:space="preserve">and </w:t>
      </w:r>
      <w:r w:rsidR="00231F4F" w:rsidRPr="001F021D">
        <w:rPr>
          <w:rFonts w:ascii="Garamond" w:hAnsi="Garamond"/>
          <w:sz w:val="24"/>
          <w:szCs w:val="24"/>
        </w:rPr>
        <w:t xml:space="preserve">the need to </w:t>
      </w:r>
      <w:r w:rsidR="00750889" w:rsidRPr="001F021D">
        <w:rPr>
          <w:rFonts w:ascii="Garamond" w:hAnsi="Garamond"/>
          <w:sz w:val="24"/>
          <w:szCs w:val="24"/>
        </w:rPr>
        <w:t xml:space="preserve">navigate </w:t>
      </w:r>
      <w:r w:rsidR="00231F4F" w:rsidRPr="001F021D">
        <w:rPr>
          <w:rFonts w:ascii="Garamond" w:hAnsi="Garamond"/>
          <w:sz w:val="24"/>
          <w:szCs w:val="24"/>
        </w:rPr>
        <w:t xml:space="preserve">claims of </w:t>
      </w:r>
      <w:r w:rsidR="00750889" w:rsidRPr="001F021D">
        <w:rPr>
          <w:rFonts w:ascii="Garamond" w:hAnsi="Garamond"/>
          <w:sz w:val="24"/>
          <w:szCs w:val="24"/>
        </w:rPr>
        <w:t xml:space="preserve">judicial immunity </w:t>
      </w:r>
      <w:r w:rsidR="00A3643E" w:rsidRPr="001F021D">
        <w:rPr>
          <w:rFonts w:ascii="Garamond" w:hAnsi="Garamond"/>
          <w:sz w:val="24"/>
          <w:szCs w:val="24"/>
        </w:rPr>
        <w:t xml:space="preserve">of judicial officers </w:t>
      </w:r>
      <w:r w:rsidRPr="001F021D">
        <w:rPr>
          <w:rFonts w:ascii="Garamond" w:hAnsi="Garamond"/>
          <w:sz w:val="24"/>
          <w:szCs w:val="24"/>
        </w:rPr>
        <w:t xml:space="preserve">while protecting the interests of those working with and for judicial officers. </w:t>
      </w:r>
    </w:p>
    <w:p w14:paraId="4993E70C" w14:textId="77777777" w:rsidR="00A27FFB" w:rsidRPr="001F021D" w:rsidRDefault="00A27FFB" w:rsidP="00A27FFB">
      <w:pPr>
        <w:pStyle w:val="ListParagraph"/>
        <w:rPr>
          <w:rFonts w:ascii="Garamond" w:hAnsi="Garamond"/>
          <w:sz w:val="24"/>
          <w:szCs w:val="24"/>
        </w:rPr>
      </w:pPr>
    </w:p>
    <w:p w14:paraId="4A139492" w14:textId="77777777" w:rsidR="00921F15" w:rsidRPr="001F021D" w:rsidRDefault="00A27FFB" w:rsidP="008B3295">
      <w:pPr>
        <w:pStyle w:val="ListParagraph"/>
        <w:numPr>
          <w:ilvl w:val="0"/>
          <w:numId w:val="1"/>
        </w:numPr>
        <w:jc w:val="both"/>
        <w:rPr>
          <w:rFonts w:ascii="Garamond" w:hAnsi="Garamond"/>
          <w:sz w:val="24"/>
          <w:szCs w:val="24"/>
        </w:rPr>
      </w:pPr>
      <w:r w:rsidRPr="001F021D">
        <w:rPr>
          <w:rFonts w:ascii="Garamond" w:hAnsi="Garamond"/>
          <w:sz w:val="24"/>
          <w:szCs w:val="24"/>
        </w:rPr>
        <w:t>J</w:t>
      </w:r>
      <w:r w:rsidR="00E7513D" w:rsidRPr="001F021D">
        <w:rPr>
          <w:rFonts w:ascii="Garamond" w:hAnsi="Garamond"/>
          <w:sz w:val="24"/>
          <w:szCs w:val="24"/>
        </w:rPr>
        <w:t xml:space="preserve">udicial independence is a </w:t>
      </w:r>
      <w:r w:rsidRPr="001F021D">
        <w:rPr>
          <w:rFonts w:ascii="Garamond" w:hAnsi="Garamond"/>
          <w:sz w:val="24"/>
          <w:szCs w:val="24"/>
        </w:rPr>
        <w:t>foundation</w:t>
      </w:r>
      <w:r w:rsidR="00E7513D" w:rsidRPr="001F021D">
        <w:rPr>
          <w:rFonts w:ascii="Garamond" w:hAnsi="Garamond"/>
          <w:sz w:val="24"/>
          <w:szCs w:val="24"/>
        </w:rPr>
        <w:t xml:space="preserve"> of our justice system</w:t>
      </w:r>
      <w:r w:rsidR="0093259D" w:rsidRPr="001F021D">
        <w:rPr>
          <w:rFonts w:ascii="Garamond" w:hAnsi="Garamond"/>
          <w:sz w:val="24"/>
          <w:szCs w:val="24"/>
        </w:rPr>
        <w:t xml:space="preserve"> and the </w:t>
      </w:r>
      <w:r w:rsidR="00A41C18" w:rsidRPr="001F021D">
        <w:rPr>
          <w:rFonts w:ascii="Garamond" w:hAnsi="Garamond"/>
          <w:sz w:val="24"/>
          <w:szCs w:val="24"/>
        </w:rPr>
        <w:t>constitutionally enshrined separation of powers</w:t>
      </w:r>
      <w:r w:rsidR="00E7513D" w:rsidRPr="001F021D">
        <w:rPr>
          <w:rFonts w:ascii="Garamond" w:hAnsi="Garamond"/>
          <w:sz w:val="24"/>
          <w:szCs w:val="24"/>
        </w:rPr>
        <w:t xml:space="preserve">. Judges </w:t>
      </w:r>
      <w:r w:rsidR="0039598E" w:rsidRPr="001F021D">
        <w:rPr>
          <w:rFonts w:ascii="Garamond" w:hAnsi="Garamond"/>
          <w:sz w:val="24"/>
          <w:szCs w:val="24"/>
        </w:rPr>
        <w:t xml:space="preserve">are not ‘employed’ but rather, </w:t>
      </w:r>
      <w:r w:rsidRPr="001F021D">
        <w:rPr>
          <w:rFonts w:ascii="Garamond" w:hAnsi="Garamond"/>
          <w:sz w:val="24"/>
          <w:szCs w:val="24"/>
        </w:rPr>
        <w:t>Supreme Court justices are appointed by the Governor by commission on the advice of the executive council. The commission of a judge continues</w:t>
      </w:r>
      <w:r w:rsidR="00921F15" w:rsidRPr="001F021D">
        <w:rPr>
          <w:rFonts w:ascii="Garamond" w:hAnsi="Garamond"/>
          <w:sz w:val="24"/>
          <w:szCs w:val="24"/>
        </w:rPr>
        <w:t>, relevantly,</w:t>
      </w:r>
      <w:r w:rsidRPr="001F021D">
        <w:rPr>
          <w:rFonts w:ascii="Garamond" w:hAnsi="Garamond"/>
          <w:sz w:val="24"/>
          <w:szCs w:val="24"/>
        </w:rPr>
        <w:t xml:space="preserve"> until </w:t>
      </w:r>
      <w:r w:rsidR="00921F15" w:rsidRPr="001F021D">
        <w:rPr>
          <w:rFonts w:ascii="Garamond" w:hAnsi="Garamond"/>
          <w:sz w:val="24"/>
          <w:szCs w:val="24"/>
        </w:rPr>
        <w:t>retirement, resignation or by removal from office pursuant to s77(</w:t>
      </w:r>
      <w:proofErr w:type="gramStart"/>
      <w:r w:rsidR="00921F15" w:rsidRPr="001F021D">
        <w:rPr>
          <w:rFonts w:ascii="Garamond" w:hAnsi="Garamond"/>
          <w:sz w:val="24"/>
          <w:szCs w:val="24"/>
        </w:rPr>
        <w:t>4)(</w:t>
      </w:r>
      <w:proofErr w:type="gramEnd"/>
      <w:r w:rsidR="00921F15" w:rsidRPr="001F021D">
        <w:rPr>
          <w:rFonts w:ascii="Garamond" w:hAnsi="Garamond"/>
          <w:sz w:val="24"/>
          <w:szCs w:val="24"/>
        </w:rPr>
        <w:t xml:space="preserve">aaa) of the </w:t>
      </w:r>
      <w:r w:rsidR="00921F15" w:rsidRPr="001F021D">
        <w:rPr>
          <w:rFonts w:ascii="Garamond" w:hAnsi="Garamond"/>
          <w:i/>
          <w:iCs/>
          <w:sz w:val="24"/>
          <w:szCs w:val="24"/>
        </w:rPr>
        <w:t>Constitution Act</w:t>
      </w:r>
      <w:r w:rsidR="000D1FB5" w:rsidRPr="001F021D">
        <w:rPr>
          <w:rFonts w:ascii="Garamond" w:hAnsi="Garamond"/>
          <w:i/>
          <w:iCs/>
          <w:sz w:val="24"/>
          <w:szCs w:val="24"/>
        </w:rPr>
        <w:t xml:space="preserve"> </w:t>
      </w:r>
      <w:r w:rsidR="00921F15" w:rsidRPr="001F021D">
        <w:rPr>
          <w:rFonts w:ascii="Garamond" w:hAnsi="Garamond"/>
          <w:sz w:val="24"/>
          <w:szCs w:val="24"/>
        </w:rPr>
        <w:t>(Vic)</w:t>
      </w:r>
      <w:r w:rsidR="006E0398" w:rsidRPr="001F021D">
        <w:rPr>
          <w:rFonts w:ascii="Garamond" w:hAnsi="Garamond"/>
          <w:sz w:val="24"/>
          <w:szCs w:val="24"/>
        </w:rPr>
        <w:t xml:space="preserve"> (</w:t>
      </w:r>
      <w:r w:rsidR="006E0398" w:rsidRPr="001F021D">
        <w:rPr>
          <w:rFonts w:ascii="Garamond" w:hAnsi="Garamond"/>
          <w:b/>
          <w:bCs/>
          <w:sz w:val="24"/>
          <w:szCs w:val="24"/>
        </w:rPr>
        <w:t>Constitution</w:t>
      </w:r>
      <w:r w:rsidR="00A05382" w:rsidRPr="001F021D">
        <w:rPr>
          <w:rFonts w:ascii="Garamond" w:hAnsi="Garamond"/>
          <w:sz w:val="24"/>
          <w:szCs w:val="24"/>
        </w:rPr>
        <w:t>)</w:t>
      </w:r>
      <w:r w:rsidR="00921F15" w:rsidRPr="001F021D">
        <w:rPr>
          <w:rFonts w:ascii="Garamond" w:hAnsi="Garamond"/>
          <w:sz w:val="24"/>
          <w:szCs w:val="24"/>
        </w:rPr>
        <w:t>. Different provisions relate to reserve judge</w:t>
      </w:r>
      <w:r w:rsidR="007803DB" w:rsidRPr="001F021D">
        <w:rPr>
          <w:rFonts w:ascii="Garamond" w:hAnsi="Garamond"/>
          <w:sz w:val="24"/>
          <w:szCs w:val="24"/>
        </w:rPr>
        <w:t xml:space="preserve">s and other judicial officers. </w:t>
      </w:r>
      <w:r w:rsidR="008B3295" w:rsidRPr="001F021D">
        <w:rPr>
          <w:rFonts w:ascii="Garamond" w:hAnsi="Garamond"/>
          <w:sz w:val="24"/>
          <w:szCs w:val="24"/>
        </w:rPr>
        <w:t>Although magistrates and VCAT members are not appointed by commission, nevertheless the principle of non-interference extends to them also protecting them against executive interference in the discharge of their duties.</w:t>
      </w:r>
      <w:r w:rsidR="008B3295" w:rsidRPr="001F021D">
        <w:rPr>
          <w:rStyle w:val="FootnoteReference"/>
          <w:rFonts w:ascii="Garamond" w:hAnsi="Garamond"/>
          <w:sz w:val="24"/>
          <w:szCs w:val="24"/>
        </w:rPr>
        <w:footnoteReference w:id="2"/>
      </w:r>
      <w:r w:rsidR="008B3295" w:rsidRPr="001F021D">
        <w:rPr>
          <w:rFonts w:ascii="Garamond" w:hAnsi="Garamond"/>
          <w:sz w:val="24"/>
          <w:szCs w:val="24"/>
        </w:rPr>
        <w:t xml:space="preserve"> </w:t>
      </w:r>
    </w:p>
    <w:p w14:paraId="6C377D61" w14:textId="77777777" w:rsidR="00684F65" w:rsidRPr="001F021D" w:rsidRDefault="00684F65" w:rsidP="00684F65">
      <w:pPr>
        <w:pStyle w:val="ListParagraph"/>
        <w:rPr>
          <w:rFonts w:ascii="Garamond" w:hAnsi="Garamond"/>
          <w:sz w:val="24"/>
          <w:szCs w:val="24"/>
        </w:rPr>
      </w:pPr>
    </w:p>
    <w:p w14:paraId="27D1D200" w14:textId="77777777" w:rsidR="00684F65" w:rsidRPr="001F021D" w:rsidRDefault="00684F65"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S87AAB of the Constitution provides for the removal from office of a judicial officer </w:t>
      </w:r>
      <w:r w:rsidR="005C350E" w:rsidRPr="001F021D">
        <w:rPr>
          <w:rFonts w:ascii="Garamond" w:hAnsi="Garamond"/>
          <w:sz w:val="24"/>
          <w:szCs w:val="24"/>
        </w:rPr>
        <w:t>on the presentation to the Governor of an address from both Houses of the </w:t>
      </w:r>
      <w:hyperlink r:id="rId8" w:anchor="parliament" w:history="1">
        <w:r w:rsidR="005C350E" w:rsidRPr="001F021D">
          <w:rPr>
            <w:rFonts w:ascii="Garamond" w:hAnsi="Garamond"/>
            <w:sz w:val="24"/>
            <w:szCs w:val="24"/>
          </w:rPr>
          <w:t>Parliament</w:t>
        </w:r>
      </w:hyperlink>
      <w:r w:rsidR="005C350E" w:rsidRPr="001F021D">
        <w:rPr>
          <w:rFonts w:ascii="Garamond" w:hAnsi="Garamond"/>
          <w:sz w:val="24"/>
          <w:szCs w:val="24"/>
        </w:rPr>
        <w:t> agreed to by a </w:t>
      </w:r>
      <w:hyperlink r:id="rId9" w:anchor="special_majority" w:history="1">
        <w:r w:rsidR="005C350E" w:rsidRPr="001F021D">
          <w:rPr>
            <w:rFonts w:ascii="Garamond" w:hAnsi="Garamond"/>
            <w:sz w:val="24"/>
            <w:szCs w:val="24"/>
          </w:rPr>
          <w:t>special majority</w:t>
        </w:r>
      </w:hyperlink>
      <w:r w:rsidR="005C350E" w:rsidRPr="001F021D">
        <w:rPr>
          <w:rFonts w:ascii="Garamond" w:hAnsi="Garamond"/>
          <w:sz w:val="24"/>
          <w:szCs w:val="24"/>
        </w:rPr>
        <w:t> in the same session </w:t>
      </w:r>
      <w:r w:rsidRPr="001F021D">
        <w:rPr>
          <w:rFonts w:ascii="Garamond" w:hAnsi="Garamond"/>
          <w:sz w:val="24"/>
          <w:szCs w:val="24"/>
        </w:rPr>
        <w:t>for ‘proved misbehaviour o</w:t>
      </w:r>
      <w:r w:rsidR="005C350E" w:rsidRPr="001F021D">
        <w:rPr>
          <w:rFonts w:ascii="Garamond" w:hAnsi="Garamond"/>
          <w:sz w:val="24"/>
          <w:szCs w:val="24"/>
        </w:rPr>
        <w:t>r</w:t>
      </w:r>
      <w:r w:rsidRPr="001F021D">
        <w:rPr>
          <w:rFonts w:ascii="Garamond" w:hAnsi="Garamond"/>
          <w:sz w:val="24"/>
          <w:szCs w:val="24"/>
        </w:rPr>
        <w:t xml:space="preserve"> incapacity’.</w:t>
      </w:r>
      <w:r w:rsidR="005C350E" w:rsidRPr="001F021D">
        <w:rPr>
          <w:rFonts w:ascii="Garamond" w:hAnsi="Garamond"/>
          <w:sz w:val="24"/>
          <w:szCs w:val="24"/>
        </w:rPr>
        <w:t xml:space="preserve"> Such resolution depends upon the finding of an investigating panel of facts that could amount </w:t>
      </w:r>
      <w:proofErr w:type="spellStart"/>
      <w:r w:rsidR="005C350E" w:rsidRPr="001F021D">
        <w:rPr>
          <w:rFonts w:ascii="Garamond" w:hAnsi="Garamond"/>
          <w:sz w:val="24"/>
          <w:szCs w:val="24"/>
        </w:rPr>
        <w:t>to proved</w:t>
      </w:r>
      <w:proofErr w:type="spellEnd"/>
      <w:r w:rsidR="005C350E" w:rsidRPr="001F021D">
        <w:rPr>
          <w:rFonts w:ascii="Garamond" w:hAnsi="Garamond"/>
          <w:sz w:val="24"/>
          <w:szCs w:val="24"/>
        </w:rPr>
        <w:t xml:space="preserve"> misbehaviour or incapacity such as to warrant removal of the judicial officer from office. </w:t>
      </w:r>
      <w:r w:rsidRPr="001F021D">
        <w:rPr>
          <w:rFonts w:ascii="Garamond" w:hAnsi="Garamond"/>
          <w:sz w:val="24"/>
          <w:szCs w:val="24"/>
        </w:rPr>
        <w:t>S87</w:t>
      </w:r>
      <w:proofErr w:type="gramStart"/>
      <w:r w:rsidRPr="001F021D">
        <w:rPr>
          <w:rFonts w:ascii="Garamond" w:hAnsi="Garamond"/>
          <w:sz w:val="24"/>
          <w:szCs w:val="24"/>
        </w:rPr>
        <w:t>AAB(</w:t>
      </w:r>
      <w:proofErr w:type="gramEnd"/>
      <w:r w:rsidRPr="001F021D">
        <w:rPr>
          <w:rFonts w:ascii="Garamond" w:hAnsi="Garamond"/>
          <w:sz w:val="24"/>
          <w:szCs w:val="24"/>
        </w:rPr>
        <w:t xml:space="preserve">4) provides: </w:t>
      </w:r>
    </w:p>
    <w:p w14:paraId="377202DF" w14:textId="77777777" w:rsidR="00684F65" w:rsidRPr="001F021D" w:rsidRDefault="00684F65" w:rsidP="00684F65">
      <w:pPr>
        <w:pStyle w:val="ListParagraph"/>
        <w:rPr>
          <w:rFonts w:ascii="Garamond" w:hAnsi="Garamond"/>
          <w:sz w:val="24"/>
          <w:szCs w:val="24"/>
        </w:rPr>
      </w:pPr>
    </w:p>
    <w:p w14:paraId="2BE4F9AF" w14:textId="77777777" w:rsidR="00684F65" w:rsidRPr="0025283E" w:rsidRDefault="00684F65" w:rsidP="00684F65">
      <w:pPr>
        <w:ind w:left="720"/>
        <w:jc w:val="both"/>
        <w:rPr>
          <w:rFonts w:ascii="Garamond" w:hAnsi="Garamond"/>
        </w:rPr>
      </w:pPr>
      <w:r w:rsidRPr="0025283E">
        <w:rPr>
          <w:rFonts w:ascii="Garamond" w:hAnsi="Garamond"/>
        </w:rPr>
        <w:t>Except as provided by this Part, no holder of a judicial office can be removed from that office</w:t>
      </w:r>
    </w:p>
    <w:p w14:paraId="0A4B6BCB" w14:textId="77777777" w:rsidR="00A3643E" w:rsidRPr="001F021D" w:rsidRDefault="00A3643E" w:rsidP="00A3643E">
      <w:pPr>
        <w:pStyle w:val="ListParagraph"/>
        <w:rPr>
          <w:rFonts w:ascii="Garamond" w:hAnsi="Garamond"/>
          <w:sz w:val="24"/>
          <w:szCs w:val="24"/>
        </w:rPr>
      </w:pPr>
    </w:p>
    <w:p w14:paraId="0A730D96" w14:textId="77777777" w:rsidR="00485406" w:rsidRPr="001F021D" w:rsidRDefault="00E06D7B" w:rsidP="00485406">
      <w:pPr>
        <w:pStyle w:val="ListParagraph"/>
        <w:numPr>
          <w:ilvl w:val="0"/>
          <w:numId w:val="1"/>
        </w:numPr>
        <w:jc w:val="both"/>
        <w:rPr>
          <w:rFonts w:ascii="Garamond" w:hAnsi="Garamond"/>
          <w:sz w:val="24"/>
          <w:szCs w:val="24"/>
        </w:rPr>
      </w:pPr>
      <w:r w:rsidRPr="001F021D">
        <w:rPr>
          <w:rFonts w:ascii="Garamond" w:hAnsi="Garamond"/>
          <w:sz w:val="24"/>
          <w:szCs w:val="24"/>
        </w:rPr>
        <w:t>As contemplated by s87</w:t>
      </w:r>
      <w:proofErr w:type="gramStart"/>
      <w:r w:rsidRPr="001F021D">
        <w:rPr>
          <w:rFonts w:ascii="Garamond" w:hAnsi="Garamond"/>
          <w:sz w:val="24"/>
          <w:szCs w:val="24"/>
        </w:rPr>
        <w:t>AAB(</w:t>
      </w:r>
      <w:proofErr w:type="gramEnd"/>
      <w:r w:rsidRPr="001F021D">
        <w:rPr>
          <w:rFonts w:ascii="Garamond" w:hAnsi="Garamond"/>
          <w:sz w:val="24"/>
          <w:szCs w:val="24"/>
        </w:rPr>
        <w:t>2), t</w:t>
      </w:r>
      <w:r w:rsidR="00485406" w:rsidRPr="001F021D">
        <w:rPr>
          <w:rFonts w:ascii="Garamond" w:hAnsi="Garamond"/>
          <w:sz w:val="24"/>
          <w:szCs w:val="24"/>
        </w:rPr>
        <w:t>he JCV has the power to receive, investigate and refer complaints against judicial officers. It may also make guidelines regarding the standards of ethical and professional conduct and general standards of appropriate conduct expected of judicial officers and non-judicial members of VCAT</w:t>
      </w:r>
      <w:r w:rsidR="00485406" w:rsidRPr="001F021D">
        <w:rPr>
          <w:rStyle w:val="FootnoteReference"/>
          <w:rFonts w:ascii="Garamond" w:hAnsi="Garamond"/>
          <w:sz w:val="24"/>
          <w:szCs w:val="24"/>
        </w:rPr>
        <w:footnoteReference w:id="3"/>
      </w:r>
      <w:r w:rsidR="00485406" w:rsidRPr="001F021D">
        <w:rPr>
          <w:rFonts w:ascii="Garamond" w:hAnsi="Garamond"/>
          <w:sz w:val="24"/>
          <w:szCs w:val="24"/>
        </w:rPr>
        <w:t xml:space="preserve"> . It is governed by the heads of jurisdiction and non-judicial members. </w:t>
      </w:r>
    </w:p>
    <w:p w14:paraId="7ADCE7DD" w14:textId="77777777" w:rsidR="00485406" w:rsidRPr="001F021D" w:rsidRDefault="00485406" w:rsidP="00485406">
      <w:pPr>
        <w:rPr>
          <w:rFonts w:ascii="Garamond" w:hAnsi="Garamond"/>
          <w:sz w:val="24"/>
          <w:szCs w:val="24"/>
        </w:rPr>
      </w:pPr>
    </w:p>
    <w:p w14:paraId="07B80838" w14:textId="77777777" w:rsidR="00485406" w:rsidRPr="001F021D" w:rsidRDefault="00485406" w:rsidP="00A5508F">
      <w:pPr>
        <w:pStyle w:val="ListParagraph"/>
        <w:numPr>
          <w:ilvl w:val="0"/>
          <w:numId w:val="1"/>
        </w:numPr>
        <w:jc w:val="both"/>
        <w:rPr>
          <w:rFonts w:ascii="Garamond" w:hAnsi="Garamond"/>
          <w:sz w:val="24"/>
          <w:szCs w:val="24"/>
        </w:rPr>
      </w:pPr>
      <w:r w:rsidRPr="001F021D">
        <w:rPr>
          <w:rFonts w:ascii="Garamond" w:hAnsi="Garamond"/>
          <w:sz w:val="24"/>
          <w:szCs w:val="24"/>
        </w:rPr>
        <w:t>The JCV must dismiss a complaint if satisfied, inter alia, the matter relates to conduct alleged to have taken place before appointment or where the matter relates to the ‘private life’ of the officer concerned which could not be reasonably considered to affect the performance of the officer’s functions or suitability to hold office.</w:t>
      </w:r>
      <w:r w:rsidRPr="001F021D">
        <w:rPr>
          <w:rStyle w:val="FootnoteReference"/>
          <w:rFonts w:ascii="Garamond" w:hAnsi="Garamond"/>
          <w:sz w:val="24"/>
          <w:szCs w:val="24"/>
        </w:rPr>
        <w:footnoteReference w:id="4"/>
      </w:r>
      <w:r w:rsidRPr="001F021D">
        <w:rPr>
          <w:rFonts w:ascii="Garamond" w:hAnsi="Garamond"/>
          <w:sz w:val="24"/>
          <w:szCs w:val="24"/>
        </w:rPr>
        <w:t xml:space="preserve"> The head of jurisdiction has a power to counsel the judicial officer and make recommendations concerning future conduct or otherwise refer the matter to the Attorney General. </w:t>
      </w:r>
      <w:r w:rsidRPr="001F021D">
        <w:rPr>
          <w:rStyle w:val="FootnoteReference"/>
          <w:rFonts w:ascii="Garamond" w:hAnsi="Garamond"/>
          <w:sz w:val="24"/>
          <w:szCs w:val="24"/>
        </w:rPr>
        <w:footnoteReference w:id="5"/>
      </w:r>
      <w:r w:rsidRPr="001F021D">
        <w:rPr>
          <w:rFonts w:ascii="Garamond" w:hAnsi="Garamond"/>
          <w:sz w:val="24"/>
          <w:szCs w:val="24"/>
        </w:rPr>
        <w:t xml:space="preserve"> </w:t>
      </w:r>
    </w:p>
    <w:p w14:paraId="3A1FF46E" w14:textId="77777777" w:rsidR="00485406" w:rsidRPr="001F021D" w:rsidRDefault="00485406" w:rsidP="00485406">
      <w:pPr>
        <w:pStyle w:val="ListParagraph"/>
        <w:rPr>
          <w:rFonts w:ascii="Garamond" w:hAnsi="Garamond"/>
          <w:sz w:val="24"/>
          <w:szCs w:val="24"/>
        </w:rPr>
      </w:pPr>
    </w:p>
    <w:p w14:paraId="76F1009E" w14:textId="77777777" w:rsidR="00921F15" w:rsidRPr="001F021D" w:rsidRDefault="00485406" w:rsidP="00A5508F">
      <w:pPr>
        <w:pStyle w:val="ListParagraph"/>
        <w:numPr>
          <w:ilvl w:val="0"/>
          <w:numId w:val="1"/>
        </w:numPr>
        <w:jc w:val="both"/>
        <w:rPr>
          <w:rFonts w:ascii="Garamond" w:hAnsi="Garamond"/>
          <w:sz w:val="24"/>
          <w:szCs w:val="24"/>
        </w:rPr>
      </w:pPr>
      <w:r w:rsidRPr="001F021D">
        <w:rPr>
          <w:rFonts w:ascii="Garamond" w:hAnsi="Garamond"/>
          <w:sz w:val="24"/>
          <w:szCs w:val="24"/>
        </w:rPr>
        <w:t xml:space="preserve">While there is nothing to prevent an inquiry into sexual harassment by a judicial officer being investigated and referred by the JCV, it is not clear whether it would do so without a complaint having proceeding first to VEOHRC and then to VCAT for determination. </w:t>
      </w:r>
    </w:p>
    <w:p w14:paraId="16B19361" w14:textId="77777777" w:rsidR="00485406" w:rsidRPr="001F021D" w:rsidRDefault="00485406" w:rsidP="00485406">
      <w:pPr>
        <w:pStyle w:val="ListParagraph"/>
        <w:rPr>
          <w:rFonts w:ascii="Garamond" w:hAnsi="Garamond"/>
          <w:sz w:val="24"/>
          <w:szCs w:val="24"/>
        </w:rPr>
      </w:pPr>
    </w:p>
    <w:p w14:paraId="356FABF5" w14:textId="77777777" w:rsidR="00485406" w:rsidRPr="001F021D" w:rsidRDefault="00485406" w:rsidP="00A5508F">
      <w:pPr>
        <w:pStyle w:val="ListParagraph"/>
        <w:numPr>
          <w:ilvl w:val="0"/>
          <w:numId w:val="1"/>
        </w:numPr>
        <w:jc w:val="both"/>
        <w:rPr>
          <w:rFonts w:ascii="Garamond" w:hAnsi="Garamond"/>
          <w:sz w:val="24"/>
          <w:szCs w:val="24"/>
        </w:rPr>
      </w:pPr>
      <w:r w:rsidRPr="001F021D">
        <w:rPr>
          <w:rFonts w:ascii="Garamond" w:hAnsi="Garamond"/>
          <w:sz w:val="24"/>
          <w:szCs w:val="24"/>
        </w:rPr>
        <w:t xml:space="preserve">It is also unclear whether sexual harassment relates to the private life of a judicial officer which could </w:t>
      </w:r>
      <w:r w:rsidR="00E06D7B" w:rsidRPr="001F021D">
        <w:rPr>
          <w:rFonts w:ascii="Garamond" w:hAnsi="Garamond"/>
          <w:sz w:val="24"/>
          <w:szCs w:val="24"/>
        </w:rPr>
        <w:t xml:space="preserve">not </w:t>
      </w:r>
      <w:r w:rsidRPr="001F021D">
        <w:rPr>
          <w:rFonts w:ascii="Garamond" w:hAnsi="Garamond"/>
          <w:sz w:val="24"/>
          <w:szCs w:val="24"/>
        </w:rPr>
        <w:t xml:space="preserve">be reasonably considered to affect the judicial officer’s performance or suitability to hold office. As </w:t>
      </w:r>
      <w:r w:rsidR="00E06D7B" w:rsidRPr="001F021D">
        <w:rPr>
          <w:rFonts w:ascii="Garamond" w:hAnsi="Garamond"/>
          <w:sz w:val="24"/>
          <w:szCs w:val="24"/>
        </w:rPr>
        <w:t xml:space="preserve">unlawful </w:t>
      </w:r>
      <w:r w:rsidRPr="001F021D">
        <w:rPr>
          <w:rFonts w:ascii="Garamond" w:hAnsi="Garamond"/>
          <w:sz w:val="24"/>
          <w:szCs w:val="24"/>
        </w:rPr>
        <w:t>sexual harassment may be constituted by a range of unwelcome sexual behaviour</w:t>
      </w:r>
      <w:r w:rsidR="00E06D7B" w:rsidRPr="001F021D">
        <w:rPr>
          <w:rFonts w:ascii="Garamond" w:hAnsi="Garamond"/>
          <w:sz w:val="24"/>
          <w:szCs w:val="24"/>
        </w:rPr>
        <w:t>s</w:t>
      </w:r>
      <w:r w:rsidRPr="001F021D">
        <w:rPr>
          <w:rFonts w:ascii="Garamond" w:hAnsi="Garamond"/>
          <w:sz w:val="24"/>
          <w:szCs w:val="24"/>
        </w:rPr>
        <w:t>,</w:t>
      </w:r>
      <w:r w:rsidR="001E6D72" w:rsidRPr="001F021D">
        <w:rPr>
          <w:rStyle w:val="FootnoteReference"/>
          <w:rFonts w:ascii="Garamond" w:hAnsi="Garamond"/>
          <w:sz w:val="24"/>
          <w:szCs w:val="24"/>
        </w:rPr>
        <w:footnoteReference w:id="6"/>
      </w:r>
      <w:r w:rsidRPr="001F021D">
        <w:rPr>
          <w:rFonts w:ascii="Garamond" w:hAnsi="Garamond"/>
          <w:sz w:val="24"/>
          <w:szCs w:val="24"/>
        </w:rPr>
        <w:t xml:space="preserve"> </w:t>
      </w:r>
      <w:r w:rsidR="00E06D7B" w:rsidRPr="001F021D">
        <w:rPr>
          <w:rFonts w:ascii="Garamond" w:hAnsi="Garamond"/>
          <w:sz w:val="24"/>
          <w:szCs w:val="24"/>
        </w:rPr>
        <w:t xml:space="preserve">and there is uncertainty concerning the requisite workplace relationship or connection as discussed below, </w:t>
      </w:r>
      <w:r w:rsidRPr="001F021D">
        <w:rPr>
          <w:rFonts w:ascii="Garamond" w:hAnsi="Garamond"/>
          <w:sz w:val="24"/>
          <w:szCs w:val="24"/>
        </w:rPr>
        <w:t xml:space="preserve">there appears to be scope for the JCV to </w:t>
      </w:r>
      <w:r w:rsidR="00E06D7B" w:rsidRPr="001F021D">
        <w:rPr>
          <w:rFonts w:ascii="Garamond" w:hAnsi="Garamond"/>
          <w:sz w:val="24"/>
          <w:szCs w:val="24"/>
        </w:rPr>
        <w:t xml:space="preserve">dismiss a complaint despite being satisfied unlawful conduct has occurred. </w:t>
      </w:r>
    </w:p>
    <w:p w14:paraId="1824A6EE" w14:textId="77777777" w:rsidR="00E06D7B" w:rsidRPr="001F021D" w:rsidRDefault="00E06D7B" w:rsidP="00E06D7B">
      <w:pPr>
        <w:pStyle w:val="ListParagraph"/>
        <w:rPr>
          <w:rFonts w:ascii="Garamond" w:hAnsi="Garamond"/>
          <w:sz w:val="24"/>
          <w:szCs w:val="24"/>
        </w:rPr>
      </w:pPr>
    </w:p>
    <w:p w14:paraId="5124B288" w14:textId="77777777" w:rsidR="00E06D7B" w:rsidRPr="001F021D" w:rsidRDefault="00193D30" w:rsidP="00E06D7B">
      <w:pPr>
        <w:pStyle w:val="ListParagraph"/>
        <w:numPr>
          <w:ilvl w:val="0"/>
          <w:numId w:val="1"/>
        </w:numPr>
        <w:jc w:val="both"/>
        <w:rPr>
          <w:rFonts w:ascii="Garamond" w:hAnsi="Garamond"/>
          <w:sz w:val="24"/>
          <w:szCs w:val="24"/>
        </w:rPr>
      </w:pPr>
      <w:r w:rsidRPr="001F021D">
        <w:rPr>
          <w:rFonts w:ascii="Garamond" w:hAnsi="Garamond"/>
          <w:sz w:val="24"/>
          <w:szCs w:val="24"/>
        </w:rPr>
        <w:t>T</w:t>
      </w:r>
      <w:r w:rsidR="00E06D7B" w:rsidRPr="001F021D">
        <w:rPr>
          <w:rFonts w:ascii="Garamond" w:hAnsi="Garamond"/>
          <w:sz w:val="24"/>
          <w:szCs w:val="24"/>
        </w:rPr>
        <w:t>he JCV website discloses that it has</w:t>
      </w:r>
      <w:r w:rsidRPr="001F021D">
        <w:rPr>
          <w:rFonts w:ascii="Garamond" w:hAnsi="Garamond"/>
          <w:sz w:val="24"/>
          <w:szCs w:val="24"/>
        </w:rPr>
        <w:t xml:space="preserve"> in recent times</w:t>
      </w:r>
      <w:r w:rsidR="00E06D7B" w:rsidRPr="001F021D">
        <w:rPr>
          <w:rFonts w:ascii="Garamond" w:hAnsi="Garamond"/>
          <w:sz w:val="24"/>
          <w:szCs w:val="24"/>
        </w:rPr>
        <w:t xml:space="preserve"> recommended action by judicial officers in respect of allegations of bullying and </w:t>
      </w:r>
      <w:r w:rsidRPr="001F021D">
        <w:rPr>
          <w:rFonts w:ascii="Garamond" w:hAnsi="Garamond"/>
          <w:sz w:val="24"/>
          <w:szCs w:val="24"/>
        </w:rPr>
        <w:t>non-disclosure</w:t>
      </w:r>
      <w:r w:rsidR="00E06D7B" w:rsidRPr="001F021D">
        <w:rPr>
          <w:rFonts w:ascii="Garamond" w:hAnsi="Garamond"/>
          <w:sz w:val="24"/>
          <w:szCs w:val="24"/>
        </w:rPr>
        <w:t xml:space="preserve"> of personal interest. In respect of the first of these matters, the recommendation that a judicial officer undertake training was accepted. </w:t>
      </w:r>
    </w:p>
    <w:p w14:paraId="07E1DC7B" w14:textId="77777777" w:rsidR="00193D30" w:rsidRPr="001F021D" w:rsidRDefault="00193D30" w:rsidP="00193D30">
      <w:pPr>
        <w:rPr>
          <w:rFonts w:ascii="Garamond" w:hAnsi="Garamond"/>
          <w:sz w:val="24"/>
          <w:szCs w:val="24"/>
        </w:rPr>
      </w:pPr>
    </w:p>
    <w:p w14:paraId="7ED422B0" w14:textId="77777777" w:rsidR="00193D30" w:rsidRPr="001F021D" w:rsidRDefault="00193D30" w:rsidP="00193D30">
      <w:pPr>
        <w:pStyle w:val="ListParagraph"/>
        <w:numPr>
          <w:ilvl w:val="0"/>
          <w:numId w:val="1"/>
        </w:numPr>
        <w:jc w:val="both"/>
        <w:rPr>
          <w:rFonts w:ascii="Garamond" w:hAnsi="Garamond"/>
          <w:sz w:val="24"/>
          <w:szCs w:val="24"/>
        </w:rPr>
      </w:pPr>
      <w:r w:rsidRPr="001F021D">
        <w:rPr>
          <w:rFonts w:ascii="Garamond" w:hAnsi="Garamond"/>
          <w:sz w:val="24"/>
          <w:szCs w:val="24"/>
        </w:rPr>
        <w:t xml:space="preserve">I am unaware of any instance of referral of a judicial officer in Victoria to the Attorney General for removal on the grounds of misbehaviour constituted by sexual harassment.  </w:t>
      </w:r>
    </w:p>
    <w:p w14:paraId="2B43A922" w14:textId="77777777" w:rsidR="00485406" w:rsidRPr="001F021D" w:rsidRDefault="00485406" w:rsidP="00485406">
      <w:pPr>
        <w:jc w:val="both"/>
        <w:rPr>
          <w:rFonts w:ascii="Garamond" w:hAnsi="Garamond"/>
          <w:sz w:val="24"/>
          <w:szCs w:val="24"/>
        </w:rPr>
      </w:pPr>
    </w:p>
    <w:p w14:paraId="5DBC461B" w14:textId="77777777" w:rsidR="00976C6D" w:rsidRPr="001F021D" w:rsidRDefault="00E06D7B" w:rsidP="005C350E">
      <w:pPr>
        <w:pStyle w:val="ListParagraph"/>
        <w:numPr>
          <w:ilvl w:val="0"/>
          <w:numId w:val="1"/>
        </w:numPr>
        <w:jc w:val="both"/>
        <w:rPr>
          <w:rFonts w:ascii="Garamond" w:hAnsi="Garamond"/>
          <w:sz w:val="24"/>
          <w:szCs w:val="24"/>
        </w:rPr>
      </w:pPr>
      <w:r w:rsidRPr="001F021D">
        <w:rPr>
          <w:rFonts w:ascii="Garamond" w:hAnsi="Garamond"/>
          <w:sz w:val="24"/>
          <w:szCs w:val="24"/>
        </w:rPr>
        <w:t>As noted, t</w:t>
      </w:r>
      <w:r w:rsidR="00921F15" w:rsidRPr="001F021D">
        <w:rPr>
          <w:rFonts w:ascii="Garamond" w:hAnsi="Garamond"/>
          <w:sz w:val="24"/>
          <w:szCs w:val="24"/>
        </w:rPr>
        <w:t xml:space="preserve">he </w:t>
      </w:r>
      <w:r w:rsidR="008B3295" w:rsidRPr="001F021D">
        <w:rPr>
          <w:rFonts w:ascii="Garamond" w:hAnsi="Garamond"/>
          <w:sz w:val="24"/>
          <w:szCs w:val="24"/>
        </w:rPr>
        <w:t xml:space="preserve">heads of jurisdiction have limited powers to discipline judicial officers within their Courts. The </w:t>
      </w:r>
      <w:r w:rsidR="00921F15" w:rsidRPr="001F021D">
        <w:rPr>
          <w:rFonts w:ascii="Garamond" w:hAnsi="Garamond"/>
          <w:sz w:val="24"/>
          <w:szCs w:val="24"/>
        </w:rPr>
        <w:t>Chief Justice has rank and precedence above other judges of the Court, and certain administrative duties, but in other respects is a ‘first amongst equals’.</w:t>
      </w:r>
      <w:r w:rsidR="0053125B" w:rsidRPr="001F021D">
        <w:rPr>
          <w:rStyle w:val="FootnoteReference"/>
          <w:rFonts w:ascii="Garamond" w:hAnsi="Garamond"/>
          <w:sz w:val="24"/>
          <w:szCs w:val="24"/>
        </w:rPr>
        <w:footnoteReference w:id="7"/>
      </w:r>
      <w:r w:rsidR="00921F15" w:rsidRPr="001F021D">
        <w:rPr>
          <w:rFonts w:ascii="Garamond" w:hAnsi="Garamond"/>
          <w:sz w:val="24"/>
          <w:szCs w:val="24"/>
        </w:rPr>
        <w:t xml:space="preserve"> </w:t>
      </w:r>
      <w:r w:rsidR="008B3295" w:rsidRPr="001F021D">
        <w:rPr>
          <w:rFonts w:ascii="Garamond" w:hAnsi="Garamond"/>
          <w:sz w:val="24"/>
          <w:szCs w:val="24"/>
        </w:rPr>
        <w:t xml:space="preserve"> Likewise t</w:t>
      </w:r>
      <w:r w:rsidR="00921F15" w:rsidRPr="001F021D">
        <w:rPr>
          <w:rFonts w:ascii="Garamond" w:hAnsi="Garamond"/>
          <w:sz w:val="24"/>
          <w:szCs w:val="24"/>
        </w:rPr>
        <w:t>he President of the Court of Appeal</w:t>
      </w:r>
      <w:r w:rsidR="008B3295" w:rsidRPr="001F021D">
        <w:rPr>
          <w:rFonts w:ascii="Garamond" w:hAnsi="Garamond"/>
          <w:sz w:val="24"/>
          <w:szCs w:val="24"/>
        </w:rPr>
        <w:t>,</w:t>
      </w:r>
      <w:r w:rsidR="00921F15" w:rsidRPr="001F021D">
        <w:rPr>
          <w:rFonts w:ascii="Garamond" w:hAnsi="Garamond"/>
          <w:sz w:val="24"/>
          <w:szCs w:val="24"/>
        </w:rPr>
        <w:t xml:space="preserve"> </w:t>
      </w:r>
      <w:r w:rsidR="008B3295" w:rsidRPr="001F021D">
        <w:rPr>
          <w:rFonts w:ascii="Garamond" w:hAnsi="Garamond"/>
          <w:sz w:val="24"/>
          <w:szCs w:val="24"/>
        </w:rPr>
        <w:t>t</w:t>
      </w:r>
      <w:r w:rsidR="00921F15" w:rsidRPr="001F021D">
        <w:rPr>
          <w:rFonts w:ascii="Garamond" w:hAnsi="Garamond"/>
          <w:sz w:val="24"/>
          <w:szCs w:val="24"/>
        </w:rPr>
        <w:t xml:space="preserve">he Chief Judge of the County Court, </w:t>
      </w:r>
      <w:r w:rsidR="008B3295" w:rsidRPr="001F021D">
        <w:rPr>
          <w:rFonts w:ascii="Garamond" w:hAnsi="Garamond"/>
          <w:sz w:val="24"/>
          <w:szCs w:val="24"/>
        </w:rPr>
        <w:t>the P</w:t>
      </w:r>
      <w:r w:rsidR="00921F15" w:rsidRPr="001F021D">
        <w:rPr>
          <w:rFonts w:ascii="Garamond" w:hAnsi="Garamond"/>
          <w:sz w:val="24"/>
          <w:szCs w:val="24"/>
        </w:rPr>
        <w:t>resident of VCAT</w:t>
      </w:r>
      <w:r w:rsidR="008B3295" w:rsidRPr="001F021D">
        <w:rPr>
          <w:rFonts w:ascii="Garamond" w:hAnsi="Garamond"/>
          <w:sz w:val="24"/>
          <w:szCs w:val="24"/>
        </w:rPr>
        <w:t xml:space="preserve">, </w:t>
      </w:r>
      <w:r w:rsidR="00921F15" w:rsidRPr="001F021D">
        <w:rPr>
          <w:rFonts w:ascii="Garamond" w:hAnsi="Garamond"/>
          <w:sz w:val="24"/>
          <w:szCs w:val="24"/>
        </w:rPr>
        <w:t>Chief Magistrate</w:t>
      </w:r>
      <w:r w:rsidR="008B3295" w:rsidRPr="001F021D">
        <w:rPr>
          <w:rFonts w:ascii="Garamond" w:hAnsi="Garamond"/>
          <w:sz w:val="24"/>
          <w:szCs w:val="24"/>
        </w:rPr>
        <w:t>, Coroner and Chief Judge of the Children’s Court</w:t>
      </w:r>
      <w:r w:rsidR="00921F15" w:rsidRPr="001F021D">
        <w:rPr>
          <w:rFonts w:ascii="Garamond" w:hAnsi="Garamond"/>
          <w:sz w:val="24"/>
          <w:szCs w:val="24"/>
        </w:rPr>
        <w:t xml:space="preserve"> similarly have no powers of discipline.</w:t>
      </w:r>
      <w:r w:rsidR="0053125B" w:rsidRPr="001F021D">
        <w:rPr>
          <w:rStyle w:val="FootnoteReference"/>
          <w:rFonts w:ascii="Garamond" w:hAnsi="Garamond"/>
          <w:sz w:val="24"/>
          <w:szCs w:val="24"/>
        </w:rPr>
        <w:footnoteReference w:id="8"/>
      </w:r>
      <w:r w:rsidR="00921F15" w:rsidRPr="001F021D">
        <w:rPr>
          <w:rFonts w:ascii="Garamond" w:hAnsi="Garamond"/>
          <w:sz w:val="24"/>
          <w:szCs w:val="24"/>
        </w:rPr>
        <w:t xml:space="preserve"> </w:t>
      </w:r>
      <w:r w:rsidR="00267EE0" w:rsidRPr="001F021D">
        <w:rPr>
          <w:rFonts w:ascii="Garamond" w:hAnsi="Garamond"/>
          <w:sz w:val="24"/>
          <w:szCs w:val="24"/>
        </w:rPr>
        <w:t xml:space="preserve">There may be limited power to </w:t>
      </w:r>
      <w:r w:rsidR="008230FC" w:rsidRPr="001F021D">
        <w:rPr>
          <w:rFonts w:ascii="Garamond" w:hAnsi="Garamond"/>
          <w:sz w:val="24"/>
          <w:szCs w:val="24"/>
        </w:rPr>
        <w:t>control the</w:t>
      </w:r>
      <w:r w:rsidR="00267EE0" w:rsidRPr="001F021D">
        <w:rPr>
          <w:rFonts w:ascii="Garamond" w:hAnsi="Garamond"/>
          <w:sz w:val="24"/>
          <w:szCs w:val="24"/>
        </w:rPr>
        <w:t xml:space="preserve"> allocat</w:t>
      </w:r>
      <w:r w:rsidR="008230FC" w:rsidRPr="001F021D">
        <w:rPr>
          <w:rFonts w:ascii="Garamond" w:hAnsi="Garamond"/>
          <w:sz w:val="24"/>
          <w:szCs w:val="24"/>
        </w:rPr>
        <w:t>ion of</w:t>
      </w:r>
      <w:r w:rsidR="00267EE0" w:rsidRPr="001F021D">
        <w:rPr>
          <w:rFonts w:ascii="Garamond" w:hAnsi="Garamond"/>
          <w:sz w:val="24"/>
          <w:szCs w:val="24"/>
        </w:rPr>
        <w:t xml:space="preserve"> </w:t>
      </w:r>
      <w:r w:rsidR="008230FC" w:rsidRPr="001F021D">
        <w:rPr>
          <w:rFonts w:ascii="Garamond" w:hAnsi="Garamond"/>
          <w:sz w:val="24"/>
          <w:szCs w:val="24"/>
        </w:rPr>
        <w:t xml:space="preserve">cases </w:t>
      </w:r>
      <w:r w:rsidR="00267EE0" w:rsidRPr="001F021D">
        <w:rPr>
          <w:rFonts w:ascii="Garamond" w:hAnsi="Garamond"/>
          <w:sz w:val="24"/>
          <w:szCs w:val="24"/>
        </w:rPr>
        <w:t xml:space="preserve">to the judicial officer </w:t>
      </w:r>
      <w:r w:rsidR="00684F65" w:rsidRPr="001F021D">
        <w:rPr>
          <w:rFonts w:ascii="Garamond" w:hAnsi="Garamond"/>
          <w:sz w:val="24"/>
          <w:szCs w:val="24"/>
        </w:rPr>
        <w:t xml:space="preserve">and provide directions concerning education, </w:t>
      </w:r>
      <w:r w:rsidR="008230FC" w:rsidRPr="001F021D">
        <w:rPr>
          <w:rFonts w:ascii="Garamond" w:hAnsi="Garamond"/>
          <w:sz w:val="24"/>
          <w:szCs w:val="24"/>
        </w:rPr>
        <w:t xml:space="preserve">but it is generally accepted that there is no power </w:t>
      </w:r>
      <w:r w:rsidR="00684F65" w:rsidRPr="001F021D">
        <w:rPr>
          <w:rFonts w:ascii="Garamond" w:hAnsi="Garamond"/>
          <w:sz w:val="24"/>
          <w:szCs w:val="24"/>
        </w:rPr>
        <w:t xml:space="preserve">in a head of jurisdiction </w:t>
      </w:r>
      <w:r w:rsidR="008230FC" w:rsidRPr="001F021D">
        <w:rPr>
          <w:rFonts w:ascii="Garamond" w:hAnsi="Garamond"/>
          <w:sz w:val="24"/>
          <w:szCs w:val="24"/>
        </w:rPr>
        <w:t>to suspend, fine</w:t>
      </w:r>
      <w:r w:rsidR="00CF5759" w:rsidRPr="001F021D">
        <w:rPr>
          <w:rFonts w:ascii="Garamond" w:hAnsi="Garamond"/>
          <w:sz w:val="24"/>
          <w:szCs w:val="24"/>
        </w:rPr>
        <w:t>, censure</w:t>
      </w:r>
      <w:r w:rsidR="008230FC" w:rsidRPr="001F021D">
        <w:rPr>
          <w:rFonts w:ascii="Garamond" w:hAnsi="Garamond"/>
          <w:sz w:val="24"/>
          <w:szCs w:val="24"/>
        </w:rPr>
        <w:t xml:space="preserve"> or otherwise penalise a judicial officer for misconduct. </w:t>
      </w:r>
      <w:r w:rsidR="008E3D89" w:rsidRPr="001F021D">
        <w:rPr>
          <w:rStyle w:val="FootnoteReference"/>
          <w:rFonts w:ascii="Garamond" w:hAnsi="Garamond"/>
          <w:sz w:val="24"/>
          <w:szCs w:val="24"/>
        </w:rPr>
        <w:footnoteReference w:id="9"/>
      </w:r>
    </w:p>
    <w:p w14:paraId="1ADA61F6" w14:textId="77777777" w:rsidR="00485406" w:rsidRPr="001F021D" w:rsidRDefault="00485406" w:rsidP="00485406">
      <w:pPr>
        <w:pStyle w:val="ListParagraph"/>
        <w:rPr>
          <w:rFonts w:ascii="Garamond" w:hAnsi="Garamond"/>
          <w:sz w:val="24"/>
          <w:szCs w:val="24"/>
        </w:rPr>
      </w:pPr>
    </w:p>
    <w:p w14:paraId="46ECE046" w14:textId="77777777" w:rsidR="00485406" w:rsidRPr="001F021D" w:rsidRDefault="00485406" w:rsidP="00485406">
      <w:pPr>
        <w:pStyle w:val="ListParagraph"/>
        <w:numPr>
          <w:ilvl w:val="0"/>
          <w:numId w:val="1"/>
        </w:numPr>
        <w:jc w:val="both"/>
        <w:rPr>
          <w:rFonts w:ascii="Garamond" w:hAnsi="Garamond"/>
          <w:sz w:val="24"/>
          <w:szCs w:val="24"/>
        </w:rPr>
      </w:pPr>
      <w:r w:rsidRPr="001F021D">
        <w:rPr>
          <w:rFonts w:ascii="Garamond" w:hAnsi="Garamond"/>
          <w:sz w:val="24"/>
          <w:szCs w:val="24"/>
        </w:rPr>
        <w:t xml:space="preserve">Judicial immunity is closely linked to the notion of judicial independence and may protect a judicial officer from a complaint under protective legislation. In order to attract the immunity, the judicial officer must be acting in a judicial capacity or performing administrative duties associated with that capacity. Conduct of a private nature – such as the commission of an offence or unlawful conduct such as sexual harassment would ordinarily not attract judicial immunity depending upon the context of the conduct. </w:t>
      </w:r>
    </w:p>
    <w:p w14:paraId="0864C955" w14:textId="77777777" w:rsidR="00485406" w:rsidRPr="001F021D" w:rsidRDefault="00485406" w:rsidP="00485406">
      <w:pPr>
        <w:pStyle w:val="ListParagraph"/>
        <w:ind w:left="360"/>
        <w:jc w:val="both"/>
        <w:rPr>
          <w:rFonts w:ascii="Garamond" w:hAnsi="Garamond"/>
          <w:sz w:val="24"/>
          <w:szCs w:val="24"/>
        </w:rPr>
      </w:pPr>
    </w:p>
    <w:p w14:paraId="1D8C6493" w14:textId="77777777" w:rsidR="00485406" w:rsidRPr="001F021D" w:rsidRDefault="00485406" w:rsidP="00485406">
      <w:pPr>
        <w:pStyle w:val="ListParagraph"/>
        <w:numPr>
          <w:ilvl w:val="0"/>
          <w:numId w:val="1"/>
        </w:numPr>
        <w:jc w:val="both"/>
        <w:rPr>
          <w:rFonts w:ascii="Garamond" w:hAnsi="Garamond"/>
          <w:sz w:val="24"/>
          <w:szCs w:val="24"/>
        </w:rPr>
      </w:pPr>
      <w:r w:rsidRPr="001F021D">
        <w:rPr>
          <w:rFonts w:ascii="Garamond" w:hAnsi="Garamond"/>
          <w:sz w:val="24"/>
          <w:szCs w:val="24"/>
        </w:rPr>
        <w:t>In general terms, judicial officers are subject to the operation of the criminal law and other Acts proscribing unlawful behaviour. Judicial immunity does not render lawful an unlawful act or transform a private act into a judicial act</w:t>
      </w:r>
      <w:r w:rsidR="00193D30" w:rsidRPr="001F021D">
        <w:rPr>
          <w:rFonts w:ascii="Garamond" w:hAnsi="Garamond"/>
          <w:sz w:val="24"/>
          <w:szCs w:val="24"/>
        </w:rPr>
        <w:t xml:space="preserve"> as discussed below</w:t>
      </w:r>
      <w:r w:rsidRPr="001F021D">
        <w:rPr>
          <w:rFonts w:ascii="Garamond" w:hAnsi="Garamond"/>
          <w:sz w:val="24"/>
          <w:szCs w:val="24"/>
        </w:rPr>
        <w:t>.</w:t>
      </w:r>
      <w:r w:rsidRPr="001F021D">
        <w:rPr>
          <w:rStyle w:val="FootnoteReference"/>
          <w:rFonts w:ascii="Garamond" w:hAnsi="Garamond"/>
          <w:sz w:val="24"/>
          <w:szCs w:val="24"/>
        </w:rPr>
        <w:footnoteReference w:id="10"/>
      </w:r>
      <w:r w:rsidRPr="001F021D">
        <w:rPr>
          <w:rFonts w:ascii="Garamond" w:hAnsi="Garamond"/>
          <w:sz w:val="24"/>
          <w:szCs w:val="24"/>
        </w:rPr>
        <w:t xml:space="preserve">   </w:t>
      </w:r>
    </w:p>
    <w:p w14:paraId="2DFB12B3" w14:textId="77777777" w:rsidR="0039598E" w:rsidRPr="001F021D" w:rsidRDefault="0039598E" w:rsidP="00E7513D">
      <w:pPr>
        <w:jc w:val="both"/>
        <w:rPr>
          <w:rFonts w:ascii="Garamond" w:hAnsi="Garamond"/>
          <w:sz w:val="24"/>
          <w:szCs w:val="24"/>
        </w:rPr>
      </w:pPr>
    </w:p>
    <w:p w14:paraId="140938D1" w14:textId="77777777" w:rsidR="00C314D4" w:rsidRPr="001F021D" w:rsidRDefault="00E7513D" w:rsidP="00C314D4">
      <w:pPr>
        <w:pStyle w:val="ListParagraph"/>
        <w:numPr>
          <w:ilvl w:val="0"/>
          <w:numId w:val="1"/>
        </w:numPr>
        <w:jc w:val="both"/>
        <w:rPr>
          <w:rFonts w:ascii="Garamond" w:hAnsi="Garamond"/>
          <w:sz w:val="24"/>
          <w:szCs w:val="24"/>
        </w:rPr>
      </w:pPr>
      <w:r w:rsidRPr="001F021D">
        <w:rPr>
          <w:rFonts w:ascii="Garamond" w:hAnsi="Garamond"/>
          <w:sz w:val="24"/>
          <w:szCs w:val="24"/>
        </w:rPr>
        <w:t xml:space="preserve">The challenge therefore is to protect </w:t>
      </w:r>
      <w:r w:rsidR="0006594A" w:rsidRPr="001F021D">
        <w:rPr>
          <w:rFonts w:ascii="Garamond" w:hAnsi="Garamond"/>
          <w:sz w:val="24"/>
          <w:szCs w:val="24"/>
        </w:rPr>
        <w:t>the rights and dignity of i</w:t>
      </w:r>
      <w:r w:rsidRPr="001F021D">
        <w:rPr>
          <w:rFonts w:ascii="Garamond" w:hAnsi="Garamond"/>
          <w:sz w:val="24"/>
          <w:szCs w:val="24"/>
        </w:rPr>
        <w:t>ndividuals working for or with judicial officers</w:t>
      </w:r>
      <w:r w:rsidR="008B3295" w:rsidRPr="001F021D">
        <w:rPr>
          <w:rFonts w:ascii="Garamond" w:hAnsi="Garamond"/>
          <w:sz w:val="24"/>
          <w:szCs w:val="24"/>
        </w:rPr>
        <w:t xml:space="preserve"> who are subjected to sexual harassment</w:t>
      </w:r>
      <w:r w:rsidR="0006594A" w:rsidRPr="001F021D">
        <w:rPr>
          <w:rFonts w:ascii="Garamond" w:hAnsi="Garamond"/>
          <w:sz w:val="24"/>
          <w:szCs w:val="24"/>
        </w:rPr>
        <w:t xml:space="preserve">. In </w:t>
      </w:r>
      <w:r w:rsidR="008B3295" w:rsidRPr="001F021D">
        <w:rPr>
          <w:rFonts w:ascii="Garamond" w:hAnsi="Garamond"/>
          <w:sz w:val="24"/>
          <w:szCs w:val="24"/>
        </w:rPr>
        <w:t xml:space="preserve">some </w:t>
      </w:r>
      <w:r w:rsidR="0006594A" w:rsidRPr="001F021D">
        <w:rPr>
          <w:rFonts w:ascii="Garamond" w:hAnsi="Garamond"/>
          <w:sz w:val="24"/>
          <w:szCs w:val="24"/>
        </w:rPr>
        <w:t>cases, those individuals will not be employed by the judicial officers but will be working at their direction and largely subject to their control</w:t>
      </w:r>
      <w:r w:rsidR="008B3295" w:rsidRPr="001F021D">
        <w:rPr>
          <w:rFonts w:ascii="Garamond" w:hAnsi="Garamond"/>
          <w:sz w:val="24"/>
          <w:szCs w:val="24"/>
        </w:rPr>
        <w:t xml:space="preserve"> as is the case with associates</w:t>
      </w:r>
      <w:r w:rsidR="0006594A" w:rsidRPr="001F021D">
        <w:rPr>
          <w:rFonts w:ascii="Garamond" w:hAnsi="Garamond"/>
          <w:sz w:val="24"/>
          <w:szCs w:val="24"/>
        </w:rPr>
        <w:t xml:space="preserve">. </w:t>
      </w:r>
      <w:r w:rsidR="008B3295" w:rsidRPr="001F021D">
        <w:rPr>
          <w:rFonts w:ascii="Garamond" w:hAnsi="Garamond"/>
          <w:sz w:val="24"/>
          <w:szCs w:val="24"/>
        </w:rPr>
        <w:t xml:space="preserve">In other cases, they will be Court staff, those conducting litigation or socialising with judicial officers including barristers and solicitors. </w:t>
      </w:r>
    </w:p>
    <w:p w14:paraId="40D570F5" w14:textId="77777777" w:rsidR="0039598E" w:rsidRPr="001F021D" w:rsidRDefault="0039598E" w:rsidP="0039598E">
      <w:pPr>
        <w:jc w:val="both"/>
        <w:rPr>
          <w:rFonts w:ascii="Garamond" w:hAnsi="Garamond"/>
          <w:sz w:val="24"/>
          <w:szCs w:val="24"/>
        </w:rPr>
      </w:pPr>
    </w:p>
    <w:p w14:paraId="575B4856" w14:textId="77777777" w:rsidR="0039598E" w:rsidRDefault="0039598E" w:rsidP="0039598E">
      <w:pPr>
        <w:jc w:val="both"/>
        <w:rPr>
          <w:rFonts w:ascii="Garamond" w:hAnsi="Garamond"/>
          <w:sz w:val="24"/>
          <w:szCs w:val="24"/>
        </w:rPr>
      </w:pPr>
    </w:p>
    <w:p w14:paraId="63F2E335" w14:textId="77777777" w:rsidR="00264C19" w:rsidRPr="001F021D" w:rsidRDefault="00264C19" w:rsidP="0039598E">
      <w:pPr>
        <w:jc w:val="both"/>
        <w:rPr>
          <w:rFonts w:ascii="Garamond" w:hAnsi="Garamond"/>
          <w:sz w:val="24"/>
          <w:szCs w:val="24"/>
        </w:rPr>
      </w:pPr>
    </w:p>
    <w:p w14:paraId="78034B88" w14:textId="77777777" w:rsidR="00095F27" w:rsidRPr="001F021D" w:rsidRDefault="00D533FD" w:rsidP="00095F27">
      <w:pPr>
        <w:jc w:val="both"/>
        <w:rPr>
          <w:rFonts w:ascii="Garamond" w:hAnsi="Garamond"/>
          <w:b/>
          <w:bCs/>
          <w:i/>
          <w:iCs/>
          <w:sz w:val="24"/>
          <w:szCs w:val="24"/>
        </w:rPr>
      </w:pPr>
      <w:r w:rsidRPr="001F021D">
        <w:rPr>
          <w:rFonts w:ascii="Garamond" w:hAnsi="Garamond"/>
          <w:b/>
          <w:bCs/>
          <w:i/>
          <w:iCs/>
          <w:sz w:val="24"/>
          <w:szCs w:val="24"/>
        </w:rPr>
        <w:t xml:space="preserve">A. </w:t>
      </w:r>
      <w:r w:rsidR="00B1477D" w:rsidRPr="001F021D">
        <w:rPr>
          <w:rFonts w:ascii="Garamond" w:hAnsi="Garamond"/>
          <w:b/>
          <w:bCs/>
          <w:i/>
          <w:iCs/>
          <w:sz w:val="24"/>
          <w:szCs w:val="24"/>
        </w:rPr>
        <w:t>The EO Act</w:t>
      </w:r>
    </w:p>
    <w:p w14:paraId="31759419" w14:textId="77777777" w:rsidR="007B4368" w:rsidRPr="001F021D" w:rsidRDefault="007B4368" w:rsidP="00095F27">
      <w:pPr>
        <w:jc w:val="both"/>
        <w:rPr>
          <w:rFonts w:ascii="Garamond" w:hAnsi="Garamond"/>
          <w:b/>
          <w:bCs/>
          <w:i/>
          <w:iCs/>
          <w:sz w:val="24"/>
          <w:szCs w:val="24"/>
        </w:rPr>
      </w:pPr>
    </w:p>
    <w:p w14:paraId="06BF47F2" w14:textId="77777777" w:rsidR="001D7B9C" w:rsidRPr="001F021D" w:rsidRDefault="001D7B9C" w:rsidP="005C350E">
      <w:pPr>
        <w:pStyle w:val="ListParagraph"/>
        <w:numPr>
          <w:ilvl w:val="0"/>
          <w:numId w:val="1"/>
        </w:numPr>
        <w:jc w:val="both"/>
        <w:rPr>
          <w:rFonts w:ascii="Garamond" w:hAnsi="Garamond"/>
          <w:sz w:val="24"/>
          <w:szCs w:val="24"/>
        </w:rPr>
      </w:pPr>
      <w:r w:rsidRPr="001F021D">
        <w:rPr>
          <w:rFonts w:ascii="Garamond" w:hAnsi="Garamond"/>
          <w:sz w:val="24"/>
          <w:szCs w:val="24"/>
        </w:rPr>
        <w:t>The</w:t>
      </w:r>
      <w:r w:rsidR="00095F27" w:rsidRPr="001F021D">
        <w:rPr>
          <w:rFonts w:ascii="Garamond" w:hAnsi="Garamond"/>
          <w:sz w:val="24"/>
          <w:szCs w:val="24"/>
        </w:rPr>
        <w:t xml:space="preserve"> EO </w:t>
      </w:r>
      <w:r w:rsidRPr="001F021D">
        <w:rPr>
          <w:rFonts w:ascii="Garamond" w:hAnsi="Garamond"/>
          <w:sz w:val="24"/>
          <w:szCs w:val="24"/>
        </w:rPr>
        <w:t>relevantly provides:</w:t>
      </w:r>
    </w:p>
    <w:p w14:paraId="7337BF9D" w14:textId="77777777" w:rsidR="001D7B9C" w:rsidRPr="001F021D" w:rsidRDefault="001D7B9C" w:rsidP="001D7B9C">
      <w:pPr>
        <w:jc w:val="both"/>
        <w:rPr>
          <w:rFonts w:ascii="Garamond" w:hAnsi="Garamond"/>
          <w:sz w:val="24"/>
          <w:szCs w:val="24"/>
        </w:rPr>
      </w:pPr>
    </w:p>
    <w:p w14:paraId="3CBEECC9" w14:textId="77777777" w:rsidR="001D7B9C" w:rsidRPr="0025283E" w:rsidRDefault="001D7B9C" w:rsidP="001D7B9C">
      <w:pPr>
        <w:ind w:left="360"/>
        <w:jc w:val="both"/>
        <w:rPr>
          <w:rFonts w:ascii="Garamond" w:hAnsi="Garamond"/>
          <w:b/>
          <w:lang w:val="en-US"/>
        </w:rPr>
      </w:pPr>
      <w:bookmarkStart w:id="0" w:name="_Toc426464594"/>
      <w:r w:rsidRPr="0025283E">
        <w:rPr>
          <w:rFonts w:ascii="Garamond" w:hAnsi="Garamond"/>
          <w:b/>
          <w:lang w:val="en-US"/>
        </w:rPr>
        <w:t>93</w:t>
      </w:r>
      <w:r w:rsidRPr="0025283E">
        <w:rPr>
          <w:rFonts w:ascii="Garamond" w:hAnsi="Garamond"/>
          <w:b/>
          <w:lang w:val="en-US"/>
        </w:rPr>
        <w:tab/>
        <w:t>Harassment by employers and employees</w:t>
      </w:r>
      <w:bookmarkEnd w:id="0"/>
    </w:p>
    <w:p w14:paraId="038EB384" w14:textId="77777777" w:rsidR="001D7B9C" w:rsidRPr="0025283E" w:rsidRDefault="001D7B9C" w:rsidP="001D7B9C">
      <w:pPr>
        <w:ind w:left="360"/>
        <w:jc w:val="both"/>
        <w:rPr>
          <w:rFonts w:ascii="Garamond" w:hAnsi="Garamond"/>
          <w:lang w:val="en-US"/>
        </w:rPr>
      </w:pPr>
      <w:r w:rsidRPr="0025283E">
        <w:rPr>
          <w:rFonts w:ascii="Garamond" w:hAnsi="Garamond"/>
          <w:lang w:val="en-US"/>
        </w:rPr>
        <w:tab/>
        <w:t>(1)</w:t>
      </w:r>
      <w:r w:rsidRPr="0025283E">
        <w:rPr>
          <w:rFonts w:ascii="Garamond" w:hAnsi="Garamond"/>
          <w:lang w:val="en-US"/>
        </w:rPr>
        <w:tab/>
        <w:t>An employer must not sexually harass—</w:t>
      </w:r>
    </w:p>
    <w:p w14:paraId="14896FED" w14:textId="77777777" w:rsidR="001D7B9C" w:rsidRPr="0025283E" w:rsidRDefault="001D7B9C" w:rsidP="001D7B9C">
      <w:pPr>
        <w:ind w:left="720"/>
        <w:jc w:val="both"/>
        <w:rPr>
          <w:rFonts w:ascii="Garamond" w:hAnsi="Garamond"/>
          <w:lang w:val="en-US"/>
        </w:rPr>
      </w:pPr>
      <w:r w:rsidRPr="0025283E">
        <w:rPr>
          <w:rFonts w:ascii="Garamond" w:hAnsi="Garamond"/>
          <w:lang w:val="en-US"/>
        </w:rPr>
        <w:tab/>
        <w:t>(a)</w:t>
      </w:r>
      <w:r w:rsidRPr="0025283E">
        <w:rPr>
          <w:rFonts w:ascii="Garamond" w:hAnsi="Garamond"/>
          <w:lang w:val="en-US"/>
        </w:rPr>
        <w:tab/>
        <w:t>a person seeking employment with that employer; or</w:t>
      </w:r>
    </w:p>
    <w:p w14:paraId="77978793" w14:textId="77777777" w:rsidR="001D7B9C" w:rsidRPr="0025283E" w:rsidRDefault="001D7B9C" w:rsidP="001D7B9C">
      <w:pPr>
        <w:ind w:left="720"/>
        <w:jc w:val="both"/>
        <w:rPr>
          <w:rFonts w:ascii="Garamond" w:hAnsi="Garamond"/>
          <w:lang w:val="en-US"/>
        </w:rPr>
      </w:pPr>
      <w:r w:rsidRPr="0025283E">
        <w:rPr>
          <w:rFonts w:ascii="Garamond" w:hAnsi="Garamond"/>
          <w:lang w:val="en-US"/>
        </w:rPr>
        <w:tab/>
        <w:t>(b)</w:t>
      </w:r>
      <w:r w:rsidRPr="0025283E">
        <w:rPr>
          <w:rFonts w:ascii="Garamond" w:hAnsi="Garamond"/>
          <w:lang w:val="en-US"/>
        </w:rPr>
        <w:tab/>
        <w:t>an employee of that employer.</w:t>
      </w:r>
    </w:p>
    <w:p w14:paraId="0B390040" w14:textId="77777777" w:rsidR="001D7B9C" w:rsidRPr="0025283E" w:rsidRDefault="001D7B9C" w:rsidP="001D7B9C">
      <w:pPr>
        <w:ind w:left="360"/>
        <w:jc w:val="both"/>
        <w:rPr>
          <w:rFonts w:ascii="Garamond" w:hAnsi="Garamond"/>
          <w:lang w:val="en-US"/>
        </w:rPr>
      </w:pPr>
      <w:r w:rsidRPr="0025283E">
        <w:rPr>
          <w:rFonts w:ascii="Garamond" w:hAnsi="Garamond"/>
          <w:lang w:val="en-US"/>
        </w:rPr>
        <w:tab/>
        <w:t>(2)</w:t>
      </w:r>
      <w:r w:rsidRPr="0025283E">
        <w:rPr>
          <w:rFonts w:ascii="Garamond" w:hAnsi="Garamond"/>
          <w:lang w:val="en-US"/>
        </w:rPr>
        <w:tab/>
        <w:t>An employee must not sexually harass—</w:t>
      </w:r>
    </w:p>
    <w:p w14:paraId="24CB55D1" w14:textId="77777777" w:rsidR="001D7B9C" w:rsidRPr="0025283E" w:rsidRDefault="001D7B9C" w:rsidP="001D7B9C">
      <w:pPr>
        <w:ind w:left="720"/>
        <w:jc w:val="both"/>
        <w:rPr>
          <w:rFonts w:ascii="Garamond" w:hAnsi="Garamond"/>
          <w:lang w:val="en-US"/>
        </w:rPr>
      </w:pPr>
      <w:r w:rsidRPr="0025283E">
        <w:rPr>
          <w:rFonts w:ascii="Garamond" w:hAnsi="Garamond"/>
          <w:lang w:val="en-US"/>
        </w:rPr>
        <w:tab/>
        <w:t>(a)</w:t>
      </w:r>
      <w:r w:rsidRPr="0025283E">
        <w:rPr>
          <w:rFonts w:ascii="Garamond" w:hAnsi="Garamond"/>
          <w:lang w:val="en-US"/>
        </w:rPr>
        <w:tab/>
        <w:t>another person employed by his or her employer; or</w:t>
      </w:r>
    </w:p>
    <w:p w14:paraId="27A8001B" w14:textId="77777777" w:rsidR="001D7B9C" w:rsidRPr="0025283E" w:rsidRDefault="001D7B9C" w:rsidP="001D7B9C">
      <w:pPr>
        <w:ind w:left="720"/>
        <w:jc w:val="both"/>
        <w:rPr>
          <w:rFonts w:ascii="Garamond" w:hAnsi="Garamond"/>
          <w:lang w:val="en-US"/>
        </w:rPr>
      </w:pPr>
      <w:r w:rsidRPr="0025283E">
        <w:rPr>
          <w:rFonts w:ascii="Garamond" w:hAnsi="Garamond"/>
          <w:lang w:val="en-US"/>
        </w:rPr>
        <w:tab/>
        <w:t>(b)</w:t>
      </w:r>
      <w:r w:rsidRPr="0025283E">
        <w:rPr>
          <w:rFonts w:ascii="Garamond" w:hAnsi="Garamond"/>
          <w:lang w:val="en-US"/>
        </w:rPr>
        <w:tab/>
        <w:t>his or her employer; or</w:t>
      </w:r>
    </w:p>
    <w:p w14:paraId="7318C2BA" w14:textId="77777777" w:rsidR="001D7B9C" w:rsidRPr="0025283E" w:rsidRDefault="001D7B9C" w:rsidP="001D7B9C">
      <w:pPr>
        <w:ind w:left="360"/>
        <w:jc w:val="both"/>
        <w:rPr>
          <w:rFonts w:ascii="Garamond" w:hAnsi="Garamond"/>
          <w:lang w:val="en-US"/>
        </w:rPr>
      </w:pPr>
      <w:r w:rsidRPr="0025283E">
        <w:rPr>
          <w:rFonts w:ascii="Garamond" w:hAnsi="Garamond"/>
          <w:lang w:val="en-US"/>
        </w:rPr>
        <w:tab/>
        <w:t>(c)</w:t>
      </w:r>
      <w:r w:rsidRPr="0025283E">
        <w:rPr>
          <w:rFonts w:ascii="Garamond" w:hAnsi="Garamond"/>
          <w:lang w:val="en-US"/>
        </w:rPr>
        <w:tab/>
        <w:t>a person seeking employment with his or her employer.</w:t>
      </w:r>
    </w:p>
    <w:p w14:paraId="17F35F3F" w14:textId="77777777" w:rsidR="001D7B9C" w:rsidRPr="0025283E" w:rsidRDefault="001D7B9C" w:rsidP="001D7B9C">
      <w:pPr>
        <w:ind w:left="360"/>
        <w:jc w:val="both"/>
        <w:rPr>
          <w:rFonts w:ascii="Garamond" w:hAnsi="Garamond"/>
          <w:lang w:val="en-US"/>
        </w:rPr>
      </w:pPr>
    </w:p>
    <w:p w14:paraId="6E99A929" w14:textId="77777777" w:rsidR="001D7B9C" w:rsidRPr="0025283E" w:rsidRDefault="001D7B9C" w:rsidP="001D7B9C">
      <w:pPr>
        <w:ind w:left="360"/>
        <w:jc w:val="both"/>
        <w:rPr>
          <w:rFonts w:ascii="Garamond" w:hAnsi="Garamond"/>
          <w:lang w:val="en-US"/>
        </w:rPr>
      </w:pPr>
      <w:r w:rsidRPr="0025283E">
        <w:rPr>
          <w:rFonts w:ascii="Garamond" w:hAnsi="Garamond"/>
          <w:lang w:val="en-US"/>
        </w:rPr>
        <w:t>…</w:t>
      </w:r>
    </w:p>
    <w:p w14:paraId="17FB695B" w14:textId="77777777" w:rsidR="001D7B9C" w:rsidRPr="0025283E" w:rsidRDefault="001D7B9C" w:rsidP="001D7B9C">
      <w:pPr>
        <w:ind w:left="360"/>
        <w:jc w:val="both"/>
        <w:rPr>
          <w:rFonts w:ascii="Garamond" w:hAnsi="Garamond"/>
        </w:rPr>
      </w:pPr>
    </w:p>
    <w:p w14:paraId="23058B6C" w14:textId="77777777" w:rsidR="001D7B9C" w:rsidRPr="0025283E" w:rsidRDefault="001D7B9C" w:rsidP="001D7B9C">
      <w:pPr>
        <w:pStyle w:val="ListParagraph"/>
        <w:ind w:left="360"/>
        <w:jc w:val="both"/>
        <w:rPr>
          <w:rFonts w:ascii="Garamond" w:hAnsi="Garamond"/>
        </w:rPr>
      </w:pPr>
      <w:r w:rsidRPr="0025283E">
        <w:rPr>
          <w:rFonts w:ascii="Garamond" w:hAnsi="Garamond"/>
          <w:b/>
        </w:rPr>
        <w:t xml:space="preserve">94  </w:t>
      </w:r>
      <w:r w:rsidRPr="0025283E">
        <w:rPr>
          <w:rFonts w:ascii="Garamond" w:hAnsi="Garamond"/>
        </w:rPr>
        <w:t xml:space="preserve"> </w:t>
      </w:r>
      <w:r w:rsidRPr="0025283E">
        <w:rPr>
          <w:rFonts w:ascii="Garamond" w:hAnsi="Garamond"/>
          <w:b/>
        </w:rPr>
        <w:t>Harassment in common workplaces</w:t>
      </w:r>
      <w:r w:rsidRPr="0025283E">
        <w:rPr>
          <w:rFonts w:ascii="Garamond" w:hAnsi="Garamond"/>
        </w:rPr>
        <w:t xml:space="preserve"> </w:t>
      </w:r>
    </w:p>
    <w:p w14:paraId="26C26D07" w14:textId="77777777" w:rsidR="001D7B9C" w:rsidRPr="0025283E" w:rsidRDefault="001D7B9C" w:rsidP="001D7B9C">
      <w:pPr>
        <w:pStyle w:val="ListParagraph"/>
        <w:ind w:left="1418" w:hanging="709"/>
        <w:jc w:val="both"/>
        <w:rPr>
          <w:rFonts w:ascii="Garamond" w:hAnsi="Garamond"/>
          <w:lang w:val="en-US"/>
        </w:rPr>
      </w:pPr>
      <w:r w:rsidRPr="0025283E">
        <w:rPr>
          <w:rFonts w:ascii="Garamond" w:hAnsi="Garamond"/>
        </w:rPr>
        <w:t xml:space="preserve"> </w:t>
      </w:r>
      <w:r w:rsidRPr="0025283E">
        <w:rPr>
          <w:rFonts w:ascii="Garamond" w:hAnsi="Garamond"/>
          <w:lang w:val="en-US"/>
        </w:rPr>
        <w:t>(1)</w:t>
      </w:r>
      <w:r w:rsidRPr="0025283E">
        <w:rPr>
          <w:rFonts w:ascii="Garamond" w:hAnsi="Garamond"/>
          <w:lang w:val="en-US"/>
        </w:rPr>
        <w:tab/>
        <w:t>A person must not sexually harass another person at a place that is a workplace of both of them.</w:t>
      </w:r>
    </w:p>
    <w:p w14:paraId="0BDD6144" w14:textId="77777777" w:rsidR="001D7B9C" w:rsidRPr="0025283E" w:rsidRDefault="001D7B9C" w:rsidP="001D7B9C">
      <w:pPr>
        <w:pStyle w:val="ListParagraph"/>
        <w:jc w:val="both"/>
        <w:rPr>
          <w:rFonts w:ascii="Garamond" w:hAnsi="Garamond"/>
          <w:lang w:val="en-US"/>
        </w:rPr>
      </w:pPr>
      <w:r w:rsidRPr="0025283E">
        <w:rPr>
          <w:rFonts w:ascii="Garamond" w:hAnsi="Garamond"/>
          <w:lang w:val="en-US"/>
        </w:rPr>
        <w:t xml:space="preserve"> (2)</w:t>
      </w:r>
      <w:r w:rsidRPr="0025283E">
        <w:rPr>
          <w:rFonts w:ascii="Garamond" w:hAnsi="Garamond"/>
          <w:lang w:val="en-US"/>
        </w:rPr>
        <w:tab/>
        <w:t>For the purposes of this section it is irrelevant—</w:t>
      </w:r>
    </w:p>
    <w:p w14:paraId="46E91843" w14:textId="77777777" w:rsidR="001D7B9C" w:rsidRPr="0025283E" w:rsidRDefault="001D7B9C" w:rsidP="001D7B9C">
      <w:pPr>
        <w:pStyle w:val="ListParagraph"/>
        <w:jc w:val="both"/>
        <w:rPr>
          <w:rFonts w:ascii="Garamond" w:hAnsi="Garamond"/>
          <w:lang w:val="en-US"/>
        </w:rPr>
      </w:pPr>
      <w:r w:rsidRPr="0025283E">
        <w:rPr>
          <w:rFonts w:ascii="Garamond" w:hAnsi="Garamond"/>
          <w:lang w:val="en-US"/>
        </w:rPr>
        <w:tab/>
        <w:t>(a)</w:t>
      </w:r>
      <w:r w:rsidRPr="0025283E">
        <w:rPr>
          <w:rFonts w:ascii="Garamond" w:hAnsi="Garamond"/>
          <w:lang w:val="en-US"/>
        </w:rPr>
        <w:tab/>
        <w:t>whether each person is an employer, an employee or neither; and</w:t>
      </w:r>
    </w:p>
    <w:p w14:paraId="7754A2C5" w14:textId="77777777" w:rsidR="001D7B9C" w:rsidRPr="0025283E" w:rsidRDefault="001D7B9C" w:rsidP="001D7B9C">
      <w:pPr>
        <w:pStyle w:val="ListParagraph"/>
        <w:jc w:val="both"/>
        <w:rPr>
          <w:rFonts w:ascii="Garamond" w:hAnsi="Garamond"/>
          <w:lang w:val="en-US"/>
        </w:rPr>
      </w:pPr>
      <w:r w:rsidRPr="0025283E">
        <w:rPr>
          <w:rFonts w:ascii="Garamond" w:hAnsi="Garamond"/>
          <w:lang w:val="en-US"/>
        </w:rPr>
        <w:tab/>
        <w:t>(b)</w:t>
      </w:r>
      <w:r w:rsidRPr="0025283E">
        <w:rPr>
          <w:rFonts w:ascii="Garamond" w:hAnsi="Garamond"/>
          <w:lang w:val="en-US"/>
        </w:rPr>
        <w:tab/>
        <w:t>if they are employees, whether their employers are the same or different.</w:t>
      </w:r>
    </w:p>
    <w:p w14:paraId="04F55702" w14:textId="77777777" w:rsidR="001D7B9C" w:rsidRPr="0025283E" w:rsidRDefault="001D7B9C" w:rsidP="001D7B9C">
      <w:pPr>
        <w:pStyle w:val="ListParagraph"/>
        <w:ind w:left="1418" w:hanging="709"/>
        <w:jc w:val="both"/>
        <w:rPr>
          <w:rFonts w:ascii="Garamond" w:hAnsi="Garamond"/>
          <w:lang w:val="en-US"/>
        </w:rPr>
      </w:pPr>
      <w:r w:rsidRPr="0025283E">
        <w:rPr>
          <w:rFonts w:ascii="Garamond" w:hAnsi="Garamond"/>
          <w:lang w:val="en-US"/>
        </w:rPr>
        <w:t xml:space="preserve"> (3)</w:t>
      </w:r>
      <w:r w:rsidRPr="0025283E">
        <w:rPr>
          <w:rFonts w:ascii="Garamond" w:hAnsi="Garamond"/>
          <w:lang w:val="en-US"/>
        </w:rPr>
        <w:tab/>
        <w:t xml:space="preserve">In this section </w:t>
      </w:r>
      <w:r w:rsidRPr="0025283E">
        <w:rPr>
          <w:rFonts w:ascii="Garamond" w:hAnsi="Garamond"/>
          <w:b/>
          <w:bCs/>
          <w:i/>
          <w:iCs/>
          <w:lang w:val="en-US"/>
        </w:rPr>
        <w:t xml:space="preserve">workplace </w:t>
      </w:r>
      <w:r w:rsidRPr="0025283E">
        <w:rPr>
          <w:rFonts w:ascii="Garamond" w:hAnsi="Garamond"/>
          <w:lang w:val="en-US"/>
        </w:rPr>
        <w:t>means any place where a person attends for the purpose of carrying out any functions in relation to his or her employment, occupation, business, trade or profession and need not be a person's principal place of business or employment.</w:t>
      </w:r>
    </w:p>
    <w:p w14:paraId="53178985" w14:textId="77777777" w:rsidR="001D7B9C" w:rsidRPr="0025283E" w:rsidRDefault="001D7B9C" w:rsidP="001D7B9C">
      <w:pPr>
        <w:pStyle w:val="ListParagraph"/>
        <w:ind w:left="1418" w:hanging="709"/>
        <w:jc w:val="both"/>
        <w:rPr>
          <w:rFonts w:ascii="Garamond" w:hAnsi="Garamond"/>
          <w:b/>
          <w:lang w:val="en-US"/>
        </w:rPr>
      </w:pPr>
    </w:p>
    <w:p w14:paraId="49038A15" w14:textId="77777777" w:rsidR="001D7B9C" w:rsidRPr="0025283E" w:rsidRDefault="001D7B9C" w:rsidP="001D7B9C">
      <w:pPr>
        <w:ind w:left="720" w:hanging="294"/>
        <w:jc w:val="both"/>
        <w:rPr>
          <w:rFonts w:ascii="Garamond" w:hAnsi="Garamond"/>
          <w:b/>
          <w:lang w:val="en-US"/>
        </w:rPr>
      </w:pPr>
      <w:bookmarkStart w:id="1" w:name="_Toc426464600"/>
      <w:r w:rsidRPr="0025283E">
        <w:rPr>
          <w:rFonts w:ascii="Garamond" w:hAnsi="Garamond"/>
          <w:b/>
          <w:lang w:val="en-US"/>
        </w:rPr>
        <w:t>99.  Harassment in the provision of goods and services</w:t>
      </w:r>
      <w:bookmarkEnd w:id="1"/>
    </w:p>
    <w:p w14:paraId="27D52E82" w14:textId="77777777" w:rsidR="001D7B9C" w:rsidRPr="0025283E" w:rsidRDefault="001D7B9C" w:rsidP="001D7B9C">
      <w:pPr>
        <w:ind w:left="1418" w:hanging="698"/>
        <w:jc w:val="both"/>
        <w:rPr>
          <w:rFonts w:ascii="Garamond" w:hAnsi="Garamond"/>
          <w:lang w:val="en-US"/>
        </w:rPr>
      </w:pPr>
      <w:r w:rsidRPr="0025283E">
        <w:rPr>
          <w:rFonts w:ascii="Garamond" w:hAnsi="Garamond"/>
          <w:lang w:val="en-US"/>
        </w:rPr>
        <w:t>(1)</w:t>
      </w:r>
      <w:r w:rsidRPr="0025283E">
        <w:rPr>
          <w:rFonts w:ascii="Garamond" w:hAnsi="Garamond"/>
          <w:lang w:val="en-US"/>
        </w:rPr>
        <w:tab/>
        <w:t>A person must not sexually harass another person in the course of providing, or offering to provide, goods or services to that other person.</w:t>
      </w:r>
    </w:p>
    <w:p w14:paraId="3865F3C4" w14:textId="77777777" w:rsidR="001D7B9C" w:rsidRPr="0025283E" w:rsidRDefault="001D7B9C" w:rsidP="001D7B9C">
      <w:pPr>
        <w:ind w:left="1418" w:hanging="698"/>
        <w:jc w:val="both"/>
        <w:rPr>
          <w:rFonts w:ascii="Garamond" w:hAnsi="Garamond"/>
          <w:lang w:val="en-US"/>
        </w:rPr>
      </w:pPr>
      <w:r w:rsidRPr="0025283E">
        <w:rPr>
          <w:rFonts w:ascii="Garamond" w:hAnsi="Garamond"/>
          <w:lang w:val="en-US"/>
        </w:rPr>
        <w:t>(2)</w:t>
      </w:r>
      <w:r w:rsidRPr="0025283E">
        <w:rPr>
          <w:rFonts w:ascii="Garamond" w:hAnsi="Garamond"/>
          <w:lang w:val="en-US"/>
        </w:rPr>
        <w:tab/>
        <w:t>A person must not sexually harass another person in the course of receiving or selecting goods or services provided by that other person.</w:t>
      </w:r>
    </w:p>
    <w:p w14:paraId="3A456512" w14:textId="77777777" w:rsidR="001D7B9C" w:rsidRPr="0025283E" w:rsidRDefault="001D7B9C" w:rsidP="001D7B9C">
      <w:pPr>
        <w:ind w:left="1418" w:hanging="698"/>
        <w:jc w:val="both"/>
        <w:rPr>
          <w:rFonts w:ascii="Garamond" w:hAnsi="Garamond"/>
          <w:lang w:val="en-US"/>
        </w:rPr>
      </w:pPr>
      <w:r w:rsidRPr="0025283E">
        <w:rPr>
          <w:rFonts w:ascii="Garamond" w:hAnsi="Garamond"/>
          <w:lang w:val="en-US"/>
        </w:rPr>
        <w:t>(3)</w:t>
      </w:r>
      <w:r w:rsidRPr="0025283E">
        <w:rPr>
          <w:rFonts w:ascii="Garamond" w:hAnsi="Garamond"/>
          <w:lang w:val="en-US"/>
        </w:rPr>
        <w:tab/>
        <w:t>This section applies whether or not the goods or services are provided or received for payment</w:t>
      </w:r>
    </w:p>
    <w:p w14:paraId="1343263A" w14:textId="77777777" w:rsidR="001D7B9C" w:rsidRPr="001F021D" w:rsidRDefault="001D7B9C" w:rsidP="001D7B9C">
      <w:pPr>
        <w:ind w:left="1418" w:hanging="698"/>
        <w:jc w:val="both"/>
        <w:rPr>
          <w:rFonts w:ascii="Garamond" w:hAnsi="Garamond"/>
          <w:sz w:val="24"/>
          <w:szCs w:val="24"/>
          <w:lang w:val="en-US"/>
        </w:rPr>
      </w:pPr>
    </w:p>
    <w:p w14:paraId="121E4BE0" w14:textId="77777777" w:rsidR="001E4185" w:rsidRPr="001F021D" w:rsidRDefault="004C6E49"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Section </w:t>
      </w:r>
      <w:r w:rsidR="001C6974" w:rsidRPr="001F021D">
        <w:rPr>
          <w:rFonts w:ascii="Garamond" w:hAnsi="Garamond"/>
          <w:sz w:val="24"/>
          <w:szCs w:val="24"/>
        </w:rPr>
        <w:t>93 of the</w:t>
      </w:r>
      <w:r w:rsidR="00F74B53" w:rsidRPr="001F021D">
        <w:rPr>
          <w:rFonts w:ascii="Garamond" w:hAnsi="Garamond"/>
          <w:sz w:val="24"/>
          <w:szCs w:val="24"/>
        </w:rPr>
        <w:t xml:space="preserve"> EO </w:t>
      </w:r>
      <w:r w:rsidR="001C6974" w:rsidRPr="001F021D">
        <w:rPr>
          <w:rFonts w:ascii="Garamond" w:hAnsi="Garamond"/>
          <w:sz w:val="24"/>
          <w:szCs w:val="24"/>
        </w:rPr>
        <w:t>Act prohibits</w:t>
      </w:r>
      <w:r w:rsidR="0039606A" w:rsidRPr="001F021D">
        <w:rPr>
          <w:rFonts w:ascii="Garamond" w:hAnsi="Garamond"/>
          <w:sz w:val="24"/>
          <w:szCs w:val="24"/>
        </w:rPr>
        <w:t xml:space="preserve"> harassment by</w:t>
      </w:r>
      <w:r w:rsidR="001C6974" w:rsidRPr="001F021D">
        <w:rPr>
          <w:rFonts w:ascii="Garamond" w:hAnsi="Garamond"/>
          <w:sz w:val="24"/>
          <w:szCs w:val="24"/>
        </w:rPr>
        <w:t xml:space="preserve"> “employees” </w:t>
      </w:r>
      <w:r w:rsidR="001D7B9C" w:rsidRPr="001F021D">
        <w:rPr>
          <w:rFonts w:ascii="Garamond" w:hAnsi="Garamond"/>
          <w:sz w:val="24"/>
          <w:szCs w:val="24"/>
        </w:rPr>
        <w:t>and “employers”</w:t>
      </w:r>
      <w:r w:rsidR="001C6974" w:rsidRPr="001F021D">
        <w:rPr>
          <w:rFonts w:ascii="Garamond" w:hAnsi="Garamond"/>
          <w:sz w:val="24"/>
          <w:szCs w:val="24"/>
        </w:rPr>
        <w:t xml:space="preserve">.  The definition of </w:t>
      </w:r>
      <w:r w:rsidR="00FA3808" w:rsidRPr="001F021D">
        <w:rPr>
          <w:rFonts w:ascii="Garamond" w:hAnsi="Garamond"/>
          <w:sz w:val="24"/>
          <w:szCs w:val="24"/>
        </w:rPr>
        <w:t xml:space="preserve">“employee” contained in section 4 of the EO Act might arguably capture a judicial officer </w:t>
      </w:r>
      <w:r w:rsidR="001D7B9C" w:rsidRPr="001F021D">
        <w:rPr>
          <w:rFonts w:ascii="Garamond" w:hAnsi="Garamond"/>
          <w:sz w:val="24"/>
          <w:szCs w:val="24"/>
        </w:rPr>
        <w:t xml:space="preserve">in the case </w:t>
      </w:r>
      <w:r w:rsidR="00231F4F" w:rsidRPr="001F021D">
        <w:rPr>
          <w:rFonts w:ascii="Garamond" w:hAnsi="Garamond"/>
          <w:sz w:val="24"/>
          <w:szCs w:val="24"/>
        </w:rPr>
        <w:t xml:space="preserve">of </w:t>
      </w:r>
      <w:r w:rsidR="001E4185" w:rsidRPr="001F021D">
        <w:rPr>
          <w:rFonts w:ascii="Garamond" w:hAnsi="Garamond"/>
          <w:sz w:val="24"/>
          <w:szCs w:val="24"/>
        </w:rPr>
        <w:t xml:space="preserve">an officer </w:t>
      </w:r>
      <w:r w:rsidR="00FA3808" w:rsidRPr="001F021D">
        <w:rPr>
          <w:rFonts w:ascii="Garamond" w:hAnsi="Garamond"/>
          <w:sz w:val="24"/>
          <w:szCs w:val="24"/>
        </w:rPr>
        <w:t xml:space="preserve">appointed to a </w:t>
      </w:r>
      <w:r w:rsidR="001931B7" w:rsidRPr="001F021D">
        <w:rPr>
          <w:rFonts w:ascii="Garamond" w:hAnsi="Garamond"/>
          <w:sz w:val="24"/>
          <w:szCs w:val="24"/>
        </w:rPr>
        <w:t>statutory office</w:t>
      </w:r>
      <w:r w:rsidR="001E4185" w:rsidRPr="001F021D">
        <w:rPr>
          <w:rFonts w:ascii="Garamond" w:hAnsi="Garamond"/>
          <w:sz w:val="24"/>
          <w:szCs w:val="24"/>
        </w:rPr>
        <w:t xml:space="preserve"> namely, a Magistrate or </w:t>
      </w:r>
      <w:r w:rsidR="0000188F" w:rsidRPr="001F021D">
        <w:rPr>
          <w:rFonts w:ascii="Garamond" w:hAnsi="Garamond"/>
          <w:sz w:val="24"/>
          <w:szCs w:val="24"/>
        </w:rPr>
        <w:t>non-judicial</w:t>
      </w:r>
      <w:r w:rsidR="001E4185" w:rsidRPr="001F021D">
        <w:rPr>
          <w:rFonts w:ascii="Garamond" w:hAnsi="Garamond"/>
          <w:sz w:val="24"/>
          <w:szCs w:val="24"/>
        </w:rPr>
        <w:t xml:space="preserve"> member of VCAT. Other judicial officers will not be caught by the definition. </w:t>
      </w:r>
    </w:p>
    <w:p w14:paraId="2F518AD2" w14:textId="77777777" w:rsidR="001E4185" w:rsidRPr="001F021D" w:rsidRDefault="001E4185" w:rsidP="001E4185">
      <w:pPr>
        <w:pStyle w:val="ListParagraph"/>
        <w:rPr>
          <w:rFonts w:ascii="Garamond" w:hAnsi="Garamond"/>
          <w:sz w:val="24"/>
          <w:szCs w:val="24"/>
        </w:rPr>
      </w:pPr>
    </w:p>
    <w:p w14:paraId="664767D6" w14:textId="77777777" w:rsidR="001E4185" w:rsidRPr="001F021D" w:rsidRDefault="001E4185"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Likewise, </w:t>
      </w:r>
      <w:r w:rsidR="001931B7" w:rsidRPr="001F021D">
        <w:rPr>
          <w:rFonts w:ascii="Garamond" w:hAnsi="Garamond"/>
          <w:sz w:val="24"/>
          <w:szCs w:val="24"/>
        </w:rPr>
        <w:t xml:space="preserve">the definition of “employer” contained in section </w:t>
      </w:r>
      <w:r w:rsidRPr="001F021D">
        <w:rPr>
          <w:rFonts w:ascii="Garamond" w:hAnsi="Garamond"/>
          <w:sz w:val="24"/>
          <w:szCs w:val="24"/>
        </w:rPr>
        <w:t xml:space="preserve">93 </w:t>
      </w:r>
      <w:r w:rsidR="001931B7" w:rsidRPr="001F021D">
        <w:rPr>
          <w:rFonts w:ascii="Garamond" w:hAnsi="Garamond"/>
          <w:sz w:val="24"/>
          <w:szCs w:val="24"/>
        </w:rPr>
        <w:t xml:space="preserve">is </w:t>
      </w:r>
      <w:r w:rsidR="00960E05" w:rsidRPr="001F021D">
        <w:rPr>
          <w:rFonts w:ascii="Garamond" w:hAnsi="Garamond"/>
          <w:sz w:val="24"/>
          <w:szCs w:val="24"/>
        </w:rPr>
        <w:t xml:space="preserve">unlikely to apply </w:t>
      </w:r>
      <w:r w:rsidRPr="001F021D">
        <w:rPr>
          <w:rFonts w:ascii="Garamond" w:hAnsi="Garamond"/>
          <w:sz w:val="24"/>
          <w:szCs w:val="24"/>
        </w:rPr>
        <w:t>to a judicial officer in ordinary circumstances</w:t>
      </w:r>
      <w:r w:rsidR="00960E05" w:rsidRPr="001F021D">
        <w:rPr>
          <w:rFonts w:ascii="Garamond" w:hAnsi="Garamond"/>
          <w:sz w:val="24"/>
          <w:szCs w:val="24"/>
        </w:rPr>
        <w:t>.</w:t>
      </w:r>
      <w:r w:rsidR="0039606A" w:rsidRPr="001F021D">
        <w:rPr>
          <w:rFonts w:ascii="Garamond" w:hAnsi="Garamond"/>
          <w:sz w:val="24"/>
          <w:szCs w:val="24"/>
        </w:rPr>
        <w:t xml:space="preserve"> Personal staff of judicial officers are not employed by them</w:t>
      </w:r>
      <w:r w:rsidR="0025514F" w:rsidRPr="001F021D">
        <w:rPr>
          <w:rFonts w:ascii="Garamond" w:hAnsi="Garamond"/>
          <w:sz w:val="24"/>
          <w:szCs w:val="24"/>
        </w:rPr>
        <w:t>,</w:t>
      </w:r>
      <w:r w:rsidR="0039606A" w:rsidRPr="001F021D">
        <w:rPr>
          <w:rFonts w:ascii="Garamond" w:hAnsi="Garamond"/>
          <w:sz w:val="24"/>
          <w:szCs w:val="24"/>
        </w:rPr>
        <w:t xml:space="preserve"> although they are </w:t>
      </w:r>
      <w:r w:rsidR="00672842" w:rsidRPr="001F021D">
        <w:rPr>
          <w:rFonts w:ascii="Garamond" w:hAnsi="Garamond"/>
          <w:sz w:val="24"/>
          <w:szCs w:val="24"/>
        </w:rPr>
        <w:t xml:space="preserve">typically </w:t>
      </w:r>
      <w:r w:rsidR="0039606A" w:rsidRPr="001F021D">
        <w:rPr>
          <w:rFonts w:ascii="Garamond" w:hAnsi="Garamond"/>
          <w:sz w:val="24"/>
          <w:szCs w:val="24"/>
        </w:rPr>
        <w:t>subject to their direction and control.</w:t>
      </w:r>
      <w:r w:rsidR="00960E05" w:rsidRPr="001F021D">
        <w:rPr>
          <w:rFonts w:ascii="Garamond" w:hAnsi="Garamond"/>
          <w:sz w:val="24"/>
          <w:szCs w:val="24"/>
        </w:rPr>
        <w:t xml:space="preserve">  </w:t>
      </w:r>
      <w:r w:rsidRPr="001F021D">
        <w:rPr>
          <w:rFonts w:ascii="Garamond" w:hAnsi="Garamond"/>
          <w:sz w:val="24"/>
          <w:szCs w:val="24"/>
        </w:rPr>
        <w:t xml:space="preserve">An exception may arise for a retired judicial officer appointed to office, for example, as a member of a Board of Inquiry or Royal Commissioner. </w:t>
      </w:r>
    </w:p>
    <w:p w14:paraId="5C677CDE" w14:textId="77777777" w:rsidR="001E4185" w:rsidRPr="001F021D" w:rsidRDefault="001E4185" w:rsidP="001E4185">
      <w:pPr>
        <w:pStyle w:val="ListParagraph"/>
        <w:rPr>
          <w:rFonts w:ascii="Garamond" w:hAnsi="Garamond"/>
          <w:sz w:val="24"/>
          <w:szCs w:val="24"/>
        </w:rPr>
      </w:pPr>
    </w:p>
    <w:p w14:paraId="092E41B8" w14:textId="77777777" w:rsidR="007E084C" w:rsidRPr="001F021D" w:rsidRDefault="00960E05"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As a consequence, </w:t>
      </w:r>
      <w:r w:rsidR="00F74B53" w:rsidRPr="001F021D">
        <w:rPr>
          <w:rFonts w:ascii="Garamond" w:hAnsi="Garamond"/>
          <w:sz w:val="24"/>
          <w:szCs w:val="24"/>
        </w:rPr>
        <w:t>section 93 of the EO Act is unlikely to a</w:t>
      </w:r>
      <w:r w:rsidR="00FE5C0C" w:rsidRPr="001F021D">
        <w:rPr>
          <w:rFonts w:ascii="Garamond" w:hAnsi="Garamond"/>
          <w:sz w:val="24"/>
          <w:szCs w:val="24"/>
        </w:rPr>
        <w:t xml:space="preserve">pply to </w:t>
      </w:r>
      <w:r w:rsidR="00F02F31" w:rsidRPr="001F021D">
        <w:rPr>
          <w:rFonts w:ascii="Garamond" w:hAnsi="Garamond"/>
          <w:sz w:val="24"/>
          <w:szCs w:val="24"/>
        </w:rPr>
        <w:t xml:space="preserve">many </w:t>
      </w:r>
      <w:r w:rsidR="00FE5C0C" w:rsidRPr="001F021D">
        <w:rPr>
          <w:rFonts w:ascii="Garamond" w:hAnsi="Garamond"/>
          <w:sz w:val="24"/>
          <w:szCs w:val="24"/>
        </w:rPr>
        <w:t>judicial officers</w:t>
      </w:r>
      <w:r w:rsidR="001E4185" w:rsidRPr="001F021D">
        <w:rPr>
          <w:rFonts w:ascii="Garamond" w:hAnsi="Garamond"/>
          <w:sz w:val="24"/>
          <w:szCs w:val="24"/>
        </w:rPr>
        <w:t>.</w:t>
      </w:r>
    </w:p>
    <w:p w14:paraId="4E9BE6FE" w14:textId="77777777" w:rsidR="001E4185" w:rsidRPr="001F021D" w:rsidRDefault="001E4185" w:rsidP="001E4185">
      <w:pPr>
        <w:pStyle w:val="ListParagraph"/>
        <w:rPr>
          <w:rFonts w:ascii="Garamond" w:hAnsi="Garamond"/>
          <w:sz w:val="24"/>
          <w:szCs w:val="24"/>
        </w:rPr>
      </w:pPr>
    </w:p>
    <w:p w14:paraId="4DF96C20" w14:textId="77777777" w:rsidR="001E4185" w:rsidRPr="001F021D" w:rsidRDefault="00FE5C0C" w:rsidP="005C350E">
      <w:pPr>
        <w:pStyle w:val="ListParagraph"/>
        <w:numPr>
          <w:ilvl w:val="0"/>
          <w:numId w:val="1"/>
        </w:numPr>
        <w:jc w:val="both"/>
        <w:rPr>
          <w:rFonts w:ascii="Garamond" w:hAnsi="Garamond"/>
          <w:sz w:val="24"/>
          <w:szCs w:val="24"/>
        </w:rPr>
      </w:pPr>
      <w:r w:rsidRPr="001F021D">
        <w:rPr>
          <w:rFonts w:ascii="Garamond" w:hAnsi="Garamond"/>
          <w:sz w:val="24"/>
          <w:szCs w:val="24"/>
        </w:rPr>
        <w:t>Section 94 of the EO Act</w:t>
      </w:r>
      <w:r w:rsidR="00681C69" w:rsidRPr="001F021D">
        <w:rPr>
          <w:rFonts w:ascii="Garamond" w:hAnsi="Garamond"/>
          <w:sz w:val="24"/>
          <w:szCs w:val="24"/>
        </w:rPr>
        <w:t xml:space="preserve"> </w:t>
      </w:r>
      <w:r w:rsidRPr="001F021D">
        <w:rPr>
          <w:rFonts w:ascii="Garamond" w:hAnsi="Garamond"/>
          <w:sz w:val="24"/>
          <w:szCs w:val="24"/>
        </w:rPr>
        <w:t>op</w:t>
      </w:r>
      <w:r w:rsidR="00681C69" w:rsidRPr="001F021D">
        <w:rPr>
          <w:rFonts w:ascii="Garamond" w:hAnsi="Garamond"/>
          <w:sz w:val="24"/>
          <w:szCs w:val="24"/>
        </w:rPr>
        <w:t>e</w:t>
      </w:r>
      <w:r w:rsidRPr="001F021D">
        <w:rPr>
          <w:rFonts w:ascii="Garamond" w:hAnsi="Garamond"/>
          <w:sz w:val="24"/>
          <w:szCs w:val="24"/>
        </w:rPr>
        <w:t>rates irrespec</w:t>
      </w:r>
      <w:r w:rsidR="00681C69" w:rsidRPr="001F021D">
        <w:rPr>
          <w:rFonts w:ascii="Garamond" w:hAnsi="Garamond"/>
          <w:sz w:val="24"/>
          <w:szCs w:val="24"/>
        </w:rPr>
        <w:t xml:space="preserve">tive of </w:t>
      </w:r>
      <w:r w:rsidR="008548E5" w:rsidRPr="001F021D">
        <w:rPr>
          <w:rFonts w:ascii="Garamond" w:hAnsi="Garamond"/>
          <w:sz w:val="24"/>
          <w:szCs w:val="24"/>
        </w:rPr>
        <w:t>the employment status of</w:t>
      </w:r>
      <w:r w:rsidR="00681C69" w:rsidRPr="001F021D">
        <w:rPr>
          <w:rFonts w:ascii="Garamond" w:hAnsi="Garamond"/>
          <w:sz w:val="24"/>
          <w:szCs w:val="24"/>
        </w:rPr>
        <w:t xml:space="preserve"> the </w:t>
      </w:r>
      <w:r w:rsidR="008548E5" w:rsidRPr="001F021D">
        <w:rPr>
          <w:rFonts w:ascii="Garamond" w:hAnsi="Garamond"/>
          <w:sz w:val="24"/>
          <w:szCs w:val="24"/>
        </w:rPr>
        <w:t xml:space="preserve">relevant </w:t>
      </w:r>
      <w:r w:rsidR="00681C69" w:rsidRPr="001F021D">
        <w:rPr>
          <w:rFonts w:ascii="Garamond" w:hAnsi="Garamond"/>
          <w:sz w:val="24"/>
          <w:szCs w:val="24"/>
        </w:rPr>
        <w:t>individual</w:t>
      </w:r>
      <w:r w:rsidR="00D67366" w:rsidRPr="001F021D">
        <w:rPr>
          <w:rFonts w:ascii="Garamond" w:hAnsi="Garamond"/>
          <w:sz w:val="24"/>
          <w:szCs w:val="24"/>
        </w:rPr>
        <w:t xml:space="preserve">s </w:t>
      </w:r>
      <w:r w:rsidR="008548E5" w:rsidRPr="001F021D">
        <w:rPr>
          <w:rFonts w:ascii="Garamond" w:hAnsi="Garamond"/>
          <w:sz w:val="24"/>
          <w:szCs w:val="24"/>
        </w:rPr>
        <w:t xml:space="preserve">providing the harassment occurs in a workplace of both parties. </w:t>
      </w:r>
    </w:p>
    <w:p w14:paraId="74B5D6E5" w14:textId="77777777" w:rsidR="001E4185" w:rsidRPr="001F021D" w:rsidRDefault="001E4185" w:rsidP="001E4185">
      <w:pPr>
        <w:pStyle w:val="ListParagraph"/>
        <w:rPr>
          <w:rFonts w:ascii="Garamond" w:hAnsi="Garamond"/>
          <w:sz w:val="24"/>
          <w:szCs w:val="24"/>
        </w:rPr>
      </w:pPr>
    </w:p>
    <w:p w14:paraId="7F021622" w14:textId="77777777" w:rsidR="006877B3" w:rsidRPr="001F021D" w:rsidRDefault="00672842" w:rsidP="005C350E">
      <w:pPr>
        <w:pStyle w:val="ListParagraph"/>
        <w:numPr>
          <w:ilvl w:val="0"/>
          <w:numId w:val="1"/>
        </w:numPr>
        <w:jc w:val="both"/>
        <w:rPr>
          <w:rFonts w:ascii="Garamond" w:hAnsi="Garamond"/>
          <w:sz w:val="24"/>
          <w:szCs w:val="24"/>
        </w:rPr>
      </w:pPr>
      <w:r w:rsidRPr="001F021D">
        <w:rPr>
          <w:rFonts w:ascii="Garamond" w:hAnsi="Garamond"/>
          <w:sz w:val="24"/>
          <w:szCs w:val="24"/>
        </w:rPr>
        <w:t>T</w:t>
      </w:r>
      <w:r w:rsidR="001D485B" w:rsidRPr="001F021D">
        <w:rPr>
          <w:rFonts w:ascii="Garamond" w:hAnsi="Garamond"/>
          <w:sz w:val="24"/>
          <w:szCs w:val="24"/>
        </w:rPr>
        <w:t xml:space="preserve">his section may </w:t>
      </w:r>
      <w:r w:rsidRPr="001F021D">
        <w:rPr>
          <w:rFonts w:ascii="Garamond" w:hAnsi="Garamond"/>
          <w:sz w:val="24"/>
          <w:szCs w:val="24"/>
        </w:rPr>
        <w:t xml:space="preserve">therefore </w:t>
      </w:r>
      <w:r w:rsidR="001D485B" w:rsidRPr="001F021D">
        <w:rPr>
          <w:rFonts w:ascii="Garamond" w:hAnsi="Garamond"/>
          <w:sz w:val="24"/>
          <w:szCs w:val="24"/>
        </w:rPr>
        <w:t xml:space="preserve">not </w:t>
      </w:r>
      <w:r w:rsidR="00386FD9" w:rsidRPr="001F021D">
        <w:rPr>
          <w:rFonts w:ascii="Garamond" w:hAnsi="Garamond"/>
          <w:sz w:val="24"/>
          <w:szCs w:val="24"/>
        </w:rPr>
        <w:t xml:space="preserve">extend to all </w:t>
      </w:r>
      <w:r w:rsidR="0039606A" w:rsidRPr="001F021D">
        <w:rPr>
          <w:rFonts w:ascii="Garamond" w:hAnsi="Garamond"/>
          <w:sz w:val="24"/>
          <w:szCs w:val="24"/>
        </w:rPr>
        <w:t xml:space="preserve">places where harassment may occur. This </w:t>
      </w:r>
      <w:r w:rsidR="008548E5" w:rsidRPr="001F021D">
        <w:rPr>
          <w:rFonts w:ascii="Garamond" w:hAnsi="Garamond"/>
          <w:sz w:val="24"/>
          <w:szCs w:val="24"/>
        </w:rPr>
        <w:t xml:space="preserve">will depend on the meaning </w:t>
      </w:r>
      <w:r w:rsidR="0039606A" w:rsidRPr="001F021D">
        <w:rPr>
          <w:rFonts w:ascii="Garamond" w:hAnsi="Garamond"/>
          <w:sz w:val="24"/>
          <w:szCs w:val="24"/>
        </w:rPr>
        <w:t>breadth of the term ‘</w:t>
      </w:r>
      <w:r w:rsidR="008548E5" w:rsidRPr="001F021D">
        <w:rPr>
          <w:rFonts w:ascii="Garamond" w:hAnsi="Garamond"/>
          <w:sz w:val="24"/>
          <w:szCs w:val="24"/>
        </w:rPr>
        <w:t>workplace’, and establish</w:t>
      </w:r>
      <w:r w:rsidR="0039606A" w:rsidRPr="001F021D">
        <w:rPr>
          <w:rFonts w:ascii="Garamond" w:hAnsi="Garamond"/>
          <w:sz w:val="24"/>
          <w:szCs w:val="24"/>
        </w:rPr>
        <w:t>ing</w:t>
      </w:r>
      <w:r w:rsidR="008548E5" w:rsidRPr="001F021D">
        <w:rPr>
          <w:rFonts w:ascii="Garamond" w:hAnsi="Garamond"/>
          <w:sz w:val="24"/>
          <w:szCs w:val="24"/>
        </w:rPr>
        <w:t xml:space="preserve"> that </w:t>
      </w:r>
      <w:r w:rsidR="0039606A" w:rsidRPr="001F021D">
        <w:rPr>
          <w:rFonts w:ascii="Garamond" w:hAnsi="Garamond"/>
          <w:sz w:val="24"/>
          <w:szCs w:val="24"/>
        </w:rPr>
        <w:t>both</w:t>
      </w:r>
      <w:r w:rsidR="008548E5" w:rsidRPr="001F021D">
        <w:rPr>
          <w:rFonts w:ascii="Garamond" w:hAnsi="Garamond"/>
          <w:sz w:val="24"/>
          <w:szCs w:val="24"/>
        </w:rPr>
        <w:t xml:space="preserve"> person</w:t>
      </w:r>
      <w:r w:rsidR="0039606A" w:rsidRPr="001F021D">
        <w:rPr>
          <w:rFonts w:ascii="Garamond" w:hAnsi="Garamond"/>
          <w:sz w:val="24"/>
          <w:szCs w:val="24"/>
        </w:rPr>
        <w:t>s</w:t>
      </w:r>
      <w:r w:rsidR="008548E5" w:rsidRPr="001F021D">
        <w:rPr>
          <w:rFonts w:ascii="Garamond" w:hAnsi="Garamond"/>
          <w:sz w:val="24"/>
          <w:szCs w:val="24"/>
        </w:rPr>
        <w:t xml:space="preserve"> </w:t>
      </w:r>
      <w:r w:rsidR="0039606A" w:rsidRPr="001F021D">
        <w:rPr>
          <w:rFonts w:ascii="Garamond" w:hAnsi="Garamond"/>
          <w:sz w:val="24"/>
          <w:szCs w:val="24"/>
        </w:rPr>
        <w:t>are</w:t>
      </w:r>
      <w:r w:rsidR="008548E5" w:rsidRPr="001F021D">
        <w:rPr>
          <w:rFonts w:ascii="Garamond" w:hAnsi="Garamond"/>
          <w:sz w:val="24"/>
          <w:szCs w:val="24"/>
        </w:rPr>
        <w:t xml:space="preserve"> attending </w:t>
      </w:r>
      <w:r w:rsidR="0039606A" w:rsidRPr="001F021D">
        <w:rPr>
          <w:rFonts w:ascii="Garamond" w:hAnsi="Garamond"/>
          <w:sz w:val="24"/>
          <w:szCs w:val="24"/>
        </w:rPr>
        <w:t xml:space="preserve">a place </w:t>
      </w:r>
      <w:r w:rsidR="008548E5" w:rsidRPr="001F021D">
        <w:rPr>
          <w:rFonts w:ascii="Garamond" w:hAnsi="Garamond"/>
          <w:sz w:val="24"/>
          <w:szCs w:val="24"/>
        </w:rPr>
        <w:t xml:space="preserve">to carry out functions in relation to work. </w:t>
      </w:r>
    </w:p>
    <w:p w14:paraId="0E181BCD" w14:textId="77777777" w:rsidR="006877B3" w:rsidRPr="001F021D" w:rsidRDefault="006877B3" w:rsidP="006877B3">
      <w:pPr>
        <w:pStyle w:val="ListParagraph"/>
        <w:rPr>
          <w:rFonts w:ascii="Garamond" w:hAnsi="Garamond"/>
          <w:sz w:val="24"/>
          <w:szCs w:val="24"/>
        </w:rPr>
      </w:pPr>
    </w:p>
    <w:p w14:paraId="4DEF4E48" w14:textId="77777777" w:rsidR="006877B3" w:rsidRPr="001F021D" w:rsidRDefault="00E60D03" w:rsidP="005C350E">
      <w:pPr>
        <w:pStyle w:val="ListParagraph"/>
        <w:numPr>
          <w:ilvl w:val="0"/>
          <w:numId w:val="1"/>
        </w:numPr>
        <w:jc w:val="both"/>
        <w:rPr>
          <w:rFonts w:ascii="Garamond" w:hAnsi="Garamond"/>
          <w:sz w:val="24"/>
          <w:szCs w:val="24"/>
        </w:rPr>
      </w:pPr>
      <w:r w:rsidRPr="001F021D">
        <w:rPr>
          <w:rFonts w:ascii="Garamond" w:hAnsi="Garamond"/>
          <w:sz w:val="24"/>
          <w:szCs w:val="24"/>
        </w:rPr>
        <w:t>A workplace, as defined by the equivalent Commonwealth legislation</w:t>
      </w:r>
      <w:r w:rsidR="006877B3" w:rsidRPr="001F021D">
        <w:rPr>
          <w:rFonts w:ascii="Garamond" w:hAnsi="Garamond"/>
          <w:sz w:val="24"/>
          <w:szCs w:val="24"/>
        </w:rPr>
        <w:t xml:space="preserve"> is </w:t>
      </w:r>
      <w:r w:rsidR="0025514F" w:rsidRPr="001F021D">
        <w:rPr>
          <w:rFonts w:ascii="Garamond" w:hAnsi="Garamond"/>
          <w:sz w:val="24"/>
          <w:szCs w:val="24"/>
        </w:rPr>
        <w:t>‘</w:t>
      </w:r>
      <w:r w:rsidR="006877B3" w:rsidRPr="001F021D">
        <w:rPr>
          <w:rFonts w:ascii="Garamond" w:hAnsi="Garamond"/>
          <w:sz w:val="24"/>
          <w:szCs w:val="24"/>
        </w:rPr>
        <w:t>a place at which a workplace participant works or otherwise carries out the functions in connection with being a workplace participant.’</w:t>
      </w:r>
      <w:r w:rsidR="006877B3" w:rsidRPr="001F021D">
        <w:rPr>
          <w:rStyle w:val="FootnoteReference"/>
          <w:rFonts w:ascii="Garamond" w:hAnsi="Garamond"/>
          <w:sz w:val="24"/>
          <w:szCs w:val="24"/>
        </w:rPr>
        <w:t xml:space="preserve"> </w:t>
      </w:r>
      <w:r w:rsidR="006877B3" w:rsidRPr="001F021D">
        <w:rPr>
          <w:rStyle w:val="FootnoteReference"/>
          <w:rFonts w:ascii="Garamond" w:hAnsi="Garamond"/>
          <w:sz w:val="24"/>
          <w:szCs w:val="24"/>
        </w:rPr>
        <w:footnoteReference w:id="11"/>
      </w:r>
      <w:r w:rsidR="006877B3" w:rsidRPr="001F021D">
        <w:rPr>
          <w:rFonts w:ascii="Garamond" w:hAnsi="Garamond"/>
          <w:sz w:val="24"/>
          <w:szCs w:val="24"/>
        </w:rPr>
        <w:t xml:space="preserve">  In </w:t>
      </w:r>
      <w:r w:rsidR="006877B3" w:rsidRPr="001F021D">
        <w:rPr>
          <w:rFonts w:ascii="Garamond" w:hAnsi="Garamond"/>
          <w:i/>
          <w:sz w:val="24"/>
          <w:szCs w:val="24"/>
        </w:rPr>
        <w:t>Ewin v Vergara (No 3),</w:t>
      </w:r>
      <w:r w:rsidR="006877B3" w:rsidRPr="001F021D">
        <w:rPr>
          <w:rFonts w:ascii="Garamond" w:hAnsi="Garamond"/>
          <w:sz w:val="24"/>
          <w:szCs w:val="24"/>
        </w:rPr>
        <w:t xml:space="preserve"> Bromberg J emphasised that </w:t>
      </w:r>
      <w:r w:rsidR="0025514F" w:rsidRPr="001F021D">
        <w:rPr>
          <w:rFonts w:ascii="Garamond" w:hAnsi="Garamond"/>
          <w:sz w:val="24"/>
          <w:szCs w:val="24"/>
        </w:rPr>
        <w:t>the sections</w:t>
      </w:r>
      <w:r w:rsidR="006877B3" w:rsidRPr="001F021D">
        <w:rPr>
          <w:rFonts w:ascii="Garamond" w:hAnsi="Garamond"/>
          <w:sz w:val="24"/>
          <w:szCs w:val="24"/>
        </w:rPr>
        <w:t xml:space="preserve"> are ‘cast in wide terms’: </w:t>
      </w:r>
      <w:r w:rsidR="006877B3" w:rsidRPr="001F021D">
        <w:rPr>
          <w:rStyle w:val="FootnoteReference"/>
          <w:rFonts w:ascii="Garamond" w:hAnsi="Garamond"/>
          <w:sz w:val="24"/>
          <w:szCs w:val="24"/>
        </w:rPr>
        <w:footnoteReference w:id="12"/>
      </w:r>
    </w:p>
    <w:p w14:paraId="709AEC95" w14:textId="77777777" w:rsidR="006877B3" w:rsidRPr="001F021D" w:rsidRDefault="006877B3" w:rsidP="006877B3">
      <w:pPr>
        <w:pStyle w:val="ListParagraph"/>
        <w:rPr>
          <w:rFonts w:ascii="Garamond" w:hAnsi="Garamond"/>
          <w:sz w:val="24"/>
          <w:szCs w:val="24"/>
        </w:rPr>
      </w:pPr>
    </w:p>
    <w:p w14:paraId="0272F476" w14:textId="77777777" w:rsidR="006877B3" w:rsidRPr="0025283E" w:rsidRDefault="006877B3" w:rsidP="006877B3">
      <w:pPr>
        <w:pStyle w:val="ListParagraph"/>
        <w:jc w:val="both"/>
        <w:rPr>
          <w:rFonts w:ascii="Garamond" w:hAnsi="Garamond"/>
        </w:rPr>
      </w:pPr>
      <w:r w:rsidRPr="0025283E">
        <w:rPr>
          <w:rFonts w:ascii="Garamond" w:hAnsi="Garamond"/>
          <w:iCs/>
        </w:rPr>
        <w:t xml:space="preserve">A ‘workplace’ is not confined to </w:t>
      </w:r>
      <w:r w:rsidRPr="0025283E">
        <w:rPr>
          <w:rFonts w:ascii="Garamond" w:hAnsi="Garamond"/>
        </w:rPr>
        <w:t xml:space="preserve">the </w:t>
      </w:r>
      <w:r w:rsidRPr="0025283E">
        <w:rPr>
          <w:rFonts w:ascii="Garamond" w:hAnsi="Garamond"/>
          <w:iCs/>
        </w:rPr>
        <w:t xml:space="preserve">place of work of the participants but extends to </w:t>
      </w:r>
      <w:r w:rsidRPr="0025283E">
        <w:rPr>
          <w:rFonts w:ascii="Garamond" w:hAnsi="Garamond"/>
        </w:rPr>
        <w:t xml:space="preserve">a </w:t>
      </w:r>
      <w:r w:rsidRPr="0025283E">
        <w:rPr>
          <w:rFonts w:ascii="Garamond" w:hAnsi="Garamond"/>
          <w:iCs/>
        </w:rPr>
        <w:t xml:space="preserve">place at which the participants work or otherwise carry out functions in connection with being a workplace participant. … That wide approach recognises that work or work based functions are commonly undertaken in a wide range of places </w:t>
      </w:r>
      <w:r w:rsidRPr="0025283E">
        <w:rPr>
          <w:rFonts w:ascii="Garamond" w:hAnsi="Garamond"/>
          <w:iCs/>
          <w:lang w:val="en-US"/>
        </w:rPr>
        <w:t>(including on various means of transport) beyond the principal or ordinary place or places of work … Such places would commonly include the premises of clients, suppliers, associated businesses, conference halls and other venues where work functions are held and in transportation vehicles during work related travel. The underlying policy objective is accommodated by such a construction and such a construction is also consistent with the scope of the other subsections of s 28B. … The objective of eliminating sexual harassment in the workplace would be significantly undermined if associated common areas such as entrances, lifts, corridors, kitchens and toilets were construed as falling beyond the geographical scope intended by s 28</w:t>
      </w:r>
      <w:proofErr w:type="gramStart"/>
      <w:r w:rsidRPr="0025283E">
        <w:rPr>
          <w:rFonts w:ascii="Garamond" w:hAnsi="Garamond"/>
          <w:iCs/>
          <w:lang w:val="en-US"/>
        </w:rPr>
        <w:t>B(</w:t>
      </w:r>
      <w:proofErr w:type="gramEnd"/>
      <w:r w:rsidRPr="0025283E">
        <w:rPr>
          <w:rFonts w:ascii="Garamond" w:hAnsi="Garamond"/>
          <w:iCs/>
          <w:lang w:val="en-US"/>
        </w:rPr>
        <w:t>6).</w:t>
      </w:r>
      <w:r w:rsidRPr="0025283E">
        <w:rPr>
          <w:rStyle w:val="FootnoteReference"/>
          <w:rFonts w:ascii="Garamond" w:hAnsi="Garamond"/>
          <w:iCs/>
          <w:lang w:val="en-US"/>
        </w:rPr>
        <w:footnoteReference w:id="13"/>
      </w:r>
    </w:p>
    <w:p w14:paraId="0F190EBD" w14:textId="77777777" w:rsidR="006877B3" w:rsidRPr="001F021D" w:rsidRDefault="006877B3" w:rsidP="006877B3">
      <w:pPr>
        <w:jc w:val="both"/>
        <w:rPr>
          <w:rFonts w:ascii="Garamond" w:hAnsi="Garamond"/>
          <w:sz w:val="24"/>
          <w:szCs w:val="24"/>
          <w:lang w:val="en-US"/>
        </w:rPr>
      </w:pPr>
    </w:p>
    <w:p w14:paraId="4F572128" w14:textId="77777777" w:rsidR="006877B3" w:rsidRDefault="006877B3" w:rsidP="005C350E">
      <w:pPr>
        <w:pStyle w:val="ListParagraph"/>
        <w:numPr>
          <w:ilvl w:val="0"/>
          <w:numId w:val="1"/>
        </w:numPr>
        <w:jc w:val="both"/>
        <w:rPr>
          <w:rFonts w:ascii="Garamond" w:hAnsi="Garamond"/>
          <w:sz w:val="24"/>
          <w:szCs w:val="24"/>
          <w:lang w:val="en-US"/>
        </w:rPr>
      </w:pPr>
      <w:r w:rsidRPr="001F021D">
        <w:rPr>
          <w:rFonts w:ascii="Garamond" w:hAnsi="Garamond"/>
          <w:sz w:val="24"/>
          <w:szCs w:val="24"/>
          <w:lang w:val="en-US"/>
        </w:rPr>
        <w:t xml:space="preserve">Places that have fallen within this broad definition of workplace include: </w:t>
      </w:r>
      <w:r w:rsidR="0025514F" w:rsidRPr="001F021D">
        <w:rPr>
          <w:rStyle w:val="FootnoteReference"/>
          <w:rFonts w:ascii="Garamond" w:hAnsi="Garamond"/>
          <w:sz w:val="24"/>
          <w:szCs w:val="24"/>
          <w:lang w:val="en-US"/>
        </w:rPr>
        <w:footnoteReference w:id="14"/>
      </w:r>
    </w:p>
    <w:p w14:paraId="5C9FEAB9" w14:textId="77777777" w:rsidR="0025283E" w:rsidRPr="001F021D" w:rsidRDefault="0025283E" w:rsidP="0025283E">
      <w:pPr>
        <w:pStyle w:val="ListParagraph"/>
        <w:ind w:left="360"/>
        <w:jc w:val="both"/>
        <w:rPr>
          <w:rFonts w:ascii="Garamond" w:hAnsi="Garamond"/>
          <w:sz w:val="24"/>
          <w:szCs w:val="24"/>
          <w:lang w:val="en-US"/>
        </w:rPr>
      </w:pPr>
    </w:p>
    <w:p w14:paraId="7DFCAA52" w14:textId="77777777" w:rsidR="006877B3" w:rsidRPr="001F021D" w:rsidRDefault="006877B3" w:rsidP="006877B3">
      <w:pPr>
        <w:ind w:left="720"/>
        <w:jc w:val="both"/>
        <w:rPr>
          <w:rFonts w:ascii="Garamond" w:hAnsi="Garamond"/>
          <w:sz w:val="24"/>
          <w:szCs w:val="24"/>
          <w:lang w:val="en-US"/>
        </w:rPr>
      </w:pPr>
      <w:r w:rsidRPr="001F021D">
        <w:rPr>
          <w:rFonts w:ascii="Garamond" w:hAnsi="Garamond"/>
          <w:sz w:val="24"/>
          <w:szCs w:val="24"/>
          <w:lang w:val="en-US"/>
        </w:rPr>
        <w:t xml:space="preserve">• a </w:t>
      </w:r>
      <w:r w:rsidR="0025514F" w:rsidRPr="001F021D">
        <w:rPr>
          <w:rFonts w:ascii="Garamond" w:hAnsi="Garamond"/>
          <w:sz w:val="24"/>
          <w:szCs w:val="24"/>
          <w:lang w:val="en-US"/>
        </w:rPr>
        <w:t>hotel</w:t>
      </w:r>
      <w:r w:rsidRPr="001F021D">
        <w:rPr>
          <w:rFonts w:ascii="Garamond" w:hAnsi="Garamond"/>
          <w:sz w:val="24"/>
          <w:szCs w:val="24"/>
          <w:lang w:val="en-US"/>
        </w:rPr>
        <w:t xml:space="preserve"> attended to continue a discussion begun at the principal workplace; </w:t>
      </w:r>
    </w:p>
    <w:p w14:paraId="611F1A4D" w14:textId="77777777" w:rsidR="006877B3" w:rsidRPr="001F021D" w:rsidRDefault="006877B3" w:rsidP="006877B3">
      <w:pPr>
        <w:ind w:left="720"/>
        <w:jc w:val="both"/>
        <w:rPr>
          <w:rFonts w:ascii="Garamond" w:hAnsi="Garamond"/>
          <w:sz w:val="24"/>
          <w:szCs w:val="24"/>
          <w:lang w:val="en-US"/>
        </w:rPr>
      </w:pPr>
      <w:r w:rsidRPr="001F021D">
        <w:rPr>
          <w:rFonts w:ascii="Garamond" w:hAnsi="Garamond"/>
          <w:sz w:val="24"/>
          <w:szCs w:val="24"/>
          <w:lang w:val="en-US"/>
        </w:rPr>
        <w:t>• a motel bedroom where the employer provided the accommodation;</w:t>
      </w:r>
    </w:p>
    <w:p w14:paraId="0140E866" w14:textId="77777777" w:rsidR="006877B3" w:rsidRPr="001F021D" w:rsidRDefault="006877B3" w:rsidP="006877B3">
      <w:pPr>
        <w:ind w:left="720"/>
        <w:jc w:val="both"/>
        <w:rPr>
          <w:rFonts w:ascii="Garamond" w:hAnsi="Garamond"/>
          <w:sz w:val="24"/>
          <w:szCs w:val="24"/>
          <w:lang w:val="en-US"/>
        </w:rPr>
      </w:pPr>
      <w:r w:rsidRPr="001F021D">
        <w:rPr>
          <w:rFonts w:ascii="Garamond" w:hAnsi="Garamond"/>
          <w:sz w:val="24"/>
          <w:szCs w:val="24"/>
          <w:lang w:val="en-US"/>
        </w:rPr>
        <w:t xml:space="preserve">• a motel suite where the employee was convinced the trip was a work trip; and </w:t>
      </w:r>
    </w:p>
    <w:p w14:paraId="32203E2A" w14:textId="77777777" w:rsidR="006877B3" w:rsidRPr="001F021D" w:rsidRDefault="006877B3" w:rsidP="006877B3">
      <w:pPr>
        <w:ind w:left="720"/>
        <w:jc w:val="both"/>
        <w:rPr>
          <w:rFonts w:ascii="Garamond" w:hAnsi="Garamond"/>
          <w:sz w:val="24"/>
          <w:szCs w:val="24"/>
          <w:lang w:val="en-US"/>
        </w:rPr>
      </w:pPr>
      <w:r w:rsidRPr="001F021D">
        <w:rPr>
          <w:rFonts w:ascii="Garamond" w:hAnsi="Garamond"/>
          <w:sz w:val="24"/>
          <w:szCs w:val="24"/>
          <w:lang w:val="en-US"/>
        </w:rPr>
        <w:t xml:space="preserve">• a street, taxi and office used to travel and attend to clients. </w:t>
      </w:r>
    </w:p>
    <w:p w14:paraId="19FD9213" w14:textId="77777777" w:rsidR="006877B3" w:rsidRPr="001F021D" w:rsidRDefault="006877B3" w:rsidP="006877B3">
      <w:pPr>
        <w:jc w:val="both"/>
        <w:rPr>
          <w:rFonts w:ascii="Garamond" w:hAnsi="Garamond"/>
          <w:sz w:val="24"/>
          <w:szCs w:val="24"/>
        </w:rPr>
      </w:pPr>
    </w:p>
    <w:p w14:paraId="2FD9A674" w14:textId="77777777" w:rsidR="00D93DC2" w:rsidRPr="001F021D" w:rsidRDefault="00D93DC2" w:rsidP="005C350E">
      <w:pPr>
        <w:pStyle w:val="ListParagraph"/>
        <w:numPr>
          <w:ilvl w:val="0"/>
          <w:numId w:val="1"/>
        </w:numPr>
        <w:jc w:val="both"/>
        <w:rPr>
          <w:rFonts w:ascii="Garamond" w:hAnsi="Garamond"/>
          <w:iCs/>
          <w:sz w:val="24"/>
          <w:szCs w:val="24"/>
        </w:rPr>
      </w:pPr>
      <w:r w:rsidRPr="001F021D">
        <w:rPr>
          <w:rFonts w:ascii="Garamond" w:hAnsi="Garamond"/>
          <w:iCs/>
          <w:sz w:val="24"/>
          <w:szCs w:val="24"/>
        </w:rPr>
        <w:t xml:space="preserve">In </w:t>
      </w:r>
      <w:r w:rsidRPr="001F021D">
        <w:rPr>
          <w:rFonts w:ascii="Garamond" w:hAnsi="Garamond"/>
          <w:i/>
          <w:iCs/>
          <w:sz w:val="24"/>
          <w:szCs w:val="24"/>
        </w:rPr>
        <w:t xml:space="preserve">Comcare v </w:t>
      </w:r>
      <w:r w:rsidRPr="001F021D">
        <w:rPr>
          <w:rFonts w:ascii="Garamond" w:hAnsi="Garamond"/>
          <w:iCs/>
          <w:sz w:val="24"/>
          <w:szCs w:val="24"/>
        </w:rPr>
        <w:t>PVYW</w:t>
      </w:r>
      <w:r w:rsidR="00F02F31" w:rsidRPr="001F021D">
        <w:rPr>
          <w:rFonts w:ascii="Garamond" w:hAnsi="Garamond"/>
          <w:iCs/>
          <w:sz w:val="24"/>
          <w:szCs w:val="24"/>
        </w:rPr>
        <w:t xml:space="preserve">, </w:t>
      </w:r>
      <w:r w:rsidRPr="001F021D">
        <w:rPr>
          <w:rFonts w:ascii="Garamond" w:hAnsi="Garamond"/>
          <w:iCs/>
          <w:sz w:val="24"/>
          <w:szCs w:val="24"/>
        </w:rPr>
        <w:t>a worker’s compensation matter considering whether an injury was compensable because it arose ‘out of or in the course of employment’, the High Court said:</w:t>
      </w:r>
      <w:r w:rsidRPr="001F021D">
        <w:rPr>
          <w:rStyle w:val="FootnoteReference"/>
          <w:rFonts w:ascii="Garamond" w:hAnsi="Garamond"/>
          <w:iCs/>
          <w:sz w:val="24"/>
          <w:szCs w:val="24"/>
        </w:rPr>
        <w:footnoteReference w:id="15"/>
      </w:r>
    </w:p>
    <w:p w14:paraId="4BD36D2B" w14:textId="77777777" w:rsidR="00D93DC2" w:rsidRPr="001F021D" w:rsidRDefault="00D93DC2" w:rsidP="00D93DC2">
      <w:pPr>
        <w:pStyle w:val="ListParagraph"/>
        <w:rPr>
          <w:rFonts w:ascii="Garamond" w:hAnsi="Garamond"/>
          <w:iCs/>
          <w:sz w:val="24"/>
          <w:szCs w:val="24"/>
        </w:rPr>
      </w:pPr>
    </w:p>
    <w:p w14:paraId="090FF596" w14:textId="77777777" w:rsidR="00D93DC2" w:rsidRPr="001F021D" w:rsidRDefault="00D93DC2" w:rsidP="00D93DC2">
      <w:pPr>
        <w:pStyle w:val="ListParagraph"/>
        <w:jc w:val="both"/>
        <w:rPr>
          <w:rFonts w:ascii="Garamond" w:hAnsi="Garamond"/>
          <w:iCs/>
          <w:sz w:val="24"/>
          <w:szCs w:val="24"/>
        </w:rPr>
      </w:pPr>
      <w:r w:rsidRPr="001F021D">
        <w:rPr>
          <w:rFonts w:ascii="Garamond" w:hAnsi="Garamond"/>
          <w:sz w:val="24"/>
          <w:szCs w:val="24"/>
        </w:rPr>
        <w:t xml:space="preserve">…the employer’s inducement or encouragement of an employee, to be present at a particular place or to engage in a particular activity, is effectively the source of the employer’s liability, the circumstances of the injury must correspond with what the employer induced or encouraged the employee to do.  It is to be inferred from the factual conditions stated in </w:t>
      </w:r>
      <w:proofErr w:type="spellStart"/>
      <w:r w:rsidRPr="001F021D">
        <w:rPr>
          <w:rFonts w:ascii="Garamond" w:hAnsi="Garamond"/>
          <w:i/>
          <w:sz w:val="24"/>
          <w:szCs w:val="24"/>
        </w:rPr>
        <w:t>Hatzimanolis</w:t>
      </w:r>
      <w:proofErr w:type="spellEnd"/>
      <w:r w:rsidRPr="001F021D">
        <w:rPr>
          <w:rFonts w:ascii="Garamond" w:hAnsi="Garamond"/>
          <w:i/>
          <w:sz w:val="24"/>
          <w:szCs w:val="24"/>
        </w:rPr>
        <w:t xml:space="preserve"> </w:t>
      </w:r>
      <w:r w:rsidRPr="001F021D">
        <w:rPr>
          <w:rFonts w:ascii="Garamond" w:hAnsi="Garamond"/>
          <w:sz w:val="24"/>
          <w:szCs w:val="24"/>
        </w:rPr>
        <w:t>that for an injury to be in the course of employment, the employment, the employee must be doing the very thing that the employer encouraged the employee to do, when the injury occurs.</w:t>
      </w:r>
    </w:p>
    <w:p w14:paraId="444D26F3" w14:textId="77777777" w:rsidR="00D93DC2" w:rsidRPr="001F021D" w:rsidRDefault="00D93DC2" w:rsidP="00D93DC2">
      <w:pPr>
        <w:pStyle w:val="ListParagraph"/>
        <w:rPr>
          <w:rFonts w:ascii="Garamond" w:hAnsi="Garamond"/>
          <w:iCs/>
          <w:sz w:val="24"/>
          <w:szCs w:val="24"/>
        </w:rPr>
      </w:pPr>
    </w:p>
    <w:p w14:paraId="5EDC1F9A" w14:textId="77777777" w:rsidR="00D93DC2" w:rsidRPr="001F021D" w:rsidRDefault="00D93DC2" w:rsidP="005C350E">
      <w:pPr>
        <w:pStyle w:val="ListParagraph"/>
        <w:numPr>
          <w:ilvl w:val="0"/>
          <w:numId w:val="1"/>
        </w:numPr>
        <w:jc w:val="both"/>
        <w:rPr>
          <w:rFonts w:ascii="Garamond" w:hAnsi="Garamond"/>
          <w:iCs/>
          <w:sz w:val="24"/>
          <w:szCs w:val="24"/>
        </w:rPr>
      </w:pPr>
      <w:r w:rsidRPr="001F021D">
        <w:rPr>
          <w:rFonts w:ascii="Garamond" w:hAnsi="Garamond"/>
          <w:iCs/>
          <w:sz w:val="24"/>
          <w:szCs w:val="24"/>
        </w:rPr>
        <w:t>Accordingly, it is possible that the concept of a “workplace” will capture a hotel, if the judicial officer and employee were on circuit, for instance, and may also include online activity and “approved” functions to the extent that attendance at those social or educational functions is encouraged.</w:t>
      </w:r>
    </w:p>
    <w:p w14:paraId="3DB5434B" w14:textId="77777777" w:rsidR="00D93DC2" w:rsidRPr="001F021D" w:rsidRDefault="00D93DC2" w:rsidP="00D93DC2">
      <w:pPr>
        <w:jc w:val="both"/>
        <w:rPr>
          <w:rFonts w:ascii="Garamond" w:hAnsi="Garamond"/>
          <w:sz w:val="24"/>
          <w:szCs w:val="24"/>
        </w:rPr>
      </w:pPr>
    </w:p>
    <w:p w14:paraId="6DE360BF" w14:textId="77777777" w:rsidR="008548E5" w:rsidRPr="001F021D" w:rsidRDefault="008548E5" w:rsidP="005C350E">
      <w:pPr>
        <w:pStyle w:val="ListParagraph"/>
        <w:numPr>
          <w:ilvl w:val="0"/>
          <w:numId w:val="1"/>
        </w:numPr>
        <w:jc w:val="both"/>
        <w:rPr>
          <w:rFonts w:ascii="Garamond" w:hAnsi="Garamond"/>
          <w:sz w:val="24"/>
          <w:szCs w:val="24"/>
        </w:rPr>
      </w:pPr>
      <w:r w:rsidRPr="001F021D">
        <w:rPr>
          <w:rFonts w:ascii="Garamond" w:hAnsi="Garamond"/>
          <w:sz w:val="24"/>
          <w:szCs w:val="24"/>
        </w:rPr>
        <w:t>There are any number of possible situations that may fall within the definition of a workplace in this context – activity in the Court precinct, in judges</w:t>
      </w:r>
      <w:r w:rsidR="00C61B84" w:rsidRPr="001F021D">
        <w:rPr>
          <w:rFonts w:ascii="Garamond" w:hAnsi="Garamond"/>
          <w:sz w:val="24"/>
          <w:szCs w:val="24"/>
        </w:rPr>
        <w:t>’</w:t>
      </w:r>
      <w:r w:rsidRPr="001F021D">
        <w:rPr>
          <w:rFonts w:ascii="Garamond" w:hAnsi="Garamond"/>
          <w:sz w:val="24"/>
          <w:szCs w:val="24"/>
        </w:rPr>
        <w:t xml:space="preserve"> chambers and </w:t>
      </w:r>
      <w:r w:rsidR="00C61B84" w:rsidRPr="001F021D">
        <w:rPr>
          <w:rFonts w:ascii="Garamond" w:hAnsi="Garamond"/>
          <w:sz w:val="24"/>
          <w:szCs w:val="24"/>
        </w:rPr>
        <w:t xml:space="preserve">in </w:t>
      </w:r>
      <w:r w:rsidRPr="001F021D">
        <w:rPr>
          <w:rFonts w:ascii="Garamond" w:hAnsi="Garamond"/>
          <w:sz w:val="24"/>
          <w:szCs w:val="24"/>
        </w:rPr>
        <w:t>Court would clearly be c</w:t>
      </w:r>
      <w:r w:rsidR="00672842" w:rsidRPr="001F021D">
        <w:rPr>
          <w:rFonts w:ascii="Garamond" w:hAnsi="Garamond"/>
          <w:sz w:val="24"/>
          <w:szCs w:val="24"/>
        </w:rPr>
        <w:t>onsider a workplace. Ac</w:t>
      </w:r>
      <w:r w:rsidRPr="001F021D">
        <w:rPr>
          <w:rFonts w:ascii="Garamond" w:hAnsi="Garamond"/>
          <w:sz w:val="24"/>
          <w:szCs w:val="24"/>
        </w:rPr>
        <w:t xml:space="preserve">tivities conducted </w:t>
      </w:r>
      <w:r w:rsidR="0025514F" w:rsidRPr="001F021D">
        <w:rPr>
          <w:rFonts w:ascii="Garamond" w:hAnsi="Garamond"/>
          <w:sz w:val="24"/>
          <w:szCs w:val="24"/>
        </w:rPr>
        <w:t xml:space="preserve">online or </w:t>
      </w:r>
      <w:r w:rsidRPr="001F021D">
        <w:rPr>
          <w:rFonts w:ascii="Garamond" w:hAnsi="Garamond"/>
          <w:sz w:val="24"/>
          <w:szCs w:val="24"/>
        </w:rPr>
        <w:t>outside Court when travelling for work</w:t>
      </w:r>
      <w:r w:rsidR="00672842" w:rsidRPr="001F021D">
        <w:rPr>
          <w:rFonts w:ascii="Garamond" w:hAnsi="Garamond"/>
          <w:sz w:val="24"/>
          <w:szCs w:val="24"/>
        </w:rPr>
        <w:t>,</w:t>
      </w:r>
      <w:r w:rsidRPr="001F021D">
        <w:rPr>
          <w:rFonts w:ascii="Garamond" w:hAnsi="Garamond"/>
          <w:sz w:val="24"/>
          <w:szCs w:val="24"/>
        </w:rPr>
        <w:t xml:space="preserve"> attending </w:t>
      </w:r>
      <w:r w:rsidR="006877B3" w:rsidRPr="001F021D">
        <w:rPr>
          <w:rFonts w:ascii="Garamond" w:hAnsi="Garamond"/>
          <w:sz w:val="24"/>
          <w:szCs w:val="24"/>
        </w:rPr>
        <w:t xml:space="preserve">a view, mediation, </w:t>
      </w:r>
      <w:r w:rsidRPr="001F021D">
        <w:rPr>
          <w:rFonts w:ascii="Garamond" w:hAnsi="Garamond"/>
          <w:sz w:val="24"/>
          <w:szCs w:val="24"/>
        </w:rPr>
        <w:t>circuit sittings</w:t>
      </w:r>
      <w:r w:rsidR="00D93DC2" w:rsidRPr="001F021D">
        <w:rPr>
          <w:rFonts w:ascii="Garamond" w:hAnsi="Garamond"/>
          <w:sz w:val="24"/>
          <w:szCs w:val="24"/>
        </w:rPr>
        <w:t>, judges</w:t>
      </w:r>
      <w:r w:rsidR="00BE492C" w:rsidRPr="001F021D">
        <w:rPr>
          <w:rFonts w:ascii="Garamond" w:hAnsi="Garamond"/>
          <w:sz w:val="24"/>
          <w:szCs w:val="24"/>
        </w:rPr>
        <w:t>’</w:t>
      </w:r>
      <w:r w:rsidR="00D93DC2" w:rsidRPr="001F021D">
        <w:rPr>
          <w:rFonts w:ascii="Garamond" w:hAnsi="Garamond"/>
          <w:sz w:val="24"/>
          <w:szCs w:val="24"/>
        </w:rPr>
        <w:t xml:space="preserve"> meetings</w:t>
      </w:r>
      <w:r w:rsidRPr="001F021D">
        <w:rPr>
          <w:rFonts w:ascii="Garamond" w:hAnsi="Garamond"/>
          <w:sz w:val="24"/>
          <w:szCs w:val="24"/>
        </w:rPr>
        <w:t xml:space="preserve"> </w:t>
      </w:r>
      <w:r w:rsidR="00657DAF" w:rsidRPr="001F021D">
        <w:rPr>
          <w:rFonts w:ascii="Garamond" w:hAnsi="Garamond"/>
          <w:sz w:val="24"/>
          <w:szCs w:val="24"/>
        </w:rPr>
        <w:t xml:space="preserve">or conference sessions </w:t>
      </w:r>
      <w:r w:rsidRPr="001F021D">
        <w:rPr>
          <w:rFonts w:ascii="Garamond" w:hAnsi="Garamond"/>
          <w:sz w:val="24"/>
          <w:szCs w:val="24"/>
        </w:rPr>
        <w:t xml:space="preserve">for example, will </w:t>
      </w:r>
      <w:r w:rsidR="0039606A" w:rsidRPr="001F021D">
        <w:rPr>
          <w:rFonts w:ascii="Garamond" w:hAnsi="Garamond"/>
          <w:sz w:val="24"/>
          <w:szCs w:val="24"/>
        </w:rPr>
        <w:t xml:space="preserve">likely </w:t>
      </w:r>
      <w:r w:rsidRPr="001F021D">
        <w:rPr>
          <w:rFonts w:ascii="Garamond" w:hAnsi="Garamond"/>
          <w:sz w:val="24"/>
          <w:szCs w:val="24"/>
        </w:rPr>
        <w:t>also be caught</w:t>
      </w:r>
      <w:r w:rsidR="00C61B84" w:rsidRPr="001F021D">
        <w:rPr>
          <w:rFonts w:ascii="Garamond" w:hAnsi="Garamond"/>
          <w:sz w:val="24"/>
          <w:szCs w:val="24"/>
        </w:rPr>
        <w:t xml:space="preserve">. </w:t>
      </w:r>
      <w:r w:rsidRPr="001F021D">
        <w:rPr>
          <w:rFonts w:ascii="Garamond" w:hAnsi="Garamond"/>
          <w:sz w:val="24"/>
          <w:szCs w:val="24"/>
        </w:rPr>
        <w:t xml:space="preserve"> </w:t>
      </w:r>
      <w:r w:rsidR="00C61B84" w:rsidRPr="001F021D">
        <w:rPr>
          <w:rFonts w:ascii="Garamond" w:hAnsi="Garamond"/>
          <w:sz w:val="24"/>
          <w:szCs w:val="24"/>
        </w:rPr>
        <w:t>P</w:t>
      </w:r>
      <w:r w:rsidRPr="001F021D">
        <w:rPr>
          <w:rFonts w:ascii="Garamond" w:hAnsi="Garamond"/>
          <w:sz w:val="24"/>
          <w:szCs w:val="24"/>
        </w:rPr>
        <w:t xml:space="preserve">otentially attendance at professional social events </w:t>
      </w:r>
      <w:r w:rsidR="00C61B84" w:rsidRPr="001F021D">
        <w:rPr>
          <w:rFonts w:ascii="Garamond" w:hAnsi="Garamond"/>
          <w:sz w:val="24"/>
          <w:szCs w:val="24"/>
        </w:rPr>
        <w:t xml:space="preserve">will </w:t>
      </w:r>
      <w:r w:rsidR="0039606A" w:rsidRPr="001F021D">
        <w:rPr>
          <w:rFonts w:ascii="Garamond" w:hAnsi="Garamond"/>
          <w:sz w:val="24"/>
          <w:szCs w:val="24"/>
        </w:rPr>
        <w:t>not</w:t>
      </w:r>
      <w:r w:rsidR="00C61B84" w:rsidRPr="001F021D">
        <w:rPr>
          <w:rFonts w:ascii="Garamond" w:hAnsi="Garamond"/>
          <w:sz w:val="24"/>
          <w:szCs w:val="24"/>
        </w:rPr>
        <w:t xml:space="preserve"> captured </w:t>
      </w:r>
      <w:r w:rsidR="0039606A" w:rsidRPr="001F021D">
        <w:rPr>
          <w:rFonts w:ascii="Garamond" w:hAnsi="Garamond"/>
          <w:sz w:val="24"/>
          <w:szCs w:val="24"/>
        </w:rPr>
        <w:t>unless</w:t>
      </w:r>
      <w:r w:rsidRPr="001F021D">
        <w:rPr>
          <w:rFonts w:ascii="Garamond" w:hAnsi="Garamond"/>
          <w:sz w:val="24"/>
          <w:szCs w:val="24"/>
        </w:rPr>
        <w:t xml:space="preserve"> it can </w:t>
      </w:r>
      <w:r w:rsidR="00C61B84" w:rsidRPr="001F021D">
        <w:rPr>
          <w:rFonts w:ascii="Garamond" w:hAnsi="Garamond"/>
          <w:sz w:val="24"/>
          <w:szCs w:val="24"/>
        </w:rPr>
        <w:t>be shown</w:t>
      </w:r>
      <w:r w:rsidRPr="001F021D">
        <w:rPr>
          <w:rFonts w:ascii="Garamond" w:hAnsi="Garamond"/>
          <w:sz w:val="24"/>
          <w:szCs w:val="24"/>
        </w:rPr>
        <w:t xml:space="preserve"> </w:t>
      </w:r>
      <w:r w:rsidR="00C61B84" w:rsidRPr="001F021D">
        <w:rPr>
          <w:rFonts w:ascii="Garamond" w:hAnsi="Garamond"/>
          <w:sz w:val="24"/>
          <w:szCs w:val="24"/>
        </w:rPr>
        <w:t>the attendance</w:t>
      </w:r>
      <w:r w:rsidR="0039606A" w:rsidRPr="001F021D">
        <w:rPr>
          <w:rFonts w:ascii="Garamond" w:hAnsi="Garamond"/>
          <w:sz w:val="24"/>
          <w:szCs w:val="24"/>
        </w:rPr>
        <w:t xml:space="preserve"> </w:t>
      </w:r>
      <w:r w:rsidR="00C61B84" w:rsidRPr="001F021D">
        <w:rPr>
          <w:rFonts w:ascii="Garamond" w:hAnsi="Garamond"/>
          <w:sz w:val="24"/>
          <w:szCs w:val="24"/>
        </w:rPr>
        <w:t xml:space="preserve">is a performance of work functions. </w:t>
      </w:r>
    </w:p>
    <w:p w14:paraId="47036AAF" w14:textId="77777777" w:rsidR="008548E5" w:rsidRPr="001F021D" w:rsidRDefault="008548E5" w:rsidP="008548E5">
      <w:pPr>
        <w:pStyle w:val="ListParagraph"/>
        <w:rPr>
          <w:rFonts w:ascii="Garamond" w:hAnsi="Garamond"/>
          <w:sz w:val="24"/>
          <w:szCs w:val="24"/>
        </w:rPr>
      </w:pPr>
    </w:p>
    <w:p w14:paraId="6920999B" w14:textId="77777777" w:rsidR="00657DAF" w:rsidRPr="001F021D" w:rsidRDefault="00130219" w:rsidP="005C350E">
      <w:pPr>
        <w:pStyle w:val="ListParagraph"/>
        <w:numPr>
          <w:ilvl w:val="0"/>
          <w:numId w:val="1"/>
        </w:numPr>
        <w:jc w:val="both"/>
        <w:rPr>
          <w:rFonts w:ascii="Garamond" w:hAnsi="Garamond"/>
          <w:sz w:val="24"/>
          <w:szCs w:val="24"/>
        </w:rPr>
      </w:pPr>
      <w:r w:rsidRPr="001F021D">
        <w:rPr>
          <w:rFonts w:ascii="Garamond" w:hAnsi="Garamond"/>
          <w:sz w:val="24"/>
          <w:szCs w:val="24"/>
        </w:rPr>
        <w:t>The operation of s</w:t>
      </w:r>
      <w:r w:rsidR="00D62D89" w:rsidRPr="001F021D">
        <w:rPr>
          <w:rFonts w:ascii="Garamond" w:hAnsi="Garamond"/>
          <w:sz w:val="24"/>
          <w:szCs w:val="24"/>
        </w:rPr>
        <w:t xml:space="preserve"> 99 of the EO Act depends upon whether or not a service </w:t>
      </w:r>
      <w:r w:rsidR="00672842" w:rsidRPr="001F021D">
        <w:rPr>
          <w:rFonts w:ascii="Garamond" w:hAnsi="Garamond"/>
          <w:sz w:val="24"/>
          <w:szCs w:val="24"/>
        </w:rPr>
        <w:t xml:space="preserve">is offered or </w:t>
      </w:r>
      <w:r w:rsidR="00D62D89" w:rsidRPr="001F021D">
        <w:rPr>
          <w:rFonts w:ascii="Garamond" w:hAnsi="Garamond"/>
          <w:sz w:val="24"/>
          <w:szCs w:val="24"/>
        </w:rPr>
        <w:t>has been provided</w:t>
      </w:r>
      <w:r w:rsidR="00DC22C0" w:rsidRPr="001F021D">
        <w:rPr>
          <w:rFonts w:ascii="Garamond" w:hAnsi="Garamond"/>
          <w:sz w:val="24"/>
          <w:szCs w:val="24"/>
        </w:rPr>
        <w:t>.</w:t>
      </w:r>
      <w:r w:rsidR="00D529DB" w:rsidRPr="001F021D">
        <w:rPr>
          <w:rFonts w:ascii="Garamond" w:hAnsi="Garamond"/>
          <w:sz w:val="24"/>
          <w:szCs w:val="24"/>
        </w:rPr>
        <w:t xml:space="preserve">  It is unlikely that the functions of a judicial officer will be considered a “service”</w:t>
      </w:r>
      <w:r w:rsidR="00672842" w:rsidRPr="001F021D">
        <w:rPr>
          <w:rFonts w:ascii="Garamond" w:hAnsi="Garamond"/>
          <w:sz w:val="24"/>
          <w:szCs w:val="24"/>
        </w:rPr>
        <w:t xml:space="preserve"> </w:t>
      </w:r>
      <w:r w:rsidR="00CD0D7D" w:rsidRPr="001F021D">
        <w:rPr>
          <w:rFonts w:ascii="Garamond" w:hAnsi="Garamond"/>
          <w:sz w:val="24"/>
          <w:szCs w:val="24"/>
        </w:rPr>
        <w:t xml:space="preserve">provided or offered to another person </w:t>
      </w:r>
      <w:r w:rsidR="00672842" w:rsidRPr="001F021D">
        <w:rPr>
          <w:rFonts w:ascii="Garamond" w:hAnsi="Garamond"/>
          <w:sz w:val="24"/>
          <w:szCs w:val="24"/>
        </w:rPr>
        <w:t xml:space="preserve">for the purposes of </w:t>
      </w:r>
      <w:r w:rsidR="00CD0D7D" w:rsidRPr="001F021D">
        <w:rPr>
          <w:rFonts w:ascii="Garamond" w:hAnsi="Garamond"/>
          <w:sz w:val="24"/>
          <w:szCs w:val="24"/>
        </w:rPr>
        <w:t>s99(1)</w:t>
      </w:r>
      <w:r w:rsidR="00D529DB" w:rsidRPr="001F021D">
        <w:rPr>
          <w:rFonts w:ascii="Garamond" w:hAnsi="Garamond"/>
          <w:sz w:val="24"/>
          <w:szCs w:val="24"/>
        </w:rPr>
        <w:t xml:space="preserve">.  </w:t>
      </w:r>
      <w:r w:rsidR="00672842" w:rsidRPr="001F021D">
        <w:rPr>
          <w:rFonts w:ascii="Garamond" w:hAnsi="Garamond"/>
          <w:sz w:val="24"/>
          <w:szCs w:val="24"/>
        </w:rPr>
        <w:t>In</w:t>
      </w:r>
      <w:r w:rsidR="002E1FAE" w:rsidRPr="001F021D">
        <w:rPr>
          <w:rFonts w:ascii="Garamond" w:hAnsi="Garamond"/>
          <w:sz w:val="24"/>
          <w:szCs w:val="24"/>
        </w:rPr>
        <w:t xml:space="preserve"> </w:t>
      </w:r>
      <w:r w:rsidR="002E1FAE" w:rsidRPr="001F021D">
        <w:rPr>
          <w:rFonts w:ascii="Garamond" w:hAnsi="Garamond"/>
          <w:i/>
          <w:iCs/>
          <w:sz w:val="24"/>
          <w:szCs w:val="24"/>
        </w:rPr>
        <w:t>IW v The City of Perth</w:t>
      </w:r>
      <w:r w:rsidR="00CD0D7D" w:rsidRPr="001F021D">
        <w:rPr>
          <w:rFonts w:ascii="Garamond" w:hAnsi="Garamond"/>
          <w:iCs/>
          <w:sz w:val="24"/>
          <w:szCs w:val="24"/>
        </w:rPr>
        <w:t>,</w:t>
      </w:r>
      <w:r w:rsidR="00672842" w:rsidRPr="001F021D">
        <w:rPr>
          <w:rFonts w:ascii="Garamond" w:hAnsi="Garamond"/>
          <w:i/>
          <w:iCs/>
          <w:sz w:val="24"/>
          <w:szCs w:val="24"/>
        </w:rPr>
        <w:t xml:space="preserve"> </w:t>
      </w:r>
      <w:r w:rsidR="00672842" w:rsidRPr="001F021D">
        <w:rPr>
          <w:rStyle w:val="FootnoteReference"/>
          <w:rFonts w:ascii="Garamond" w:hAnsi="Garamond"/>
          <w:i/>
          <w:iCs/>
          <w:sz w:val="24"/>
          <w:szCs w:val="24"/>
        </w:rPr>
        <w:footnoteReference w:id="16"/>
      </w:r>
      <w:r w:rsidR="00672842" w:rsidRPr="001F021D">
        <w:rPr>
          <w:rFonts w:ascii="Garamond" w:hAnsi="Garamond"/>
          <w:i/>
          <w:iCs/>
          <w:sz w:val="24"/>
          <w:szCs w:val="24"/>
        </w:rPr>
        <w:t xml:space="preserve"> </w:t>
      </w:r>
      <w:r w:rsidR="00672842" w:rsidRPr="001F021D">
        <w:rPr>
          <w:rFonts w:ascii="Garamond" w:hAnsi="Garamond"/>
          <w:iCs/>
          <w:sz w:val="24"/>
          <w:szCs w:val="24"/>
        </w:rPr>
        <w:t>the Court found</w:t>
      </w:r>
      <w:r w:rsidR="00672842" w:rsidRPr="001F021D">
        <w:rPr>
          <w:rFonts w:ascii="Garamond" w:hAnsi="Garamond"/>
          <w:i/>
          <w:iCs/>
          <w:sz w:val="24"/>
          <w:szCs w:val="24"/>
        </w:rPr>
        <w:t xml:space="preserve"> </w:t>
      </w:r>
      <w:r w:rsidR="002E1FAE" w:rsidRPr="001F021D">
        <w:rPr>
          <w:rFonts w:ascii="Garamond" w:hAnsi="Garamond"/>
          <w:sz w:val="24"/>
          <w:szCs w:val="24"/>
        </w:rPr>
        <w:t>there is a difference between activities which involve providing a “service” and</w:t>
      </w:r>
      <w:r w:rsidR="00672842" w:rsidRPr="001F021D">
        <w:rPr>
          <w:rFonts w:ascii="Garamond" w:hAnsi="Garamond"/>
          <w:sz w:val="24"/>
          <w:szCs w:val="24"/>
        </w:rPr>
        <w:t xml:space="preserve"> those involving the</w:t>
      </w:r>
      <w:r w:rsidR="002E1FAE" w:rsidRPr="001F021D">
        <w:rPr>
          <w:rFonts w:ascii="Garamond" w:hAnsi="Garamond"/>
          <w:sz w:val="24"/>
          <w:szCs w:val="24"/>
        </w:rPr>
        <w:t xml:space="preserve"> perform</w:t>
      </w:r>
      <w:r w:rsidR="00672842" w:rsidRPr="001F021D">
        <w:rPr>
          <w:rFonts w:ascii="Garamond" w:hAnsi="Garamond"/>
          <w:sz w:val="24"/>
          <w:szCs w:val="24"/>
        </w:rPr>
        <w:t xml:space="preserve">ance of </w:t>
      </w:r>
      <w:r w:rsidR="002E1FAE" w:rsidRPr="001F021D">
        <w:rPr>
          <w:rFonts w:ascii="Garamond" w:hAnsi="Garamond"/>
          <w:sz w:val="24"/>
          <w:szCs w:val="24"/>
        </w:rPr>
        <w:t>a “duty”.</w:t>
      </w:r>
      <w:r w:rsidR="00DC769E" w:rsidRPr="001F021D">
        <w:rPr>
          <w:rFonts w:ascii="Garamond" w:hAnsi="Garamond"/>
          <w:sz w:val="24"/>
          <w:szCs w:val="24"/>
        </w:rPr>
        <w:t xml:space="preserve">  Whilst those two concepts may overlap</w:t>
      </w:r>
      <w:r w:rsidR="00D82262" w:rsidRPr="001F021D">
        <w:rPr>
          <w:rFonts w:ascii="Garamond" w:hAnsi="Garamond"/>
          <w:sz w:val="24"/>
          <w:szCs w:val="24"/>
        </w:rPr>
        <w:t>, not every process or activity will be a “service”</w:t>
      </w:r>
      <w:r w:rsidR="00B279BA" w:rsidRPr="001F021D">
        <w:rPr>
          <w:rFonts w:ascii="Garamond" w:hAnsi="Garamond"/>
          <w:sz w:val="24"/>
          <w:szCs w:val="24"/>
        </w:rPr>
        <w:t xml:space="preserve"> and it is difficult to see how a judicial officer could be viewed as providing or offering a service to the other person</w:t>
      </w:r>
      <w:r w:rsidR="00D82262" w:rsidRPr="001F021D">
        <w:rPr>
          <w:rFonts w:ascii="Garamond" w:hAnsi="Garamond"/>
          <w:sz w:val="24"/>
          <w:szCs w:val="24"/>
        </w:rPr>
        <w:t>.</w:t>
      </w:r>
      <w:r w:rsidR="0039606A" w:rsidRPr="001F021D">
        <w:rPr>
          <w:rFonts w:ascii="Garamond" w:hAnsi="Garamond"/>
          <w:sz w:val="24"/>
          <w:szCs w:val="24"/>
        </w:rPr>
        <w:t xml:space="preserve"> </w:t>
      </w:r>
    </w:p>
    <w:p w14:paraId="22B1CDF1" w14:textId="77777777" w:rsidR="00B279BA" w:rsidRPr="001F021D" w:rsidRDefault="00B279BA" w:rsidP="00B279BA">
      <w:pPr>
        <w:jc w:val="both"/>
        <w:rPr>
          <w:rFonts w:ascii="Garamond" w:hAnsi="Garamond"/>
          <w:sz w:val="24"/>
          <w:szCs w:val="24"/>
        </w:rPr>
      </w:pPr>
    </w:p>
    <w:p w14:paraId="1A3648FB" w14:textId="77777777" w:rsidR="00657DAF" w:rsidRPr="001F021D" w:rsidRDefault="00CD0D7D" w:rsidP="005C350E">
      <w:pPr>
        <w:pStyle w:val="ListParagraph"/>
        <w:numPr>
          <w:ilvl w:val="0"/>
          <w:numId w:val="1"/>
        </w:numPr>
        <w:jc w:val="both"/>
        <w:rPr>
          <w:rFonts w:ascii="Garamond" w:hAnsi="Garamond"/>
          <w:sz w:val="24"/>
          <w:szCs w:val="24"/>
        </w:rPr>
      </w:pPr>
      <w:r w:rsidRPr="001F021D">
        <w:rPr>
          <w:rFonts w:ascii="Garamond" w:hAnsi="Garamond"/>
          <w:sz w:val="24"/>
          <w:szCs w:val="24"/>
        </w:rPr>
        <w:t>While t</w:t>
      </w:r>
      <w:r w:rsidR="0039606A" w:rsidRPr="001F021D">
        <w:rPr>
          <w:rFonts w:ascii="Garamond" w:hAnsi="Garamond"/>
          <w:sz w:val="24"/>
          <w:szCs w:val="24"/>
        </w:rPr>
        <w:t xml:space="preserve">he conduct of Court staff and contractors </w:t>
      </w:r>
      <w:r w:rsidR="00657DAF" w:rsidRPr="001F021D">
        <w:rPr>
          <w:rFonts w:ascii="Garamond" w:hAnsi="Garamond"/>
          <w:sz w:val="24"/>
          <w:szCs w:val="24"/>
        </w:rPr>
        <w:t xml:space="preserve">performing their duties </w:t>
      </w:r>
      <w:r w:rsidR="0039606A" w:rsidRPr="001F021D">
        <w:rPr>
          <w:rFonts w:ascii="Garamond" w:hAnsi="Garamond"/>
          <w:sz w:val="24"/>
          <w:szCs w:val="24"/>
        </w:rPr>
        <w:t>m</w:t>
      </w:r>
      <w:r w:rsidR="002C74BE" w:rsidRPr="001F021D">
        <w:rPr>
          <w:rFonts w:ascii="Garamond" w:hAnsi="Garamond"/>
          <w:sz w:val="24"/>
          <w:szCs w:val="24"/>
        </w:rPr>
        <w:t>ay</w:t>
      </w:r>
      <w:r w:rsidR="0039606A" w:rsidRPr="001F021D">
        <w:rPr>
          <w:rFonts w:ascii="Garamond" w:hAnsi="Garamond"/>
          <w:sz w:val="24"/>
          <w:szCs w:val="24"/>
        </w:rPr>
        <w:t xml:space="preserve"> be considered a </w:t>
      </w:r>
      <w:r w:rsidR="00657DAF" w:rsidRPr="001F021D">
        <w:rPr>
          <w:rFonts w:ascii="Garamond" w:hAnsi="Garamond"/>
          <w:sz w:val="24"/>
          <w:szCs w:val="24"/>
        </w:rPr>
        <w:t>‘</w:t>
      </w:r>
      <w:r w:rsidR="0039606A" w:rsidRPr="001F021D">
        <w:rPr>
          <w:rFonts w:ascii="Garamond" w:hAnsi="Garamond"/>
          <w:sz w:val="24"/>
          <w:szCs w:val="24"/>
        </w:rPr>
        <w:t>service</w:t>
      </w:r>
      <w:r w:rsidR="00657DAF" w:rsidRPr="001F021D">
        <w:rPr>
          <w:rFonts w:ascii="Garamond" w:hAnsi="Garamond"/>
          <w:sz w:val="24"/>
          <w:szCs w:val="24"/>
        </w:rPr>
        <w:t>’</w:t>
      </w:r>
      <w:r w:rsidR="002C74BE" w:rsidRPr="001F021D">
        <w:rPr>
          <w:rFonts w:ascii="Garamond" w:hAnsi="Garamond"/>
          <w:sz w:val="24"/>
          <w:szCs w:val="24"/>
        </w:rPr>
        <w:t xml:space="preserve">, </w:t>
      </w:r>
      <w:r w:rsidR="00657DAF" w:rsidRPr="001F021D">
        <w:rPr>
          <w:rFonts w:ascii="Garamond" w:hAnsi="Garamond"/>
          <w:sz w:val="24"/>
          <w:szCs w:val="24"/>
        </w:rPr>
        <w:t xml:space="preserve">s99(2) requires that the service be ‘received’ or ‘selected’ by the judicial officer. If the services are delivered or offered for selection through an employer, such as the Court or government department, it is </w:t>
      </w:r>
      <w:r w:rsidR="004F1B77" w:rsidRPr="001F021D">
        <w:rPr>
          <w:rFonts w:ascii="Garamond" w:hAnsi="Garamond"/>
          <w:sz w:val="24"/>
          <w:szCs w:val="24"/>
        </w:rPr>
        <w:t xml:space="preserve">uncertain but </w:t>
      </w:r>
      <w:r w:rsidR="00657DAF" w:rsidRPr="001F021D">
        <w:rPr>
          <w:rFonts w:ascii="Garamond" w:hAnsi="Garamond"/>
          <w:sz w:val="24"/>
          <w:szCs w:val="24"/>
        </w:rPr>
        <w:t xml:space="preserve">unlikely this provision applies. </w:t>
      </w:r>
    </w:p>
    <w:p w14:paraId="2F9A8207" w14:textId="77777777" w:rsidR="004574A9" w:rsidRPr="001F021D" w:rsidRDefault="004574A9" w:rsidP="004574A9">
      <w:pPr>
        <w:jc w:val="both"/>
        <w:rPr>
          <w:rFonts w:ascii="Garamond" w:hAnsi="Garamond"/>
          <w:sz w:val="24"/>
          <w:szCs w:val="24"/>
        </w:rPr>
      </w:pPr>
    </w:p>
    <w:p w14:paraId="557B0CE6" w14:textId="77777777" w:rsidR="004574A9" w:rsidRPr="001F021D" w:rsidRDefault="00657DAF" w:rsidP="005C350E">
      <w:pPr>
        <w:pStyle w:val="ListParagraph"/>
        <w:numPr>
          <w:ilvl w:val="0"/>
          <w:numId w:val="1"/>
        </w:numPr>
        <w:jc w:val="both"/>
        <w:rPr>
          <w:rFonts w:ascii="Garamond" w:hAnsi="Garamond"/>
          <w:sz w:val="24"/>
          <w:szCs w:val="24"/>
        </w:rPr>
      </w:pPr>
      <w:r w:rsidRPr="001F021D">
        <w:rPr>
          <w:rFonts w:ascii="Garamond" w:hAnsi="Garamond"/>
          <w:sz w:val="24"/>
          <w:szCs w:val="24"/>
        </w:rPr>
        <w:t>Thus</w:t>
      </w:r>
      <w:r w:rsidR="00B279BA" w:rsidRPr="001F021D">
        <w:rPr>
          <w:rFonts w:ascii="Garamond" w:hAnsi="Garamond"/>
          <w:sz w:val="24"/>
          <w:szCs w:val="24"/>
        </w:rPr>
        <w:t>,</w:t>
      </w:r>
      <w:r w:rsidRPr="001F021D">
        <w:rPr>
          <w:rFonts w:ascii="Garamond" w:hAnsi="Garamond"/>
          <w:sz w:val="24"/>
          <w:szCs w:val="24"/>
        </w:rPr>
        <w:t xml:space="preserve"> i</w:t>
      </w:r>
      <w:r w:rsidR="00074CB2" w:rsidRPr="001F021D">
        <w:rPr>
          <w:rFonts w:ascii="Garamond" w:hAnsi="Garamond"/>
          <w:sz w:val="24"/>
          <w:szCs w:val="24"/>
        </w:rPr>
        <w:t xml:space="preserve">t is unlikely that either sections 93 or 99 of the EO Act will apply to the conduct of a judicial officer.  Whilst there is scope for section 94 of the EO Act to apply, </w:t>
      </w:r>
      <w:r w:rsidR="00334CDA" w:rsidRPr="001F021D">
        <w:rPr>
          <w:rFonts w:ascii="Garamond" w:hAnsi="Garamond"/>
          <w:sz w:val="24"/>
          <w:szCs w:val="24"/>
        </w:rPr>
        <w:t xml:space="preserve">such application </w:t>
      </w:r>
      <w:r w:rsidRPr="001F021D">
        <w:rPr>
          <w:rFonts w:ascii="Garamond" w:hAnsi="Garamond"/>
          <w:sz w:val="24"/>
          <w:szCs w:val="24"/>
        </w:rPr>
        <w:t xml:space="preserve">is </w:t>
      </w:r>
      <w:r w:rsidR="00334CDA" w:rsidRPr="001F021D">
        <w:rPr>
          <w:rFonts w:ascii="Garamond" w:hAnsi="Garamond"/>
          <w:sz w:val="24"/>
          <w:szCs w:val="24"/>
        </w:rPr>
        <w:t>limited</w:t>
      </w:r>
      <w:r w:rsidRPr="001F021D">
        <w:rPr>
          <w:rFonts w:ascii="Garamond" w:hAnsi="Garamond"/>
          <w:sz w:val="24"/>
          <w:szCs w:val="24"/>
        </w:rPr>
        <w:t xml:space="preserve"> to </w:t>
      </w:r>
      <w:r w:rsidR="00B279BA" w:rsidRPr="001F021D">
        <w:rPr>
          <w:rFonts w:ascii="Garamond" w:hAnsi="Garamond"/>
          <w:sz w:val="24"/>
          <w:szCs w:val="24"/>
        </w:rPr>
        <w:t xml:space="preserve">conduct in a </w:t>
      </w:r>
      <w:r w:rsidRPr="001F021D">
        <w:rPr>
          <w:rFonts w:ascii="Garamond" w:hAnsi="Garamond"/>
          <w:sz w:val="24"/>
          <w:szCs w:val="24"/>
        </w:rPr>
        <w:t>workplace</w:t>
      </w:r>
      <w:r w:rsidR="00334CDA" w:rsidRPr="001F021D">
        <w:rPr>
          <w:rFonts w:ascii="Garamond" w:hAnsi="Garamond"/>
          <w:sz w:val="24"/>
          <w:szCs w:val="24"/>
        </w:rPr>
        <w:t>.</w:t>
      </w:r>
    </w:p>
    <w:p w14:paraId="6CAAC2E5" w14:textId="77777777" w:rsidR="00B279BA" w:rsidRPr="001F021D" w:rsidRDefault="00B279BA" w:rsidP="00B279BA">
      <w:pPr>
        <w:jc w:val="both"/>
        <w:rPr>
          <w:rFonts w:ascii="Garamond" w:hAnsi="Garamond"/>
          <w:sz w:val="24"/>
          <w:szCs w:val="24"/>
        </w:rPr>
      </w:pPr>
    </w:p>
    <w:p w14:paraId="6E03C83F" w14:textId="77777777" w:rsidR="00334CDA" w:rsidRPr="001F021D" w:rsidRDefault="00334CDA" w:rsidP="00334CDA">
      <w:pPr>
        <w:pStyle w:val="ListParagraph"/>
        <w:ind w:left="360"/>
        <w:jc w:val="both"/>
        <w:rPr>
          <w:rFonts w:ascii="Garamond" w:hAnsi="Garamond"/>
          <w:sz w:val="24"/>
          <w:szCs w:val="24"/>
        </w:rPr>
      </w:pPr>
    </w:p>
    <w:p w14:paraId="2225F8DF" w14:textId="77777777" w:rsidR="002C74BE" w:rsidRPr="00264C19" w:rsidRDefault="00EF076C" w:rsidP="002C74BE">
      <w:pPr>
        <w:pStyle w:val="ListParagraph"/>
        <w:ind w:left="0"/>
        <w:jc w:val="both"/>
        <w:rPr>
          <w:rFonts w:ascii="Garamond" w:hAnsi="Garamond"/>
          <w:b/>
          <w:i/>
          <w:sz w:val="24"/>
          <w:szCs w:val="24"/>
        </w:rPr>
      </w:pPr>
      <w:r w:rsidRPr="00264C19">
        <w:rPr>
          <w:rFonts w:ascii="Garamond" w:hAnsi="Garamond"/>
          <w:b/>
          <w:i/>
          <w:sz w:val="24"/>
          <w:szCs w:val="24"/>
        </w:rPr>
        <w:t xml:space="preserve">Judicial Immunity </w:t>
      </w:r>
    </w:p>
    <w:p w14:paraId="25C950B7" w14:textId="77777777" w:rsidR="0061304C" w:rsidRPr="001F021D" w:rsidRDefault="00C73C29" w:rsidP="005C350E">
      <w:pPr>
        <w:pStyle w:val="ListParagraph"/>
        <w:numPr>
          <w:ilvl w:val="0"/>
          <w:numId w:val="1"/>
        </w:numPr>
        <w:jc w:val="both"/>
        <w:rPr>
          <w:rFonts w:ascii="Garamond" w:hAnsi="Garamond"/>
          <w:sz w:val="24"/>
          <w:szCs w:val="24"/>
        </w:rPr>
      </w:pPr>
      <w:r w:rsidRPr="001F021D">
        <w:rPr>
          <w:rFonts w:ascii="Garamond" w:hAnsi="Garamond"/>
          <w:sz w:val="24"/>
          <w:szCs w:val="24"/>
        </w:rPr>
        <w:t>In light of the potential application the EO Act</w:t>
      </w:r>
      <w:r w:rsidR="008F1EC3" w:rsidRPr="001F021D">
        <w:rPr>
          <w:rFonts w:ascii="Garamond" w:hAnsi="Garamond"/>
          <w:sz w:val="24"/>
          <w:szCs w:val="24"/>
        </w:rPr>
        <w:t xml:space="preserve"> to the conduct of a judicial officer</w:t>
      </w:r>
      <w:r w:rsidRPr="001F021D">
        <w:rPr>
          <w:rFonts w:ascii="Garamond" w:hAnsi="Garamond"/>
          <w:sz w:val="24"/>
          <w:szCs w:val="24"/>
        </w:rPr>
        <w:t xml:space="preserve">, my instructors have also </w:t>
      </w:r>
      <w:r w:rsidR="00826A0D" w:rsidRPr="001F021D">
        <w:rPr>
          <w:rFonts w:ascii="Garamond" w:hAnsi="Garamond"/>
          <w:sz w:val="24"/>
          <w:szCs w:val="24"/>
        </w:rPr>
        <w:t>sought advice as to</w:t>
      </w:r>
      <w:r w:rsidR="00EF076C" w:rsidRPr="001F021D">
        <w:rPr>
          <w:rFonts w:ascii="Garamond" w:hAnsi="Garamond"/>
          <w:sz w:val="24"/>
          <w:szCs w:val="24"/>
        </w:rPr>
        <w:t xml:space="preserve"> </w:t>
      </w:r>
      <w:r w:rsidR="0061304C" w:rsidRPr="001F021D">
        <w:rPr>
          <w:rFonts w:ascii="Garamond" w:hAnsi="Garamond"/>
          <w:sz w:val="24"/>
          <w:szCs w:val="24"/>
        </w:rPr>
        <w:t>whether there are any limitations on the extent to which those obligations</w:t>
      </w:r>
      <w:r w:rsidR="00214DA0" w:rsidRPr="001F021D">
        <w:rPr>
          <w:rFonts w:ascii="Garamond" w:hAnsi="Garamond"/>
          <w:sz w:val="24"/>
          <w:szCs w:val="24"/>
        </w:rPr>
        <w:t xml:space="preserve"> could be enforced against a judicial officer</w:t>
      </w:r>
      <w:r w:rsidR="00EF076C" w:rsidRPr="001F021D">
        <w:rPr>
          <w:rFonts w:ascii="Garamond" w:hAnsi="Garamond"/>
          <w:sz w:val="24"/>
          <w:szCs w:val="24"/>
        </w:rPr>
        <w:t xml:space="preserve">. </w:t>
      </w:r>
    </w:p>
    <w:p w14:paraId="372A3DD2" w14:textId="77777777" w:rsidR="00214DA0" w:rsidRPr="001F021D" w:rsidRDefault="00214DA0" w:rsidP="00C27A1E">
      <w:pPr>
        <w:pStyle w:val="ListParagraph"/>
        <w:ind w:left="0"/>
        <w:rPr>
          <w:rFonts w:ascii="Garamond" w:hAnsi="Garamond"/>
          <w:i/>
          <w:sz w:val="24"/>
          <w:szCs w:val="24"/>
        </w:rPr>
      </w:pPr>
    </w:p>
    <w:p w14:paraId="6A9263C0" w14:textId="77777777" w:rsidR="00986B83" w:rsidRPr="001F021D" w:rsidRDefault="00EF076C" w:rsidP="005C350E">
      <w:pPr>
        <w:pStyle w:val="ListParagraph"/>
        <w:numPr>
          <w:ilvl w:val="0"/>
          <w:numId w:val="1"/>
        </w:numPr>
        <w:jc w:val="both"/>
        <w:rPr>
          <w:rFonts w:ascii="Garamond" w:hAnsi="Garamond"/>
          <w:sz w:val="24"/>
          <w:szCs w:val="24"/>
        </w:rPr>
      </w:pPr>
      <w:r w:rsidRPr="001F021D">
        <w:rPr>
          <w:rFonts w:ascii="Garamond" w:hAnsi="Garamond"/>
          <w:sz w:val="24"/>
          <w:szCs w:val="24"/>
        </w:rPr>
        <w:t>T</w:t>
      </w:r>
      <w:r w:rsidR="00D75A1E" w:rsidRPr="001F021D">
        <w:rPr>
          <w:rFonts w:ascii="Garamond" w:hAnsi="Garamond"/>
          <w:sz w:val="24"/>
          <w:szCs w:val="24"/>
        </w:rPr>
        <w:t>he Supreme Court Act provides:</w:t>
      </w:r>
    </w:p>
    <w:p w14:paraId="0D099B03" w14:textId="77777777" w:rsidR="00D75A1E" w:rsidRPr="001F021D" w:rsidRDefault="00D75A1E" w:rsidP="00D75A1E">
      <w:pPr>
        <w:pStyle w:val="ListParagraph"/>
        <w:rPr>
          <w:rFonts w:ascii="Garamond" w:hAnsi="Garamond"/>
          <w:sz w:val="24"/>
          <w:szCs w:val="24"/>
        </w:rPr>
      </w:pPr>
    </w:p>
    <w:p w14:paraId="448C88E6" w14:textId="77777777" w:rsidR="00D75A1E" w:rsidRPr="0025283E" w:rsidRDefault="00D75A1E" w:rsidP="00D75A1E">
      <w:pPr>
        <w:ind w:left="720"/>
        <w:jc w:val="both"/>
        <w:rPr>
          <w:rFonts w:ascii="Garamond" w:hAnsi="Garamond"/>
          <w:color w:val="000000" w:themeColor="text1"/>
        </w:rPr>
      </w:pPr>
      <w:r w:rsidRPr="0025283E">
        <w:rPr>
          <w:rFonts w:ascii="Garamond" w:hAnsi="Garamond"/>
          <w:b/>
          <w:bCs/>
          <w:color w:val="000000" w:themeColor="text1"/>
        </w:rPr>
        <w:t>S24D Immunity and protection of Judge of Court extends to administrative functions</w:t>
      </w:r>
    </w:p>
    <w:p w14:paraId="5E6CABFB" w14:textId="77777777" w:rsidR="00D75A1E" w:rsidRPr="0025283E" w:rsidRDefault="00D75A1E" w:rsidP="00D75A1E">
      <w:pPr>
        <w:ind w:left="720"/>
        <w:jc w:val="both"/>
        <w:rPr>
          <w:rFonts w:ascii="Garamond" w:hAnsi="Garamond"/>
          <w:color w:val="000000" w:themeColor="text1"/>
        </w:rPr>
      </w:pPr>
      <w:r w:rsidRPr="0025283E">
        <w:rPr>
          <w:rFonts w:ascii="Garamond" w:hAnsi="Garamond"/>
          <w:color w:val="000000" w:themeColor="text1"/>
        </w:rPr>
        <w:t>Without limiting any other law, whether written or unwritten, the immunity and protection that a </w:t>
      </w:r>
      <w:hyperlink r:id="rId10" w:anchor="judge_of_the_court" w:history="1">
        <w:r w:rsidRPr="0025283E">
          <w:rPr>
            <w:rStyle w:val="Hyperlink"/>
            <w:rFonts w:ascii="Garamond" w:hAnsi="Garamond"/>
            <w:color w:val="000000" w:themeColor="text1"/>
            <w:u w:val="none"/>
          </w:rPr>
          <w:t>Judge of the Court</w:t>
        </w:r>
      </w:hyperlink>
      <w:r w:rsidRPr="0025283E">
        <w:rPr>
          <w:rFonts w:ascii="Garamond" w:hAnsi="Garamond"/>
          <w:color w:val="000000" w:themeColor="text1"/>
        </w:rPr>
        <w:t> has in the performance of his or her duties as Judge extends and applies to the performance or exercise of an administrative function or power conferred on the Judge or on </w:t>
      </w:r>
      <w:hyperlink r:id="rId11" w:anchor="the_court" w:history="1">
        <w:r w:rsidRPr="0025283E">
          <w:rPr>
            <w:rStyle w:val="Hyperlink"/>
            <w:rFonts w:ascii="Garamond" w:hAnsi="Garamond"/>
            <w:color w:val="000000" w:themeColor="text1"/>
            <w:u w:val="none"/>
          </w:rPr>
          <w:t>the Court</w:t>
        </w:r>
      </w:hyperlink>
      <w:r w:rsidRPr="0025283E">
        <w:rPr>
          <w:rFonts w:ascii="Garamond" w:hAnsi="Garamond"/>
          <w:color w:val="000000" w:themeColor="text1"/>
        </w:rPr>
        <w:t> by or under any Act or any other law.</w:t>
      </w:r>
    </w:p>
    <w:p w14:paraId="0A0EA084" w14:textId="77777777" w:rsidR="00D75A1E" w:rsidRPr="001F021D" w:rsidRDefault="00D75A1E" w:rsidP="00D75A1E">
      <w:pPr>
        <w:ind w:left="720"/>
        <w:jc w:val="both"/>
        <w:rPr>
          <w:rFonts w:ascii="Garamond" w:hAnsi="Garamond"/>
          <w:sz w:val="24"/>
          <w:szCs w:val="24"/>
        </w:rPr>
      </w:pPr>
    </w:p>
    <w:p w14:paraId="6E30A3BE" w14:textId="77777777" w:rsidR="002B1ED5" w:rsidRPr="001F021D" w:rsidRDefault="00D75A1E" w:rsidP="002B1ED5">
      <w:pPr>
        <w:pStyle w:val="ListParagraph"/>
        <w:ind w:left="360"/>
        <w:jc w:val="both"/>
        <w:rPr>
          <w:rFonts w:ascii="Garamond" w:hAnsi="Garamond"/>
          <w:sz w:val="24"/>
          <w:szCs w:val="24"/>
        </w:rPr>
      </w:pPr>
      <w:r w:rsidRPr="001F021D">
        <w:rPr>
          <w:rFonts w:ascii="Garamond" w:hAnsi="Garamond"/>
          <w:sz w:val="24"/>
          <w:szCs w:val="24"/>
        </w:rPr>
        <w:t xml:space="preserve">Sections 24E and 24F extend the immunity to Associate Judges and other specified officers. </w:t>
      </w:r>
    </w:p>
    <w:p w14:paraId="5B06AE47" w14:textId="77777777" w:rsidR="002B1ED5" w:rsidRPr="001F021D" w:rsidRDefault="002B1ED5" w:rsidP="002B1ED5">
      <w:pPr>
        <w:pStyle w:val="ListParagraph"/>
        <w:ind w:left="360"/>
        <w:jc w:val="both"/>
        <w:rPr>
          <w:rFonts w:ascii="Garamond" w:hAnsi="Garamond"/>
          <w:sz w:val="24"/>
          <w:szCs w:val="24"/>
        </w:rPr>
      </w:pPr>
    </w:p>
    <w:p w14:paraId="2A58B62E" w14:textId="77777777" w:rsidR="00D75A1E" w:rsidRPr="001F021D" w:rsidRDefault="00D75A1E"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S9A of the County Court Act and s14 (and </w:t>
      </w:r>
      <w:r w:rsidR="002B1ED5" w:rsidRPr="001F021D">
        <w:rPr>
          <w:rFonts w:ascii="Garamond" w:hAnsi="Garamond"/>
          <w:sz w:val="24"/>
          <w:szCs w:val="24"/>
        </w:rPr>
        <w:t>s</w:t>
      </w:r>
      <w:r w:rsidRPr="001F021D">
        <w:rPr>
          <w:rFonts w:ascii="Garamond" w:hAnsi="Garamond"/>
          <w:sz w:val="24"/>
          <w:szCs w:val="24"/>
        </w:rPr>
        <w:t xml:space="preserve">24 in the case of registrars) of the Magistrates Court Act provide for the immunity in similar terms. </w:t>
      </w:r>
      <w:bookmarkStart w:id="2" w:name="Heading189"/>
      <w:bookmarkEnd w:id="2"/>
    </w:p>
    <w:p w14:paraId="2851DB21" w14:textId="77777777" w:rsidR="001640EF" w:rsidRPr="001F021D" w:rsidRDefault="001640EF" w:rsidP="001640EF">
      <w:pPr>
        <w:jc w:val="both"/>
        <w:rPr>
          <w:rFonts w:ascii="Garamond" w:hAnsi="Garamond"/>
          <w:sz w:val="24"/>
          <w:szCs w:val="24"/>
        </w:rPr>
      </w:pPr>
    </w:p>
    <w:p w14:paraId="6750415A" w14:textId="77777777" w:rsidR="002B1ED5" w:rsidRPr="001F021D" w:rsidRDefault="00986B83" w:rsidP="005C350E">
      <w:pPr>
        <w:pStyle w:val="ListParagraph"/>
        <w:numPr>
          <w:ilvl w:val="0"/>
          <w:numId w:val="1"/>
        </w:numPr>
        <w:jc w:val="both"/>
        <w:rPr>
          <w:rFonts w:ascii="Garamond" w:hAnsi="Garamond"/>
          <w:iCs/>
          <w:sz w:val="24"/>
          <w:szCs w:val="24"/>
        </w:rPr>
      </w:pPr>
      <w:r w:rsidRPr="001F021D">
        <w:rPr>
          <w:rFonts w:ascii="Garamond" w:hAnsi="Garamond"/>
          <w:sz w:val="24"/>
          <w:szCs w:val="24"/>
        </w:rPr>
        <w:t xml:space="preserve">In </w:t>
      </w:r>
      <w:r w:rsidR="00643E87" w:rsidRPr="001F021D">
        <w:rPr>
          <w:rFonts w:ascii="Garamond" w:hAnsi="Garamond"/>
          <w:i/>
          <w:iCs/>
          <w:sz w:val="24"/>
          <w:szCs w:val="24"/>
        </w:rPr>
        <w:t>Towie</w:t>
      </w:r>
      <w:r w:rsidRPr="001F021D">
        <w:rPr>
          <w:rFonts w:ascii="Garamond" w:hAnsi="Garamond"/>
          <w:i/>
          <w:iCs/>
          <w:sz w:val="24"/>
          <w:szCs w:val="24"/>
        </w:rPr>
        <w:t xml:space="preserve">, </w:t>
      </w:r>
      <w:r w:rsidRPr="001F021D">
        <w:rPr>
          <w:rFonts w:ascii="Garamond" w:hAnsi="Garamond"/>
          <w:iCs/>
          <w:sz w:val="24"/>
          <w:szCs w:val="24"/>
        </w:rPr>
        <w:t xml:space="preserve">the Court held </w:t>
      </w:r>
      <w:r w:rsidR="00574FC4" w:rsidRPr="001F021D">
        <w:rPr>
          <w:rFonts w:ascii="Garamond" w:hAnsi="Garamond"/>
          <w:iCs/>
          <w:sz w:val="24"/>
          <w:szCs w:val="24"/>
        </w:rPr>
        <w:t>that judicial immunity</w:t>
      </w:r>
      <w:r w:rsidR="00160C9D" w:rsidRPr="001F021D">
        <w:rPr>
          <w:rFonts w:ascii="Garamond" w:hAnsi="Garamond"/>
          <w:iCs/>
          <w:sz w:val="24"/>
          <w:szCs w:val="24"/>
        </w:rPr>
        <w:t xml:space="preserve"> </w:t>
      </w:r>
      <w:r w:rsidRPr="001F021D">
        <w:rPr>
          <w:rFonts w:ascii="Garamond" w:hAnsi="Garamond"/>
          <w:iCs/>
          <w:sz w:val="24"/>
          <w:szCs w:val="24"/>
        </w:rPr>
        <w:t>protected the relevant</w:t>
      </w:r>
      <w:r w:rsidR="00574FC4" w:rsidRPr="001F021D">
        <w:rPr>
          <w:rFonts w:ascii="Garamond" w:hAnsi="Garamond"/>
          <w:iCs/>
          <w:sz w:val="24"/>
          <w:szCs w:val="24"/>
        </w:rPr>
        <w:t xml:space="preserve"> </w:t>
      </w:r>
      <w:r w:rsidRPr="001F021D">
        <w:rPr>
          <w:rFonts w:ascii="Garamond" w:hAnsi="Garamond"/>
          <w:iCs/>
          <w:sz w:val="24"/>
          <w:szCs w:val="24"/>
        </w:rPr>
        <w:t xml:space="preserve">judicial </w:t>
      </w:r>
      <w:r w:rsidR="00574FC4" w:rsidRPr="001F021D">
        <w:rPr>
          <w:rFonts w:ascii="Garamond" w:hAnsi="Garamond"/>
          <w:iCs/>
          <w:sz w:val="24"/>
          <w:szCs w:val="24"/>
        </w:rPr>
        <w:t xml:space="preserve">officers </w:t>
      </w:r>
      <w:r w:rsidRPr="001F021D">
        <w:rPr>
          <w:rFonts w:ascii="Garamond" w:hAnsi="Garamond"/>
          <w:iCs/>
          <w:sz w:val="24"/>
          <w:szCs w:val="24"/>
        </w:rPr>
        <w:t>from a</w:t>
      </w:r>
      <w:r w:rsidR="00574FC4" w:rsidRPr="001F021D">
        <w:rPr>
          <w:rFonts w:ascii="Garamond" w:hAnsi="Garamond"/>
          <w:iCs/>
          <w:sz w:val="24"/>
          <w:szCs w:val="24"/>
        </w:rPr>
        <w:t xml:space="preserve"> claim under the EO Act for acts done that are subject to the immunity. </w:t>
      </w:r>
      <w:r w:rsidR="00496F63" w:rsidRPr="001F021D">
        <w:rPr>
          <w:rFonts w:ascii="Garamond" w:hAnsi="Garamond"/>
          <w:iCs/>
          <w:sz w:val="24"/>
          <w:szCs w:val="24"/>
        </w:rPr>
        <w:t xml:space="preserve">  </w:t>
      </w:r>
    </w:p>
    <w:p w14:paraId="0CE7F4A9" w14:textId="77777777" w:rsidR="002B1ED5" w:rsidRPr="001F021D" w:rsidRDefault="002B1ED5" w:rsidP="002B1ED5">
      <w:pPr>
        <w:pStyle w:val="ListParagraph"/>
        <w:rPr>
          <w:rFonts w:ascii="Garamond" w:hAnsi="Garamond"/>
          <w:iCs/>
          <w:sz w:val="24"/>
          <w:szCs w:val="24"/>
        </w:rPr>
      </w:pPr>
    </w:p>
    <w:p w14:paraId="39A1BE81" w14:textId="77777777" w:rsidR="002B1ED5" w:rsidRPr="00D62A0A" w:rsidRDefault="002B1ED5" w:rsidP="002B1ED5">
      <w:pPr>
        <w:pStyle w:val="ListParagraph"/>
        <w:ind w:left="360"/>
        <w:jc w:val="both"/>
        <w:rPr>
          <w:rFonts w:ascii="Garamond" w:hAnsi="Garamond"/>
          <w:iCs/>
        </w:rPr>
      </w:pPr>
      <w:r w:rsidRPr="001F021D">
        <w:rPr>
          <w:rFonts w:ascii="Garamond" w:hAnsi="Garamond"/>
          <w:iCs/>
          <w:sz w:val="24"/>
          <w:szCs w:val="24"/>
        </w:rPr>
        <w:t xml:space="preserve">Kyrou J said at [13] </w:t>
      </w:r>
      <w:proofErr w:type="gramStart"/>
      <w:r w:rsidRPr="001F021D">
        <w:rPr>
          <w:rFonts w:ascii="Garamond" w:hAnsi="Garamond"/>
          <w:iCs/>
          <w:sz w:val="24"/>
          <w:szCs w:val="24"/>
        </w:rPr>
        <w:t>–[</w:t>
      </w:r>
      <w:proofErr w:type="gramEnd"/>
      <w:r w:rsidRPr="001F021D">
        <w:rPr>
          <w:rFonts w:ascii="Garamond" w:hAnsi="Garamond"/>
          <w:iCs/>
          <w:sz w:val="24"/>
          <w:szCs w:val="24"/>
        </w:rPr>
        <w:t>1</w:t>
      </w:r>
      <w:r w:rsidR="00FD7417" w:rsidRPr="001F021D">
        <w:rPr>
          <w:rFonts w:ascii="Garamond" w:hAnsi="Garamond"/>
          <w:iCs/>
          <w:sz w:val="24"/>
          <w:szCs w:val="24"/>
        </w:rPr>
        <w:t>6</w:t>
      </w:r>
      <w:r w:rsidRPr="001F021D">
        <w:rPr>
          <w:rFonts w:ascii="Garamond" w:hAnsi="Garamond"/>
          <w:iCs/>
          <w:sz w:val="24"/>
          <w:szCs w:val="24"/>
        </w:rPr>
        <w:t>] -</w:t>
      </w:r>
    </w:p>
    <w:p w14:paraId="0D161CCE" w14:textId="77777777" w:rsidR="002B1ED5" w:rsidRPr="00D62A0A" w:rsidRDefault="002B1ED5" w:rsidP="002B1ED5">
      <w:pPr>
        <w:pStyle w:val="ListParagraph"/>
        <w:ind w:left="360"/>
        <w:jc w:val="both"/>
        <w:rPr>
          <w:rFonts w:ascii="Garamond" w:hAnsi="Garamond"/>
          <w:iCs/>
        </w:rPr>
      </w:pPr>
    </w:p>
    <w:p w14:paraId="245BB852" w14:textId="77777777" w:rsidR="002B1ED5" w:rsidRPr="00D62A0A" w:rsidRDefault="002B1ED5" w:rsidP="007B4368">
      <w:pPr>
        <w:pStyle w:val="ListParagraph"/>
        <w:numPr>
          <w:ilvl w:val="0"/>
          <w:numId w:val="2"/>
        </w:numPr>
        <w:tabs>
          <w:tab w:val="num" w:pos="1080"/>
        </w:tabs>
        <w:ind w:left="1080"/>
        <w:jc w:val="both"/>
        <w:rPr>
          <w:rFonts w:ascii="Garamond" w:hAnsi="Garamond"/>
          <w:iCs/>
        </w:rPr>
      </w:pPr>
      <w:r w:rsidRPr="00D62A0A">
        <w:rPr>
          <w:rFonts w:ascii="Garamond" w:hAnsi="Garamond"/>
          <w:iCs/>
        </w:rPr>
        <w:t xml:space="preserve"> ….. Correctly interpreted, the effect of s24 is that the principal registrar, a registrar and a deputy registrar have, in respect of their duties in that position, the same degree of protection and immunity as a Supreme Court Judge has in respect of his or her duties. The protection or immunity relates to all the duties of the principal registrar, registrar or deputy registrar, not only to some of them. But </w:t>
      </w:r>
      <w:r w:rsidRPr="00D62A0A">
        <w:rPr>
          <w:rFonts w:ascii="Garamond" w:hAnsi="Garamond"/>
          <w:b/>
          <w:iCs/>
        </w:rPr>
        <w:t xml:space="preserve">the protection and immunity only </w:t>
      </w:r>
      <w:proofErr w:type="gramStart"/>
      <w:r w:rsidRPr="00D62A0A">
        <w:rPr>
          <w:rFonts w:ascii="Garamond" w:hAnsi="Garamond"/>
          <w:b/>
          <w:iCs/>
        </w:rPr>
        <w:t>applies</w:t>
      </w:r>
      <w:proofErr w:type="gramEnd"/>
      <w:r w:rsidRPr="00D62A0A">
        <w:rPr>
          <w:rFonts w:ascii="Garamond" w:hAnsi="Garamond"/>
          <w:b/>
          <w:iCs/>
        </w:rPr>
        <w:t xml:space="preserve"> to the person when performing the duties of the relevant office – not when acting in some private or unofficial capacity.</w:t>
      </w:r>
    </w:p>
    <w:p w14:paraId="6DBADF14" w14:textId="77777777" w:rsidR="002B1ED5" w:rsidRPr="00D62A0A" w:rsidRDefault="002B1ED5" w:rsidP="00E31175">
      <w:pPr>
        <w:pStyle w:val="ListParagraph"/>
        <w:ind w:left="305"/>
        <w:jc w:val="both"/>
        <w:rPr>
          <w:rFonts w:ascii="Garamond" w:hAnsi="Garamond"/>
          <w:iCs/>
        </w:rPr>
      </w:pPr>
    </w:p>
    <w:p w14:paraId="350CF26F" w14:textId="77777777" w:rsidR="002B1ED5" w:rsidRPr="00D62A0A" w:rsidRDefault="002B1ED5" w:rsidP="00E31175">
      <w:pPr>
        <w:pStyle w:val="ListParagraph"/>
        <w:numPr>
          <w:ilvl w:val="0"/>
          <w:numId w:val="3"/>
        </w:numPr>
        <w:tabs>
          <w:tab w:val="num" w:pos="1080"/>
        </w:tabs>
        <w:ind w:left="1080"/>
        <w:jc w:val="both"/>
        <w:rPr>
          <w:rFonts w:ascii="Garamond" w:hAnsi="Garamond"/>
          <w:iCs/>
        </w:rPr>
      </w:pPr>
      <w:r w:rsidRPr="00D62A0A">
        <w:rPr>
          <w:rFonts w:ascii="Garamond" w:hAnsi="Garamond"/>
          <w:iCs/>
        </w:rPr>
        <w:t>The protection or immunity which a Supreme Court Judge has in performing his or her duty as a Judge is protection from civil suit in relation to hearing or determining a case in respect of which the court has general authority and where the Judge has a bona</w:t>
      </w:r>
      <w:r w:rsidR="00E31175" w:rsidRPr="00D62A0A">
        <w:rPr>
          <w:rFonts w:ascii="Garamond" w:hAnsi="Garamond"/>
          <w:iCs/>
        </w:rPr>
        <w:t xml:space="preserve"> </w:t>
      </w:r>
      <w:r w:rsidRPr="00D62A0A">
        <w:rPr>
          <w:rFonts w:ascii="Garamond" w:hAnsi="Garamond"/>
          <w:iCs/>
        </w:rPr>
        <w:t>fide belief that there is jurisdiction to hear and determine the matter. The protection or immunity, then, is from civil suit.</w:t>
      </w:r>
    </w:p>
    <w:p w14:paraId="4CBD6304" w14:textId="77777777" w:rsidR="002B1ED5" w:rsidRPr="00D62A0A" w:rsidRDefault="002B1ED5" w:rsidP="00E31175">
      <w:pPr>
        <w:pStyle w:val="ListParagraph"/>
        <w:ind w:left="305"/>
        <w:jc w:val="both"/>
        <w:rPr>
          <w:rFonts w:ascii="Garamond" w:hAnsi="Garamond"/>
          <w:iCs/>
        </w:rPr>
      </w:pPr>
    </w:p>
    <w:p w14:paraId="188C705D" w14:textId="77777777" w:rsidR="002B1ED5" w:rsidRPr="00D62A0A" w:rsidRDefault="002B1ED5" w:rsidP="00E31175">
      <w:pPr>
        <w:pStyle w:val="ListParagraph"/>
        <w:numPr>
          <w:ilvl w:val="0"/>
          <w:numId w:val="4"/>
        </w:numPr>
        <w:tabs>
          <w:tab w:val="num" w:pos="1080"/>
        </w:tabs>
        <w:ind w:left="1080"/>
        <w:jc w:val="both"/>
        <w:rPr>
          <w:rFonts w:ascii="Garamond" w:hAnsi="Garamond"/>
          <w:iCs/>
        </w:rPr>
      </w:pPr>
      <w:r w:rsidRPr="00D62A0A">
        <w:rPr>
          <w:rFonts w:ascii="Garamond" w:hAnsi="Garamond"/>
          <w:iCs/>
        </w:rPr>
        <w:t>The rationale for the protection and immunity given to a Supreme Court Judge applies equally to the protection and immunity given to these court staff when carrying out their official duties. It is given so that official duties can be carried out with independence and without fear. I cannot see why the same protection and immunity should not apply to these court staff in respect of claims under the EO Act, and for the same rationale.</w:t>
      </w:r>
    </w:p>
    <w:p w14:paraId="5EBF6671" w14:textId="77777777" w:rsidR="002B1ED5" w:rsidRPr="00D62A0A" w:rsidRDefault="002B1ED5" w:rsidP="00E31175">
      <w:pPr>
        <w:pStyle w:val="ListParagraph"/>
        <w:ind w:left="305"/>
        <w:jc w:val="both"/>
        <w:rPr>
          <w:rFonts w:ascii="Garamond" w:hAnsi="Garamond"/>
          <w:iCs/>
        </w:rPr>
      </w:pPr>
    </w:p>
    <w:p w14:paraId="6FC9E1E7" w14:textId="77777777" w:rsidR="002B1ED5" w:rsidRPr="00D62A0A" w:rsidRDefault="002B1ED5" w:rsidP="00E31175">
      <w:pPr>
        <w:pStyle w:val="ListParagraph"/>
        <w:numPr>
          <w:ilvl w:val="0"/>
          <w:numId w:val="5"/>
        </w:numPr>
        <w:tabs>
          <w:tab w:val="num" w:pos="1080"/>
        </w:tabs>
        <w:ind w:left="1080"/>
        <w:jc w:val="both"/>
        <w:rPr>
          <w:rFonts w:ascii="Garamond" w:hAnsi="Garamond"/>
          <w:iCs/>
        </w:rPr>
      </w:pPr>
      <w:r w:rsidRPr="00D62A0A">
        <w:rPr>
          <w:rFonts w:ascii="Garamond" w:hAnsi="Garamond"/>
          <w:iCs/>
        </w:rPr>
        <w:t xml:space="preserve">Since </w:t>
      </w:r>
      <w:r w:rsidRPr="00D62A0A">
        <w:rPr>
          <w:rFonts w:ascii="Garamond" w:hAnsi="Garamond"/>
          <w:iCs/>
          <w:color w:val="000000" w:themeColor="text1"/>
        </w:rPr>
        <w:t>under </w:t>
      </w:r>
      <w:hyperlink r:id="rId12" w:history="1">
        <w:r w:rsidRPr="00D62A0A">
          <w:rPr>
            <w:rStyle w:val="Hyperlink"/>
            <w:rFonts w:ascii="Garamond" w:hAnsi="Garamond"/>
            <w:iCs/>
            <w:color w:val="000000" w:themeColor="text1"/>
            <w:u w:val="none"/>
          </w:rPr>
          <w:t>s24</w:t>
        </w:r>
      </w:hyperlink>
      <w:r w:rsidRPr="00D62A0A">
        <w:rPr>
          <w:rFonts w:ascii="Garamond" w:hAnsi="Garamond"/>
          <w:iCs/>
          <w:color w:val="000000" w:themeColor="text1"/>
        </w:rPr>
        <w:t> of the </w:t>
      </w:r>
      <w:hyperlink r:id="rId13" w:history="1">
        <w:r w:rsidRPr="00D62A0A">
          <w:rPr>
            <w:rStyle w:val="Hyperlink"/>
            <w:rFonts w:ascii="Garamond" w:hAnsi="Garamond"/>
            <w:iCs/>
            <w:color w:val="000000" w:themeColor="text1"/>
            <w:u w:val="none"/>
          </w:rPr>
          <w:t>Magistrates’ Court Act</w:t>
        </w:r>
      </w:hyperlink>
      <w:r w:rsidRPr="00D62A0A">
        <w:rPr>
          <w:rFonts w:ascii="Garamond" w:hAnsi="Garamond"/>
          <w:iCs/>
          <w:color w:val="000000" w:themeColor="text1"/>
        </w:rPr>
        <w:t xml:space="preserve"> the </w:t>
      </w:r>
      <w:r w:rsidRPr="00D62A0A">
        <w:rPr>
          <w:rFonts w:ascii="Garamond" w:hAnsi="Garamond"/>
          <w:iCs/>
        </w:rPr>
        <w:t>relevant court staff have a protection or immunity from claims under the EO Act, those staff cannot breach the EO Act, and the State cannot be vicariously liable for such a breach</w:t>
      </w:r>
      <w:r w:rsidR="00E31175" w:rsidRPr="00D62A0A">
        <w:rPr>
          <w:rFonts w:ascii="Garamond" w:hAnsi="Garamond"/>
          <w:iCs/>
        </w:rPr>
        <w:t>.</w:t>
      </w:r>
    </w:p>
    <w:p w14:paraId="2EEC477E" w14:textId="77777777" w:rsidR="007C7C37" w:rsidRPr="00D62A0A" w:rsidRDefault="007C7C37" w:rsidP="007C7C37">
      <w:pPr>
        <w:tabs>
          <w:tab w:val="num" w:pos="1080"/>
        </w:tabs>
        <w:jc w:val="both"/>
        <w:rPr>
          <w:rFonts w:ascii="Garamond" w:hAnsi="Garamond"/>
          <w:iCs/>
        </w:rPr>
      </w:pPr>
    </w:p>
    <w:p w14:paraId="397F67E5" w14:textId="77777777" w:rsidR="007C7C37" w:rsidRPr="00D62A0A" w:rsidRDefault="007C7C37" w:rsidP="007C7C37">
      <w:pPr>
        <w:tabs>
          <w:tab w:val="num" w:pos="1080"/>
        </w:tabs>
        <w:ind w:left="720"/>
        <w:jc w:val="both"/>
        <w:rPr>
          <w:rFonts w:ascii="Garamond" w:hAnsi="Garamond"/>
          <w:iCs/>
          <w:sz w:val="24"/>
          <w:szCs w:val="24"/>
        </w:rPr>
      </w:pPr>
      <w:r w:rsidRPr="00D62A0A">
        <w:rPr>
          <w:rFonts w:ascii="Garamond" w:hAnsi="Garamond"/>
          <w:iCs/>
          <w:sz w:val="24"/>
          <w:szCs w:val="24"/>
        </w:rPr>
        <w:t>And at [56] – [57]</w:t>
      </w:r>
      <w:r w:rsidR="009C1C17" w:rsidRPr="00D62A0A">
        <w:rPr>
          <w:rFonts w:ascii="Garamond" w:hAnsi="Garamond"/>
          <w:iCs/>
          <w:sz w:val="24"/>
          <w:szCs w:val="24"/>
        </w:rPr>
        <w:t xml:space="preserve">, [59] – [60], [62]  </w:t>
      </w:r>
    </w:p>
    <w:p w14:paraId="67C17BBA" w14:textId="77777777" w:rsidR="007C7C37" w:rsidRPr="00D62A0A" w:rsidRDefault="007C7C37" w:rsidP="007C7C37">
      <w:pPr>
        <w:tabs>
          <w:tab w:val="num" w:pos="1080"/>
        </w:tabs>
        <w:ind w:left="720"/>
        <w:jc w:val="both"/>
        <w:rPr>
          <w:rFonts w:ascii="Garamond" w:hAnsi="Garamond"/>
          <w:iCs/>
        </w:rPr>
      </w:pPr>
    </w:p>
    <w:p w14:paraId="04B48FFA" w14:textId="77777777" w:rsidR="007C7C37" w:rsidRPr="00D62A0A" w:rsidRDefault="007C7C37" w:rsidP="007C7C37">
      <w:pPr>
        <w:tabs>
          <w:tab w:val="num" w:pos="1080"/>
        </w:tabs>
        <w:ind w:left="1134" w:hanging="425"/>
        <w:jc w:val="both"/>
        <w:rPr>
          <w:rFonts w:ascii="Garamond" w:hAnsi="Garamond"/>
          <w:b/>
          <w:iCs/>
        </w:rPr>
      </w:pPr>
      <w:r w:rsidRPr="00D62A0A">
        <w:rPr>
          <w:rFonts w:ascii="Garamond" w:hAnsi="Garamond"/>
          <w:iCs/>
        </w:rPr>
        <w:t xml:space="preserve">56    I do not accept Mr Nash’s submission that the immunity available to registry staff under s 24 of the MC Act is confined to conduct in the performance of judicial duties and duties which directly relate to the exercise of judicial duties. </w:t>
      </w:r>
      <w:r w:rsidRPr="00D62A0A">
        <w:rPr>
          <w:rFonts w:ascii="Garamond" w:hAnsi="Garamond"/>
          <w:b/>
          <w:iCs/>
        </w:rPr>
        <w:t>It extends to conduct in the performance of all their duties irrespective of whether they are characterised as judicial, administrative or otherwise</w:t>
      </w:r>
    </w:p>
    <w:p w14:paraId="1E041189" w14:textId="77777777" w:rsidR="007C7C37" w:rsidRPr="00D62A0A" w:rsidRDefault="007C7C37" w:rsidP="007C7C37">
      <w:pPr>
        <w:tabs>
          <w:tab w:val="num" w:pos="1080"/>
        </w:tabs>
        <w:ind w:left="1134" w:hanging="425"/>
        <w:jc w:val="both"/>
        <w:rPr>
          <w:rFonts w:ascii="Garamond" w:hAnsi="Garamond"/>
          <w:iCs/>
        </w:rPr>
      </w:pPr>
    </w:p>
    <w:p w14:paraId="1D217296" w14:textId="77777777" w:rsidR="007C7C37" w:rsidRPr="00D62A0A" w:rsidRDefault="007C7C37" w:rsidP="007C7C37">
      <w:pPr>
        <w:tabs>
          <w:tab w:val="num" w:pos="1080"/>
        </w:tabs>
        <w:ind w:left="1134" w:hanging="425"/>
        <w:jc w:val="both"/>
        <w:rPr>
          <w:rFonts w:ascii="Garamond" w:hAnsi="Garamond"/>
          <w:b/>
          <w:iCs/>
        </w:rPr>
      </w:pPr>
      <w:r w:rsidRPr="00D62A0A">
        <w:rPr>
          <w:rFonts w:ascii="Garamond" w:hAnsi="Garamond"/>
          <w:iCs/>
        </w:rPr>
        <w:t xml:space="preserve">57    I also do not accept Mr Nash’s submission that the immunity of registry staff is confined to the lawful performance of their duties. </w:t>
      </w:r>
      <w:r w:rsidRPr="00D62A0A">
        <w:rPr>
          <w:rFonts w:ascii="Garamond" w:hAnsi="Garamond"/>
          <w:b/>
          <w:iCs/>
        </w:rPr>
        <w:t>The immunity extends to all conduct in the performance of the duties of the registry staff, whether or not such conduct is in breach of the court rules or any other law.</w:t>
      </w:r>
    </w:p>
    <w:p w14:paraId="2735B8B7" w14:textId="77777777" w:rsidR="009C1C17" w:rsidRPr="00D62A0A" w:rsidRDefault="009C1C17" w:rsidP="007C7C37">
      <w:pPr>
        <w:tabs>
          <w:tab w:val="num" w:pos="1080"/>
        </w:tabs>
        <w:ind w:left="1134" w:hanging="425"/>
        <w:jc w:val="both"/>
        <w:rPr>
          <w:rFonts w:ascii="Garamond" w:hAnsi="Garamond"/>
          <w:b/>
          <w:iCs/>
        </w:rPr>
      </w:pPr>
    </w:p>
    <w:p w14:paraId="52FBFE40" w14:textId="77777777" w:rsidR="009C1C17" w:rsidRPr="00D62A0A" w:rsidRDefault="009C1C17" w:rsidP="007C7C37">
      <w:pPr>
        <w:tabs>
          <w:tab w:val="num" w:pos="1080"/>
        </w:tabs>
        <w:ind w:left="1134" w:hanging="425"/>
        <w:jc w:val="both"/>
        <w:rPr>
          <w:rFonts w:ascii="Garamond" w:hAnsi="Garamond"/>
          <w:b/>
          <w:iCs/>
        </w:rPr>
      </w:pPr>
      <w:r w:rsidRPr="00D62A0A">
        <w:rPr>
          <w:rFonts w:ascii="Garamond" w:hAnsi="Garamond"/>
          <w:b/>
          <w:iCs/>
        </w:rPr>
        <w:t xml:space="preserve">… </w:t>
      </w:r>
    </w:p>
    <w:p w14:paraId="2855B8D0" w14:textId="77777777" w:rsidR="009C1C17" w:rsidRPr="00D62A0A" w:rsidRDefault="009C1C17" w:rsidP="007C7C37">
      <w:pPr>
        <w:tabs>
          <w:tab w:val="num" w:pos="1080"/>
        </w:tabs>
        <w:ind w:left="1134" w:hanging="425"/>
        <w:jc w:val="both"/>
        <w:rPr>
          <w:rFonts w:ascii="Garamond" w:hAnsi="Garamond"/>
          <w:b/>
          <w:iCs/>
        </w:rPr>
      </w:pPr>
    </w:p>
    <w:p w14:paraId="7B9FDC0D" w14:textId="77777777" w:rsidR="009C1C17" w:rsidRPr="00D62A0A" w:rsidRDefault="009C1C17" w:rsidP="009C1C17">
      <w:pPr>
        <w:tabs>
          <w:tab w:val="num" w:pos="1080"/>
        </w:tabs>
        <w:ind w:left="1134" w:hanging="425"/>
        <w:jc w:val="both"/>
        <w:rPr>
          <w:rFonts w:ascii="Garamond" w:hAnsi="Garamond"/>
          <w:iCs/>
          <w:color w:val="000000" w:themeColor="text1"/>
        </w:rPr>
      </w:pPr>
      <w:r w:rsidRPr="00D62A0A">
        <w:rPr>
          <w:rFonts w:ascii="Garamond" w:hAnsi="Garamond"/>
          <w:iCs/>
        </w:rPr>
        <w:t>59</w:t>
      </w:r>
      <w:r w:rsidRPr="00D62A0A">
        <w:rPr>
          <w:rFonts w:ascii="Garamond" w:hAnsi="Garamond"/>
          <w:iCs/>
        </w:rPr>
        <w:tab/>
        <w:t xml:space="preserve"> … A judge of a superior court is immune from suit in respect of acts done in the performance of judicial duties and administrative </w:t>
      </w:r>
      <w:r w:rsidRPr="00D62A0A">
        <w:rPr>
          <w:rFonts w:ascii="Garamond" w:hAnsi="Garamond"/>
          <w:b/>
          <w:iCs/>
        </w:rPr>
        <w:t>functions intimately associated with judicial duties</w:t>
      </w:r>
      <w:r w:rsidRPr="00D62A0A">
        <w:rPr>
          <w:rFonts w:ascii="Garamond" w:hAnsi="Garamond"/>
          <w:iCs/>
        </w:rPr>
        <w:t>.</w:t>
      </w:r>
      <w:r w:rsidRPr="00D62A0A">
        <w:rPr>
          <w:rFonts w:ascii="Garamond" w:hAnsi="Garamond"/>
          <w:iCs/>
          <w:color w:val="000000" w:themeColor="text1"/>
        </w:rPr>
        <w:t xml:space="preserve"> From the cases cited above, it is clear that the immunity is an immunity from being personally sued and being held personally liable. The immunity also extends to protect a judge from being compelled to disclose any aspect of his or her decision-making process (but not the record upon which the judge acted insofar as it does not reveal any aspect of the decision-making process). Further, the immunity extends to the revelation, by whatever means (such as the evidence of another person or a subpoena to produce the judge’s notes), of any aspect of the judge’s decision-making process.</w:t>
      </w:r>
      <w:bookmarkStart w:id="3" w:name="fnB39"/>
      <w:bookmarkEnd w:id="3"/>
      <w:r w:rsidRPr="00D62A0A">
        <w:rPr>
          <w:rFonts w:ascii="Garamond" w:hAnsi="Garamond"/>
          <w:iCs/>
          <w:color w:val="000000" w:themeColor="text1"/>
        </w:rPr>
        <w:t xml:space="preserve"> </w:t>
      </w:r>
    </w:p>
    <w:p w14:paraId="3EC9CC6B" w14:textId="77777777" w:rsidR="009C1C17" w:rsidRPr="00D62A0A" w:rsidRDefault="009C1C17" w:rsidP="009C1C17">
      <w:pPr>
        <w:tabs>
          <w:tab w:val="num" w:pos="1080"/>
        </w:tabs>
        <w:jc w:val="both"/>
        <w:rPr>
          <w:rFonts w:ascii="Garamond" w:hAnsi="Garamond"/>
          <w:iCs/>
          <w:color w:val="000000" w:themeColor="text1"/>
        </w:rPr>
      </w:pPr>
    </w:p>
    <w:p w14:paraId="5EB3FBB6" w14:textId="77777777" w:rsidR="009C1C17" w:rsidRPr="00D62A0A" w:rsidRDefault="009C1C17" w:rsidP="009C1C17">
      <w:pPr>
        <w:tabs>
          <w:tab w:val="num" w:pos="1080"/>
        </w:tabs>
        <w:ind w:left="1134" w:hanging="425"/>
        <w:jc w:val="both"/>
        <w:rPr>
          <w:rFonts w:ascii="Garamond" w:hAnsi="Garamond"/>
          <w:iCs/>
          <w:color w:val="000000" w:themeColor="text1"/>
        </w:rPr>
      </w:pPr>
      <w:r w:rsidRPr="00D62A0A">
        <w:rPr>
          <w:rFonts w:ascii="Garamond" w:hAnsi="Garamond"/>
          <w:iCs/>
          <w:color w:val="000000" w:themeColor="text1"/>
        </w:rPr>
        <w:t xml:space="preserve">60   The State cannot be vicariously liable for a judge’s or other judicial officer’s acts falling within the immunity. This is not because the judge’s immunity extends to the State. Rather, it is because judicial officers, in performing acts falling within the immunity, are not acting as employees or agents of the State but as independent judicial officers.  </w:t>
      </w:r>
    </w:p>
    <w:p w14:paraId="39CC62F6" w14:textId="77777777" w:rsidR="009C1C17" w:rsidRPr="00D62A0A" w:rsidRDefault="009C1C17" w:rsidP="009C1C17">
      <w:pPr>
        <w:tabs>
          <w:tab w:val="num" w:pos="1080"/>
        </w:tabs>
        <w:ind w:left="1134" w:hanging="425"/>
        <w:jc w:val="both"/>
        <w:rPr>
          <w:rFonts w:ascii="Garamond" w:hAnsi="Garamond"/>
          <w:iCs/>
          <w:color w:val="000000" w:themeColor="text1"/>
        </w:rPr>
      </w:pPr>
    </w:p>
    <w:p w14:paraId="70FD5C25" w14:textId="77777777" w:rsidR="009C1C17" w:rsidRPr="00D62A0A" w:rsidRDefault="009C1C17" w:rsidP="009C1C17">
      <w:pPr>
        <w:tabs>
          <w:tab w:val="num" w:pos="1080"/>
        </w:tabs>
        <w:ind w:left="1134" w:hanging="425"/>
        <w:jc w:val="both"/>
        <w:rPr>
          <w:rFonts w:ascii="Garamond" w:hAnsi="Garamond"/>
          <w:iCs/>
          <w:color w:val="000000" w:themeColor="text1"/>
        </w:rPr>
      </w:pPr>
      <w:r w:rsidRPr="00D62A0A">
        <w:rPr>
          <w:rFonts w:ascii="Garamond" w:hAnsi="Garamond"/>
          <w:iCs/>
          <w:color w:val="000000" w:themeColor="text1"/>
        </w:rPr>
        <w:t>…</w:t>
      </w:r>
    </w:p>
    <w:p w14:paraId="42C4DD0B" w14:textId="77777777" w:rsidR="009C1C17" w:rsidRPr="00D62A0A" w:rsidRDefault="009C1C17" w:rsidP="009C1C17">
      <w:pPr>
        <w:tabs>
          <w:tab w:val="num" w:pos="1080"/>
        </w:tabs>
        <w:ind w:left="1134" w:hanging="425"/>
        <w:jc w:val="both"/>
        <w:rPr>
          <w:rFonts w:ascii="Garamond" w:hAnsi="Garamond"/>
          <w:iCs/>
        </w:rPr>
      </w:pPr>
      <w:r w:rsidRPr="00D62A0A">
        <w:rPr>
          <w:rFonts w:ascii="Garamond" w:hAnsi="Garamond"/>
          <w:iCs/>
        </w:rPr>
        <w:t>62     None of the cases on judicial immunity that have been referred to me have stated that the principle has the effect of converting an act which, in the absence of the immunity, would be a breach of the law, into an act that is not in breach of the law.</w:t>
      </w:r>
    </w:p>
    <w:p w14:paraId="1560D487" w14:textId="77777777" w:rsidR="007C7C37" w:rsidRPr="00D62A0A" w:rsidRDefault="007C7C37" w:rsidP="00BA0C64">
      <w:pPr>
        <w:tabs>
          <w:tab w:val="num" w:pos="1080"/>
        </w:tabs>
        <w:jc w:val="both"/>
        <w:rPr>
          <w:rFonts w:ascii="Garamond" w:hAnsi="Garamond"/>
          <w:iCs/>
        </w:rPr>
      </w:pPr>
    </w:p>
    <w:p w14:paraId="3EC5F73D" w14:textId="77777777" w:rsidR="002B1ED5" w:rsidRPr="001F021D" w:rsidRDefault="002B1ED5" w:rsidP="00E31175">
      <w:pPr>
        <w:pStyle w:val="ListParagraph"/>
        <w:ind w:left="305"/>
        <w:rPr>
          <w:rFonts w:ascii="Garamond" w:hAnsi="Garamond"/>
          <w:iCs/>
          <w:sz w:val="24"/>
          <w:szCs w:val="24"/>
        </w:rPr>
      </w:pPr>
    </w:p>
    <w:p w14:paraId="4BAAC1D7" w14:textId="77777777" w:rsidR="002B1ED5" w:rsidRPr="001F021D" w:rsidRDefault="00E31175" w:rsidP="00E31175">
      <w:pPr>
        <w:pStyle w:val="ListParagraph"/>
        <w:jc w:val="both"/>
        <w:rPr>
          <w:rFonts w:ascii="Garamond" w:hAnsi="Garamond"/>
          <w:iCs/>
          <w:sz w:val="24"/>
          <w:szCs w:val="24"/>
        </w:rPr>
      </w:pPr>
      <w:r w:rsidRPr="001F021D">
        <w:rPr>
          <w:rFonts w:ascii="Garamond" w:hAnsi="Garamond"/>
          <w:iCs/>
          <w:sz w:val="24"/>
          <w:szCs w:val="24"/>
        </w:rPr>
        <w:t xml:space="preserve">(emphasis added) </w:t>
      </w:r>
    </w:p>
    <w:p w14:paraId="70DB3769" w14:textId="77777777" w:rsidR="00E31175" w:rsidRPr="001F021D" w:rsidRDefault="00E31175" w:rsidP="00E31175">
      <w:pPr>
        <w:pStyle w:val="ListParagraph"/>
        <w:ind w:left="1135"/>
        <w:jc w:val="both"/>
        <w:rPr>
          <w:rFonts w:ascii="Garamond" w:hAnsi="Garamond"/>
          <w:iCs/>
          <w:sz w:val="24"/>
          <w:szCs w:val="24"/>
        </w:rPr>
      </w:pPr>
    </w:p>
    <w:p w14:paraId="24E99CF9" w14:textId="77777777" w:rsidR="007B4368" w:rsidRPr="001F021D" w:rsidRDefault="00E31175" w:rsidP="005C350E">
      <w:pPr>
        <w:pStyle w:val="ListParagraph"/>
        <w:numPr>
          <w:ilvl w:val="0"/>
          <w:numId w:val="1"/>
        </w:numPr>
        <w:jc w:val="both"/>
        <w:rPr>
          <w:rFonts w:ascii="Garamond" w:hAnsi="Garamond"/>
          <w:iCs/>
          <w:sz w:val="24"/>
          <w:szCs w:val="24"/>
        </w:rPr>
      </w:pPr>
      <w:r w:rsidRPr="001F021D">
        <w:rPr>
          <w:rFonts w:ascii="Garamond" w:hAnsi="Garamond"/>
          <w:iCs/>
          <w:sz w:val="24"/>
          <w:szCs w:val="24"/>
        </w:rPr>
        <w:t>The</w:t>
      </w:r>
      <w:r w:rsidR="00F51957" w:rsidRPr="001F021D">
        <w:rPr>
          <w:rFonts w:ascii="Garamond" w:hAnsi="Garamond"/>
          <w:iCs/>
          <w:sz w:val="24"/>
          <w:szCs w:val="24"/>
        </w:rPr>
        <w:t xml:space="preserve"> </w:t>
      </w:r>
      <w:r w:rsidR="00B03728" w:rsidRPr="001F021D">
        <w:rPr>
          <w:rFonts w:ascii="Garamond" w:hAnsi="Garamond"/>
          <w:iCs/>
          <w:sz w:val="24"/>
          <w:szCs w:val="24"/>
        </w:rPr>
        <w:t xml:space="preserve">exercise of judicial </w:t>
      </w:r>
      <w:r w:rsidR="00612FC5" w:rsidRPr="001F021D">
        <w:rPr>
          <w:rFonts w:ascii="Garamond" w:hAnsi="Garamond"/>
          <w:iCs/>
          <w:sz w:val="24"/>
          <w:szCs w:val="24"/>
        </w:rPr>
        <w:t xml:space="preserve">duties and </w:t>
      </w:r>
      <w:r w:rsidR="00B03728" w:rsidRPr="001F021D">
        <w:rPr>
          <w:rFonts w:ascii="Garamond" w:hAnsi="Garamond"/>
          <w:iCs/>
          <w:sz w:val="24"/>
          <w:szCs w:val="24"/>
        </w:rPr>
        <w:t xml:space="preserve">functions is likely to capture </w:t>
      </w:r>
      <w:r w:rsidR="00BA0C64" w:rsidRPr="001F021D">
        <w:rPr>
          <w:rFonts w:ascii="Garamond" w:hAnsi="Garamond"/>
          <w:iCs/>
          <w:sz w:val="24"/>
          <w:szCs w:val="24"/>
        </w:rPr>
        <w:t xml:space="preserve">the </w:t>
      </w:r>
      <w:r w:rsidR="006C652B" w:rsidRPr="001F021D">
        <w:rPr>
          <w:rFonts w:ascii="Garamond" w:hAnsi="Garamond"/>
          <w:iCs/>
          <w:sz w:val="24"/>
          <w:szCs w:val="24"/>
        </w:rPr>
        <w:t>work</w:t>
      </w:r>
      <w:r w:rsidR="00BA0C64" w:rsidRPr="001F021D">
        <w:rPr>
          <w:rFonts w:ascii="Garamond" w:hAnsi="Garamond"/>
          <w:iCs/>
          <w:sz w:val="24"/>
          <w:szCs w:val="24"/>
        </w:rPr>
        <w:t xml:space="preserve"> of judicial officers</w:t>
      </w:r>
      <w:r w:rsidR="006C652B" w:rsidRPr="001F021D">
        <w:rPr>
          <w:rFonts w:ascii="Garamond" w:hAnsi="Garamond"/>
          <w:iCs/>
          <w:sz w:val="24"/>
          <w:szCs w:val="24"/>
        </w:rPr>
        <w:t xml:space="preserve"> in </w:t>
      </w:r>
      <w:r w:rsidRPr="001F021D">
        <w:rPr>
          <w:rFonts w:ascii="Garamond" w:hAnsi="Garamond"/>
          <w:iCs/>
          <w:sz w:val="24"/>
          <w:szCs w:val="24"/>
        </w:rPr>
        <w:t xml:space="preserve">Court, </w:t>
      </w:r>
      <w:r w:rsidR="00DB4B71" w:rsidRPr="001F021D">
        <w:rPr>
          <w:rFonts w:ascii="Garamond" w:hAnsi="Garamond"/>
          <w:iCs/>
          <w:sz w:val="24"/>
          <w:szCs w:val="24"/>
        </w:rPr>
        <w:t>online or i</w:t>
      </w:r>
      <w:r w:rsidRPr="001F021D">
        <w:rPr>
          <w:rFonts w:ascii="Garamond" w:hAnsi="Garamond"/>
          <w:iCs/>
          <w:sz w:val="24"/>
          <w:szCs w:val="24"/>
        </w:rPr>
        <w:t xml:space="preserve">n </w:t>
      </w:r>
      <w:r w:rsidR="006C652B" w:rsidRPr="001F021D">
        <w:rPr>
          <w:rFonts w:ascii="Garamond" w:hAnsi="Garamond"/>
          <w:iCs/>
          <w:sz w:val="24"/>
          <w:szCs w:val="24"/>
        </w:rPr>
        <w:t>chambers</w:t>
      </w:r>
      <w:r w:rsidR="00C81A6A" w:rsidRPr="001F021D">
        <w:rPr>
          <w:rFonts w:ascii="Garamond" w:hAnsi="Garamond"/>
          <w:iCs/>
          <w:sz w:val="24"/>
          <w:szCs w:val="24"/>
        </w:rPr>
        <w:t xml:space="preserve">, including </w:t>
      </w:r>
      <w:r w:rsidR="00A018CF" w:rsidRPr="001F021D">
        <w:rPr>
          <w:rFonts w:ascii="Garamond" w:hAnsi="Garamond"/>
          <w:iCs/>
          <w:sz w:val="24"/>
          <w:szCs w:val="24"/>
        </w:rPr>
        <w:t>undertaking research and preparation of judgments</w:t>
      </w:r>
      <w:r w:rsidRPr="001F021D">
        <w:rPr>
          <w:rFonts w:ascii="Garamond" w:hAnsi="Garamond"/>
          <w:iCs/>
          <w:sz w:val="24"/>
          <w:szCs w:val="24"/>
        </w:rPr>
        <w:t xml:space="preserve">, on </w:t>
      </w:r>
      <w:r w:rsidR="009C1C17" w:rsidRPr="001F021D">
        <w:rPr>
          <w:rFonts w:ascii="Garamond" w:hAnsi="Garamond"/>
          <w:iCs/>
          <w:sz w:val="24"/>
          <w:szCs w:val="24"/>
        </w:rPr>
        <w:t>c</w:t>
      </w:r>
      <w:r w:rsidRPr="001F021D">
        <w:rPr>
          <w:rFonts w:ascii="Garamond" w:hAnsi="Garamond"/>
          <w:iCs/>
          <w:sz w:val="24"/>
          <w:szCs w:val="24"/>
        </w:rPr>
        <w:t xml:space="preserve">ircuit, attending educative programs or other </w:t>
      </w:r>
      <w:r w:rsidR="00612FC5" w:rsidRPr="001F021D">
        <w:rPr>
          <w:rFonts w:ascii="Garamond" w:hAnsi="Garamond"/>
          <w:iCs/>
          <w:sz w:val="24"/>
          <w:szCs w:val="24"/>
        </w:rPr>
        <w:t xml:space="preserve">related </w:t>
      </w:r>
      <w:r w:rsidRPr="001F021D">
        <w:rPr>
          <w:rFonts w:ascii="Garamond" w:hAnsi="Garamond"/>
          <w:iCs/>
          <w:sz w:val="24"/>
          <w:szCs w:val="24"/>
        </w:rPr>
        <w:t>administrative duties</w:t>
      </w:r>
      <w:r w:rsidR="00C81A6A" w:rsidRPr="001F021D">
        <w:rPr>
          <w:rFonts w:ascii="Garamond" w:hAnsi="Garamond"/>
          <w:iCs/>
          <w:sz w:val="24"/>
          <w:szCs w:val="24"/>
        </w:rPr>
        <w:t>.</w:t>
      </w:r>
      <w:r w:rsidRPr="001F021D">
        <w:rPr>
          <w:rFonts w:ascii="Garamond" w:hAnsi="Garamond"/>
          <w:iCs/>
          <w:sz w:val="24"/>
          <w:szCs w:val="24"/>
        </w:rPr>
        <w:t xml:space="preserve"> </w:t>
      </w:r>
    </w:p>
    <w:p w14:paraId="3137D09A" w14:textId="77777777" w:rsidR="00DB4B71" w:rsidRPr="001F021D" w:rsidRDefault="00DB4B71" w:rsidP="00DB4B71">
      <w:pPr>
        <w:pStyle w:val="ListParagraph"/>
        <w:ind w:left="360"/>
        <w:jc w:val="both"/>
        <w:rPr>
          <w:rFonts w:ascii="Garamond" w:hAnsi="Garamond"/>
          <w:iCs/>
          <w:sz w:val="24"/>
          <w:szCs w:val="24"/>
        </w:rPr>
      </w:pPr>
    </w:p>
    <w:p w14:paraId="454A7D1C" w14:textId="77777777" w:rsidR="00D67C6A" w:rsidRPr="001F021D" w:rsidRDefault="00DB4B71" w:rsidP="005C350E">
      <w:pPr>
        <w:pStyle w:val="ListParagraph"/>
        <w:numPr>
          <w:ilvl w:val="0"/>
          <w:numId w:val="1"/>
        </w:numPr>
        <w:jc w:val="both"/>
        <w:rPr>
          <w:rFonts w:ascii="Garamond" w:hAnsi="Garamond"/>
          <w:iCs/>
          <w:sz w:val="24"/>
          <w:szCs w:val="24"/>
        </w:rPr>
      </w:pPr>
      <w:r w:rsidRPr="001F021D">
        <w:rPr>
          <w:rFonts w:ascii="Garamond" w:hAnsi="Garamond"/>
          <w:iCs/>
          <w:sz w:val="24"/>
          <w:szCs w:val="24"/>
        </w:rPr>
        <w:t>However, the immunity</w:t>
      </w:r>
      <w:r w:rsidR="005C7DAC" w:rsidRPr="001F021D">
        <w:rPr>
          <w:rFonts w:ascii="Garamond" w:hAnsi="Garamond"/>
          <w:iCs/>
          <w:sz w:val="24"/>
          <w:szCs w:val="24"/>
        </w:rPr>
        <w:t xml:space="preserve"> is</w:t>
      </w:r>
      <w:r w:rsidRPr="001F021D">
        <w:rPr>
          <w:rFonts w:ascii="Garamond" w:hAnsi="Garamond"/>
          <w:iCs/>
          <w:sz w:val="24"/>
          <w:szCs w:val="24"/>
        </w:rPr>
        <w:t xml:space="preserve"> not </w:t>
      </w:r>
      <w:r w:rsidR="005C7DAC" w:rsidRPr="001F021D">
        <w:rPr>
          <w:rFonts w:ascii="Garamond" w:hAnsi="Garamond"/>
          <w:iCs/>
          <w:sz w:val="24"/>
          <w:szCs w:val="24"/>
        </w:rPr>
        <w:t xml:space="preserve">likely to protect the judicial officer, even in those settings, from </w:t>
      </w:r>
      <w:r w:rsidRPr="001F021D">
        <w:rPr>
          <w:rFonts w:ascii="Garamond" w:hAnsi="Garamond"/>
          <w:iCs/>
          <w:sz w:val="24"/>
          <w:szCs w:val="24"/>
        </w:rPr>
        <w:t xml:space="preserve">proceedings for </w:t>
      </w:r>
      <w:r w:rsidR="009978D8" w:rsidRPr="001F021D">
        <w:rPr>
          <w:rFonts w:ascii="Garamond" w:hAnsi="Garamond"/>
          <w:iCs/>
          <w:sz w:val="24"/>
          <w:szCs w:val="24"/>
        </w:rPr>
        <w:t xml:space="preserve">unlawful conduct including </w:t>
      </w:r>
      <w:r w:rsidR="005C7DAC" w:rsidRPr="001F021D">
        <w:rPr>
          <w:rFonts w:ascii="Garamond" w:hAnsi="Garamond"/>
          <w:iCs/>
          <w:sz w:val="24"/>
          <w:szCs w:val="24"/>
        </w:rPr>
        <w:t>sexual harassment</w:t>
      </w:r>
      <w:r w:rsidR="007B4368" w:rsidRPr="001F021D">
        <w:rPr>
          <w:rFonts w:ascii="Garamond" w:hAnsi="Garamond"/>
          <w:iCs/>
          <w:sz w:val="24"/>
          <w:szCs w:val="24"/>
        </w:rPr>
        <w:t xml:space="preserve">. It is difficult to imagine a situation where a judicial officer might successfully claim that they were performing judicial duties </w:t>
      </w:r>
      <w:r w:rsidRPr="001F021D">
        <w:rPr>
          <w:rFonts w:ascii="Garamond" w:hAnsi="Garamond"/>
          <w:iCs/>
          <w:sz w:val="24"/>
          <w:szCs w:val="24"/>
        </w:rPr>
        <w:t xml:space="preserve">or functions </w:t>
      </w:r>
      <w:r w:rsidR="00E60D03" w:rsidRPr="001F021D">
        <w:rPr>
          <w:rFonts w:ascii="Garamond" w:hAnsi="Garamond"/>
          <w:iCs/>
          <w:sz w:val="24"/>
          <w:szCs w:val="24"/>
        </w:rPr>
        <w:t xml:space="preserve">whilst sexually harassing another person </w:t>
      </w:r>
      <w:r w:rsidR="007B4368" w:rsidRPr="001F021D">
        <w:rPr>
          <w:rFonts w:ascii="Garamond" w:hAnsi="Garamond"/>
          <w:iCs/>
          <w:sz w:val="24"/>
          <w:szCs w:val="24"/>
        </w:rPr>
        <w:t>except in a contextual sense</w:t>
      </w:r>
      <w:r w:rsidR="00E60D03" w:rsidRPr="001F021D">
        <w:rPr>
          <w:rFonts w:ascii="Garamond" w:hAnsi="Garamond"/>
          <w:iCs/>
          <w:sz w:val="24"/>
          <w:szCs w:val="24"/>
        </w:rPr>
        <w:t xml:space="preserve">, as in the case of unwelcome sexual conduct by way of staring or leering, suggestive comments, questions or jokes, or comments about a person’s body for example. </w:t>
      </w:r>
    </w:p>
    <w:p w14:paraId="55AE7ADB" w14:textId="77777777" w:rsidR="004F0A74" w:rsidRPr="001F021D" w:rsidRDefault="004F0A74" w:rsidP="00D93DC2">
      <w:pPr>
        <w:jc w:val="both"/>
        <w:rPr>
          <w:rFonts w:ascii="Garamond" w:hAnsi="Garamond"/>
          <w:sz w:val="24"/>
          <w:szCs w:val="24"/>
        </w:rPr>
      </w:pPr>
    </w:p>
    <w:p w14:paraId="21ABFBAD" w14:textId="77777777" w:rsidR="00AF7593" w:rsidRPr="001F021D" w:rsidRDefault="00D93DC2" w:rsidP="005C350E">
      <w:pPr>
        <w:pStyle w:val="ListParagraph"/>
        <w:numPr>
          <w:ilvl w:val="0"/>
          <w:numId w:val="1"/>
        </w:numPr>
        <w:jc w:val="both"/>
        <w:rPr>
          <w:rFonts w:ascii="Garamond" w:hAnsi="Garamond"/>
          <w:sz w:val="24"/>
          <w:szCs w:val="24"/>
        </w:rPr>
      </w:pPr>
      <w:r w:rsidRPr="001F021D">
        <w:rPr>
          <w:rFonts w:ascii="Garamond" w:hAnsi="Garamond"/>
          <w:iCs/>
          <w:sz w:val="24"/>
          <w:szCs w:val="24"/>
        </w:rPr>
        <w:t>E</w:t>
      </w:r>
      <w:r w:rsidR="008A4C2E" w:rsidRPr="001F021D">
        <w:rPr>
          <w:rFonts w:ascii="Garamond" w:hAnsi="Garamond"/>
          <w:iCs/>
          <w:sz w:val="24"/>
          <w:szCs w:val="24"/>
        </w:rPr>
        <w:t>ven if the i</w:t>
      </w:r>
      <w:r w:rsidR="000C79C7" w:rsidRPr="001F021D">
        <w:rPr>
          <w:rFonts w:ascii="Garamond" w:hAnsi="Garamond"/>
          <w:iCs/>
          <w:sz w:val="24"/>
          <w:szCs w:val="24"/>
        </w:rPr>
        <w:t>m</w:t>
      </w:r>
      <w:r w:rsidR="008A4C2E" w:rsidRPr="001F021D">
        <w:rPr>
          <w:rFonts w:ascii="Garamond" w:hAnsi="Garamond"/>
          <w:iCs/>
          <w:sz w:val="24"/>
          <w:szCs w:val="24"/>
        </w:rPr>
        <w:t>munity does apply to conduct which might be said to contrav</w:t>
      </w:r>
      <w:r w:rsidR="00B92181" w:rsidRPr="001F021D">
        <w:rPr>
          <w:rFonts w:ascii="Garamond" w:hAnsi="Garamond"/>
          <w:iCs/>
          <w:sz w:val="24"/>
          <w:szCs w:val="24"/>
        </w:rPr>
        <w:t>ene the EO Act</w:t>
      </w:r>
      <w:r w:rsidR="008A4C2E" w:rsidRPr="001F021D">
        <w:rPr>
          <w:rFonts w:ascii="Garamond" w:hAnsi="Garamond"/>
          <w:iCs/>
          <w:sz w:val="24"/>
          <w:szCs w:val="24"/>
        </w:rPr>
        <w:t xml:space="preserve">, </w:t>
      </w:r>
      <w:r w:rsidR="00574FC4" w:rsidRPr="001F021D">
        <w:rPr>
          <w:rFonts w:ascii="Garamond" w:hAnsi="Garamond"/>
          <w:iCs/>
          <w:sz w:val="24"/>
          <w:szCs w:val="24"/>
        </w:rPr>
        <w:t xml:space="preserve">it was held </w:t>
      </w:r>
      <w:r w:rsidR="00771094" w:rsidRPr="001F021D">
        <w:rPr>
          <w:rFonts w:ascii="Garamond" w:hAnsi="Garamond"/>
          <w:iCs/>
          <w:sz w:val="24"/>
          <w:szCs w:val="24"/>
        </w:rPr>
        <w:t xml:space="preserve">in </w:t>
      </w:r>
      <w:r w:rsidR="00771094" w:rsidRPr="001F021D">
        <w:rPr>
          <w:rFonts w:ascii="Garamond" w:hAnsi="Garamond"/>
          <w:i/>
          <w:sz w:val="24"/>
          <w:szCs w:val="24"/>
        </w:rPr>
        <w:t>To</w:t>
      </w:r>
      <w:r w:rsidR="001A3579" w:rsidRPr="001F021D">
        <w:rPr>
          <w:rFonts w:ascii="Garamond" w:hAnsi="Garamond"/>
          <w:i/>
          <w:sz w:val="24"/>
          <w:szCs w:val="24"/>
        </w:rPr>
        <w:t>wie</w:t>
      </w:r>
      <w:r w:rsidR="001A3579" w:rsidRPr="001F021D">
        <w:rPr>
          <w:rFonts w:ascii="Garamond" w:hAnsi="Garamond"/>
          <w:sz w:val="24"/>
          <w:szCs w:val="24"/>
        </w:rPr>
        <w:t xml:space="preserve"> </w:t>
      </w:r>
      <w:r w:rsidR="00574FC4" w:rsidRPr="001F021D">
        <w:rPr>
          <w:rFonts w:ascii="Garamond" w:hAnsi="Garamond"/>
          <w:sz w:val="24"/>
          <w:szCs w:val="24"/>
        </w:rPr>
        <w:t>tha</w:t>
      </w:r>
      <w:r w:rsidR="00AF7593" w:rsidRPr="001F021D">
        <w:rPr>
          <w:rFonts w:ascii="Garamond" w:hAnsi="Garamond"/>
          <w:sz w:val="24"/>
          <w:szCs w:val="24"/>
        </w:rPr>
        <w:t>t</w:t>
      </w:r>
      <w:r w:rsidR="000C79C7" w:rsidRPr="001F021D">
        <w:rPr>
          <w:rFonts w:ascii="Garamond" w:hAnsi="Garamond"/>
          <w:sz w:val="24"/>
          <w:szCs w:val="24"/>
        </w:rPr>
        <w:t xml:space="preserve"> </w:t>
      </w:r>
      <w:r w:rsidR="00F12076" w:rsidRPr="001F021D">
        <w:rPr>
          <w:rFonts w:ascii="Garamond" w:hAnsi="Garamond"/>
          <w:sz w:val="24"/>
          <w:szCs w:val="24"/>
        </w:rPr>
        <w:t>the immunity</w:t>
      </w:r>
      <w:r w:rsidR="00403B9F" w:rsidRPr="001F021D">
        <w:rPr>
          <w:rFonts w:ascii="Garamond" w:hAnsi="Garamond"/>
          <w:sz w:val="24"/>
          <w:szCs w:val="24"/>
        </w:rPr>
        <w:t xml:space="preserve"> d</w:t>
      </w:r>
      <w:r w:rsidR="000C79C7" w:rsidRPr="001F021D">
        <w:rPr>
          <w:rFonts w:ascii="Garamond" w:hAnsi="Garamond"/>
          <w:sz w:val="24"/>
          <w:szCs w:val="24"/>
        </w:rPr>
        <w:t>oes</w:t>
      </w:r>
      <w:r w:rsidR="00F12076" w:rsidRPr="001F021D">
        <w:rPr>
          <w:rFonts w:ascii="Garamond" w:hAnsi="Garamond"/>
          <w:sz w:val="24"/>
          <w:szCs w:val="24"/>
        </w:rPr>
        <w:t xml:space="preserve"> not negate the existence of a contravention of a law</w:t>
      </w:r>
      <w:r w:rsidR="006619F8" w:rsidRPr="001F021D">
        <w:rPr>
          <w:rFonts w:ascii="Garamond" w:hAnsi="Garamond"/>
          <w:sz w:val="24"/>
          <w:szCs w:val="24"/>
        </w:rPr>
        <w:t>.</w:t>
      </w:r>
      <w:r w:rsidR="004004B1" w:rsidRPr="001F021D">
        <w:rPr>
          <w:rFonts w:ascii="Garamond" w:hAnsi="Garamond"/>
          <w:sz w:val="24"/>
          <w:szCs w:val="24"/>
        </w:rPr>
        <w:t xml:space="preserve">  That is, the behaviour will remain unlawful, regardless of whether </w:t>
      </w:r>
      <w:r w:rsidR="00256BC0" w:rsidRPr="001F021D">
        <w:rPr>
          <w:rFonts w:ascii="Garamond" w:hAnsi="Garamond"/>
          <w:sz w:val="24"/>
          <w:szCs w:val="24"/>
        </w:rPr>
        <w:t xml:space="preserve">or not </w:t>
      </w:r>
      <w:r w:rsidR="004004B1" w:rsidRPr="001F021D">
        <w:rPr>
          <w:rFonts w:ascii="Garamond" w:hAnsi="Garamond"/>
          <w:sz w:val="24"/>
          <w:szCs w:val="24"/>
        </w:rPr>
        <w:t xml:space="preserve">the remedies </w:t>
      </w:r>
      <w:r w:rsidR="00256BC0" w:rsidRPr="001F021D">
        <w:rPr>
          <w:rFonts w:ascii="Garamond" w:hAnsi="Garamond"/>
          <w:sz w:val="24"/>
          <w:szCs w:val="24"/>
        </w:rPr>
        <w:t>under the EO Act are available.  A</w:t>
      </w:r>
      <w:r w:rsidR="00B92181" w:rsidRPr="001F021D">
        <w:rPr>
          <w:rFonts w:ascii="Garamond" w:hAnsi="Garamond"/>
          <w:sz w:val="24"/>
          <w:szCs w:val="24"/>
        </w:rPr>
        <w:t>s such, a</w:t>
      </w:r>
      <w:r w:rsidR="000C79C7" w:rsidRPr="001F021D">
        <w:rPr>
          <w:rFonts w:ascii="Garamond" w:hAnsi="Garamond"/>
          <w:sz w:val="24"/>
          <w:szCs w:val="24"/>
        </w:rPr>
        <w:t>n allegation</w:t>
      </w:r>
      <w:r w:rsidR="00256BC0" w:rsidRPr="001F021D">
        <w:rPr>
          <w:rFonts w:ascii="Garamond" w:hAnsi="Garamond"/>
          <w:sz w:val="24"/>
          <w:szCs w:val="24"/>
        </w:rPr>
        <w:t xml:space="preserve"> of a contravention of the EO Act </w:t>
      </w:r>
      <w:r w:rsidR="000C79C7" w:rsidRPr="001F021D">
        <w:rPr>
          <w:rFonts w:ascii="Garamond" w:hAnsi="Garamond"/>
          <w:sz w:val="24"/>
          <w:szCs w:val="24"/>
        </w:rPr>
        <w:t>will</w:t>
      </w:r>
      <w:r w:rsidR="00256BC0" w:rsidRPr="001F021D">
        <w:rPr>
          <w:rFonts w:ascii="Garamond" w:hAnsi="Garamond"/>
          <w:sz w:val="24"/>
          <w:szCs w:val="24"/>
        </w:rPr>
        <w:t xml:space="preserve"> </w:t>
      </w:r>
      <w:r w:rsidR="00C71838" w:rsidRPr="001F021D">
        <w:rPr>
          <w:rFonts w:ascii="Garamond" w:hAnsi="Garamond"/>
          <w:sz w:val="24"/>
          <w:szCs w:val="24"/>
        </w:rPr>
        <w:t xml:space="preserve">permit </w:t>
      </w:r>
      <w:r w:rsidR="00F06499" w:rsidRPr="001F021D">
        <w:rPr>
          <w:rFonts w:ascii="Garamond" w:hAnsi="Garamond"/>
          <w:sz w:val="24"/>
          <w:szCs w:val="24"/>
        </w:rPr>
        <w:t>a complaint to be made to the JCV</w:t>
      </w:r>
      <w:r w:rsidR="00CB654C" w:rsidRPr="001F021D">
        <w:rPr>
          <w:rFonts w:ascii="Garamond" w:hAnsi="Garamond"/>
          <w:sz w:val="24"/>
          <w:szCs w:val="24"/>
        </w:rPr>
        <w:t>.</w:t>
      </w:r>
    </w:p>
    <w:p w14:paraId="5DE2E6B3" w14:textId="77777777" w:rsidR="00C27A1E" w:rsidRPr="001F021D" w:rsidRDefault="00C27A1E" w:rsidP="00C27A1E">
      <w:pPr>
        <w:pStyle w:val="ListParagraph"/>
        <w:rPr>
          <w:rFonts w:ascii="Garamond" w:hAnsi="Garamond"/>
          <w:sz w:val="24"/>
          <w:szCs w:val="24"/>
        </w:rPr>
      </w:pPr>
    </w:p>
    <w:p w14:paraId="64B94C79" w14:textId="77777777" w:rsidR="00C27A1E" w:rsidRPr="001F021D" w:rsidRDefault="00C27A1E" w:rsidP="00C27A1E">
      <w:pPr>
        <w:pStyle w:val="ListParagraph"/>
        <w:ind w:left="360"/>
        <w:jc w:val="both"/>
        <w:rPr>
          <w:rFonts w:ascii="Garamond" w:hAnsi="Garamond"/>
          <w:sz w:val="24"/>
          <w:szCs w:val="24"/>
        </w:rPr>
      </w:pPr>
    </w:p>
    <w:p w14:paraId="33B7A9EE" w14:textId="77777777" w:rsidR="00EF076C" w:rsidRPr="001F021D" w:rsidRDefault="00C27A1E" w:rsidP="00DD268D">
      <w:pPr>
        <w:pStyle w:val="ListParagraph"/>
        <w:ind w:left="0"/>
        <w:jc w:val="both"/>
        <w:rPr>
          <w:rFonts w:ascii="Garamond" w:hAnsi="Garamond"/>
          <w:b/>
          <w:i/>
          <w:sz w:val="24"/>
          <w:szCs w:val="24"/>
        </w:rPr>
      </w:pPr>
      <w:r w:rsidRPr="001F021D">
        <w:rPr>
          <w:rFonts w:ascii="Garamond" w:hAnsi="Garamond"/>
          <w:b/>
          <w:i/>
          <w:sz w:val="24"/>
          <w:szCs w:val="24"/>
        </w:rPr>
        <w:t>Liability of Person who authorises or assists</w:t>
      </w:r>
    </w:p>
    <w:p w14:paraId="27FEDF7C" w14:textId="77777777" w:rsidR="00DD268D" w:rsidRPr="001F021D" w:rsidRDefault="00DD268D" w:rsidP="005C350E">
      <w:pPr>
        <w:pStyle w:val="ListParagraph"/>
        <w:numPr>
          <w:ilvl w:val="0"/>
          <w:numId w:val="1"/>
        </w:numPr>
        <w:jc w:val="both"/>
        <w:rPr>
          <w:rFonts w:ascii="Garamond" w:hAnsi="Garamond"/>
          <w:iCs/>
          <w:sz w:val="24"/>
          <w:szCs w:val="24"/>
        </w:rPr>
      </w:pPr>
      <w:r w:rsidRPr="001F021D">
        <w:rPr>
          <w:rFonts w:ascii="Garamond" w:hAnsi="Garamond"/>
          <w:sz w:val="24"/>
          <w:szCs w:val="24"/>
        </w:rPr>
        <w:t>I am asked</w:t>
      </w:r>
      <w:r w:rsidR="003D05CB" w:rsidRPr="001F021D">
        <w:rPr>
          <w:rFonts w:ascii="Garamond" w:hAnsi="Garamond"/>
          <w:sz w:val="24"/>
          <w:szCs w:val="24"/>
        </w:rPr>
        <w:t xml:space="preserve"> </w:t>
      </w:r>
      <w:r w:rsidR="00D93DC2" w:rsidRPr="001F021D">
        <w:rPr>
          <w:rFonts w:ascii="Garamond" w:hAnsi="Garamond"/>
          <w:sz w:val="24"/>
          <w:szCs w:val="24"/>
        </w:rPr>
        <w:t>to consider the operation of</w:t>
      </w:r>
      <w:r w:rsidR="00E31175" w:rsidRPr="001F021D">
        <w:rPr>
          <w:rFonts w:ascii="Garamond" w:hAnsi="Garamond"/>
          <w:sz w:val="24"/>
          <w:szCs w:val="24"/>
        </w:rPr>
        <w:t xml:space="preserve"> s</w:t>
      </w:r>
      <w:r w:rsidR="00B279BA" w:rsidRPr="001F021D">
        <w:rPr>
          <w:rFonts w:ascii="Garamond" w:hAnsi="Garamond"/>
          <w:sz w:val="24"/>
          <w:szCs w:val="24"/>
        </w:rPr>
        <w:t xml:space="preserve">s 105 </w:t>
      </w:r>
      <w:r w:rsidR="00A90145" w:rsidRPr="001F021D">
        <w:rPr>
          <w:rFonts w:ascii="Garamond" w:hAnsi="Garamond"/>
          <w:sz w:val="24"/>
          <w:szCs w:val="24"/>
        </w:rPr>
        <w:t xml:space="preserve">or 109 </w:t>
      </w:r>
      <w:r w:rsidRPr="001F021D">
        <w:rPr>
          <w:rFonts w:ascii="Garamond" w:hAnsi="Garamond"/>
          <w:sz w:val="24"/>
          <w:szCs w:val="24"/>
        </w:rPr>
        <w:t>of</w:t>
      </w:r>
      <w:r w:rsidR="00E31175" w:rsidRPr="001F021D">
        <w:rPr>
          <w:rFonts w:ascii="Garamond" w:hAnsi="Garamond"/>
          <w:sz w:val="24"/>
          <w:szCs w:val="24"/>
        </w:rPr>
        <w:t xml:space="preserve"> </w:t>
      </w:r>
      <w:r w:rsidR="00E31175" w:rsidRPr="001F021D">
        <w:rPr>
          <w:rFonts w:ascii="Garamond" w:hAnsi="Garamond"/>
          <w:iCs/>
          <w:sz w:val="24"/>
          <w:szCs w:val="24"/>
        </w:rPr>
        <w:t>the EO Act</w:t>
      </w:r>
      <w:r w:rsidRPr="001F021D">
        <w:rPr>
          <w:rFonts w:ascii="Garamond" w:hAnsi="Garamond"/>
          <w:iCs/>
          <w:sz w:val="24"/>
          <w:szCs w:val="24"/>
        </w:rPr>
        <w:t xml:space="preserve">. </w:t>
      </w:r>
    </w:p>
    <w:p w14:paraId="77D07195" w14:textId="77777777" w:rsidR="00DD268D" w:rsidRPr="001F021D" w:rsidRDefault="00DD268D" w:rsidP="00DD268D">
      <w:pPr>
        <w:pStyle w:val="ListParagraph"/>
        <w:ind w:left="360"/>
        <w:jc w:val="both"/>
        <w:rPr>
          <w:rFonts w:ascii="Garamond" w:hAnsi="Garamond"/>
          <w:iCs/>
          <w:sz w:val="24"/>
          <w:szCs w:val="24"/>
        </w:rPr>
      </w:pPr>
    </w:p>
    <w:p w14:paraId="12A263A8" w14:textId="77777777" w:rsidR="00E31175" w:rsidRPr="001F021D" w:rsidRDefault="00DD268D" w:rsidP="005C350E">
      <w:pPr>
        <w:pStyle w:val="ListParagraph"/>
        <w:numPr>
          <w:ilvl w:val="0"/>
          <w:numId w:val="1"/>
        </w:numPr>
        <w:jc w:val="both"/>
        <w:rPr>
          <w:rFonts w:ascii="Garamond" w:hAnsi="Garamond"/>
          <w:iCs/>
          <w:sz w:val="24"/>
          <w:szCs w:val="24"/>
        </w:rPr>
      </w:pPr>
      <w:r w:rsidRPr="001F021D">
        <w:rPr>
          <w:rFonts w:ascii="Garamond" w:hAnsi="Garamond"/>
          <w:iCs/>
          <w:sz w:val="24"/>
          <w:szCs w:val="24"/>
        </w:rPr>
        <w:t>The EO Act</w:t>
      </w:r>
      <w:r w:rsidR="00E31175" w:rsidRPr="001F021D">
        <w:rPr>
          <w:rFonts w:ascii="Garamond" w:hAnsi="Garamond"/>
          <w:iCs/>
          <w:sz w:val="24"/>
          <w:szCs w:val="24"/>
        </w:rPr>
        <w:t xml:space="preserve"> provides:</w:t>
      </w:r>
    </w:p>
    <w:p w14:paraId="7AD5E7B0" w14:textId="77777777" w:rsidR="00E31175" w:rsidRPr="001F021D" w:rsidRDefault="00E31175" w:rsidP="00E31175">
      <w:pPr>
        <w:jc w:val="both"/>
        <w:rPr>
          <w:rFonts w:ascii="Garamond" w:hAnsi="Garamond"/>
          <w:iCs/>
          <w:sz w:val="24"/>
          <w:szCs w:val="24"/>
        </w:rPr>
      </w:pPr>
    </w:p>
    <w:p w14:paraId="7B264BF6" w14:textId="77777777" w:rsidR="00E31175" w:rsidRPr="00D62A0A" w:rsidRDefault="00E31175" w:rsidP="00E31175">
      <w:pPr>
        <w:ind w:left="360"/>
        <w:jc w:val="both"/>
        <w:rPr>
          <w:rFonts w:ascii="Garamond" w:hAnsi="Garamond"/>
          <w:b/>
          <w:iCs/>
          <w:lang w:val="en-US"/>
        </w:rPr>
      </w:pPr>
      <w:bookmarkStart w:id="4" w:name="_Toc426464609"/>
      <w:r w:rsidRPr="00D62A0A">
        <w:rPr>
          <w:rFonts w:ascii="Garamond" w:hAnsi="Garamond"/>
          <w:b/>
          <w:iCs/>
          <w:lang w:val="en-US"/>
        </w:rPr>
        <w:t>105</w:t>
      </w:r>
      <w:r w:rsidRPr="00D62A0A">
        <w:rPr>
          <w:rFonts w:ascii="Garamond" w:hAnsi="Garamond"/>
          <w:b/>
          <w:iCs/>
          <w:lang w:val="en-US"/>
        </w:rPr>
        <w:tab/>
        <w:t>Prohibition of authorising or assisting discrimination</w:t>
      </w:r>
      <w:bookmarkEnd w:id="4"/>
    </w:p>
    <w:p w14:paraId="073D147B" w14:textId="77777777" w:rsidR="00A90145" w:rsidRPr="00D62A0A" w:rsidRDefault="00A90145" w:rsidP="00E31175">
      <w:pPr>
        <w:ind w:left="720"/>
        <w:jc w:val="both"/>
        <w:rPr>
          <w:rFonts w:ascii="Garamond" w:hAnsi="Garamond"/>
          <w:iCs/>
          <w:lang w:val="en-US"/>
        </w:rPr>
      </w:pPr>
    </w:p>
    <w:p w14:paraId="4D476CC1" w14:textId="77777777" w:rsidR="00E31175" w:rsidRPr="00D62A0A" w:rsidRDefault="00E31175" w:rsidP="00E31175">
      <w:pPr>
        <w:ind w:left="720"/>
        <w:jc w:val="both"/>
        <w:rPr>
          <w:rFonts w:ascii="Garamond" w:hAnsi="Garamond"/>
          <w:iCs/>
        </w:rPr>
      </w:pPr>
      <w:r w:rsidRPr="00D62A0A">
        <w:rPr>
          <w:rFonts w:ascii="Garamond" w:hAnsi="Garamond"/>
          <w:iCs/>
          <w:lang w:val="en-US"/>
        </w:rPr>
        <w:t>A person must not request, instruct, induce, encourage, authorise or assist another person to contravene a provision of Part 4 or 6 or this Part</w:t>
      </w:r>
    </w:p>
    <w:p w14:paraId="4823F92F" w14:textId="77777777" w:rsidR="00E31175" w:rsidRPr="00D62A0A" w:rsidRDefault="00E31175" w:rsidP="00E31175">
      <w:pPr>
        <w:jc w:val="both"/>
        <w:rPr>
          <w:rFonts w:ascii="Garamond" w:hAnsi="Garamond"/>
          <w:iCs/>
        </w:rPr>
      </w:pPr>
    </w:p>
    <w:p w14:paraId="271B6E72" w14:textId="77777777" w:rsidR="00E31175" w:rsidRPr="00D62A0A" w:rsidRDefault="00E31175" w:rsidP="00E31175">
      <w:pPr>
        <w:ind w:left="360"/>
        <w:jc w:val="both"/>
        <w:rPr>
          <w:rFonts w:ascii="Garamond" w:hAnsi="Garamond"/>
          <w:b/>
          <w:iCs/>
          <w:lang w:val="en-US"/>
        </w:rPr>
      </w:pPr>
      <w:bookmarkStart w:id="5" w:name="_Toc426464610"/>
      <w:r w:rsidRPr="00D62A0A">
        <w:rPr>
          <w:rFonts w:ascii="Garamond" w:hAnsi="Garamond"/>
          <w:b/>
          <w:iCs/>
          <w:lang w:val="en-US"/>
        </w:rPr>
        <w:t>106</w:t>
      </w:r>
      <w:r w:rsidRPr="00D62A0A">
        <w:rPr>
          <w:rFonts w:ascii="Garamond" w:hAnsi="Garamond"/>
          <w:b/>
          <w:iCs/>
          <w:lang w:val="en-US"/>
        </w:rPr>
        <w:tab/>
        <w:t>Liability of person who authorises or assists</w:t>
      </w:r>
      <w:bookmarkEnd w:id="5"/>
    </w:p>
    <w:p w14:paraId="6268D43E" w14:textId="77777777" w:rsidR="00A90145" w:rsidRPr="00D62A0A" w:rsidRDefault="00A90145" w:rsidP="00E31175">
      <w:pPr>
        <w:ind w:left="720"/>
        <w:jc w:val="both"/>
        <w:rPr>
          <w:rFonts w:ascii="Garamond" w:hAnsi="Garamond"/>
          <w:iCs/>
          <w:lang w:val="en-US"/>
        </w:rPr>
      </w:pPr>
    </w:p>
    <w:p w14:paraId="6AA33DA4" w14:textId="77777777" w:rsidR="00E31175" w:rsidRPr="00D62A0A" w:rsidRDefault="00E31175" w:rsidP="00E31175">
      <w:pPr>
        <w:ind w:left="720"/>
        <w:jc w:val="both"/>
        <w:rPr>
          <w:rFonts w:ascii="Garamond" w:hAnsi="Garamond"/>
          <w:iCs/>
          <w:lang w:val="en-US"/>
        </w:rPr>
      </w:pPr>
      <w:r w:rsidRPr="00D62A0A">
        <w:rPr>
          <w:rFonts w:ascii="Garamond" w:hAnsi="Garamond"/>
          <w:iCs/>
          <w:lang w:val="en-US"/>
        </w:rPr>
        <w:t>If, as a result of a person doing any of the things specified in section 105, the other person contravenes a provision of Part 4 or 6 or this Part, a person may—</w:t>
      </w:r>
    </w:p>
    <w:p w14:paraId="1380A4BB" w14:textId="77777777" w:rsidR="00E31175" w:rsidRPr="00D62A0A" w:rsidRDefault="00E31175" w:rsidP="00E31175">
      <w:pPr>
        <w:ind w:left="720"/>
        <w:jc w:val="both"/>
        <w:rPr>
          <w:rFonts w:ascii="Garamond" w:hAnsi="Garamond"/>
          <w:iCs/>
          <w:lang w:val="en-US"/>
        </w:rPr>
      </w:pPr>
    </w:p>
    <w:p w14:paraId="493C5FD7" w14:textId="77777777" w:rsidR="00E31175" w:rsidRPr="00D62A0A" w:rsidRDefault="00E31175" w:rsidP="00E31175">
      <w:pPr>
        <w:ind w:left="720"/>
        <w:jc w:val="both"/>
        <w:rPr>
          <w:rFonts w:ascii="Garamond" w:hAnsi="Garamond"/>
          <w:iCs/>
          <w:lang w:val="en-US"/>
        </w:rPr>
      </w:pPr>
      <w:r w:rsidRPr="00D62A0A">
        <w:rPr>
          <w:rFonts w:ascii="Garamond" w:hAnsi="Garamond"/>
          <w:iCs/>
          <w:lang w:val="en-US"/>
        </w:rPr>
        <w:tab/>
        <w:t>(a)</w:t>
      </w:r>
      <w:r w:rsidRPr="00D62A0A">
        <w:rPr>
          <w:rFonts w:ascii="Garamond" w:hAnsi="Garamond"/>
          <w:iCs/>
          <w:lang w:val="en-US"/>
        </w:rPr>
        <w:tab/>
        <w:t xml:space="preserve">bring a dispute to the </w:t>
      </w:r>
      <w:r w:rsidRPr="00D62A0A">
        <w:rPr>
          <w:rFonts w:ascii="Garamond" w:hAnsi="Garamond"/>
          <w:iCs/>
        </w:rPr>
        <w:t xml:space="preserve">Commission </w:t>
      </w:r>
      <w:r w:rsidRPr="00D62A0A">
        <w:rPr>
          <w:rFonts w:ascii="Garamond" w:hAnsi="Garamond"/>
          <w:iCs/>
          <w:lang w:val="en-US"/>
        </w:rPr>
        <w:t xml:space="preserve">for dispute resolution; or </w:t>
      </w:r>
    </w:p>
    <w:p w14:paraId="2C35A701" w14:textId="77777777" w:rsidR="00E31175" w:rsidRPr="00D62A0A" w:rsidRDefault="00E31175" w:rsidP="00E31175">
      <w:pPr>
        <w:ind w:left="720"/>
        <w:jc w:val="both"/>
        <w:rPr>
          <w:rFonts w:ascii="Garamond" w:hAnsi="Garamond"/>
          <w:iCs/>
          <w:lang w:val="en-US"/>
        </w:rPr>
      </w:pPr>
    </w:p>
    <w:p w14:paraId="21549A6C" w14:textId="77777777" w:rsidR="00E31175" w:rsidRPr="00D62A0A" w:rsidRDefault="00E31175" w:rsidP="00E31175">
      <w:pPr>
        <w:ind w:left="720"/>
        <w:jc w:val="both"/>
        <w:rPr>
          <w:rFonts w:ascii="Garamond" w:hAnsi="Garamond"/>
          <w:iCs/>
          <w:lang w:val="en-US"/>
        </w:rPr>
      </w:pPr>
      <w:r w:rsidRPr="00D62A0A">
        <w:rPr>
          <w:rFonts w:ascii="Garamond" w:hAnsi="Garamond"/>
          <w:iCs/>
          <w:lang w:val="en-US"/>
        </w:rPr>
        <w:tab/>
        <w:t>(b)</w:t>
      </w:r>
      <w:r w:rsidRPr="00D62A0A">
        <w:rPr>
          <w:rFonts w:ascii="Garamond" w:hAnsi="Garamond"/>
          <w:iCs/>
          <w:lang w:val="en-US"/>
        </w:rPr>
        <w:tab/>
        <w:t>make an application to the Tribunal—</w:t>
      </w:r>
    </w:p>
    <w:p w14:paraId="45B4D888" w14:textId="77777777" w:rsidR="00E31175" w:rsidRPr="00D62A0A" w:rsidRDefault="00E31175" w:rsidP="00E31175">
      <w:pPr>
        <w:ind w:left="720"/>
        <w:jc w:val="both"/>
        <w:rPr>
          <w:rFonts w:ascii="Garamond" w:hAnsi="Garamond"/>
          <w:iCs/>
          <w:lang w:val="en-US"/>
        </w:rPr>
      </w:pPr>
      <w:r w:rsidRPr="00D62A0A">
        <w:rPr>
          <w:rFonts w:ascii="Garamond" w:hAnsi="Garamond"/>
          <w:iCs/>
          <w:lang w:val="en-US"/>
        </w:rPr>
        <w:tab/>
      </w:r>
    </w:p>
    <w:p w14:paraId="45E3B532" w14:textId="77777777" w:rsidR="00E31175" w:rsidRPr="00D62A0A" w:rsidRDefault="00E31175" w:rsidP="00E31175">
      <w:pPr>
        <w:ind w:left="720"/>
        <w:jc w:val="both"/>
        <w:rPr>
          <w:rFonts w:ascii="Garamond" w:hAnsi="Garamond"/>
          <w:iCs/>
          <w:lang w:val="en-US"/>
        </w:rPr>
      </w:pPr>
      <w:r w:rsidRPr="00D62A0A">
        <w:rPr>
          <w:rFonts w:ascii="Garamond" w:hAnsi="Garamond"/>
          <w:iCs/>
          <w:lang w:val="en-US"/>
        </w:rPr>
        <w:t>against either the person who authorises or assists or the person who contravenes a provision of Part 4 or 6 or this Part or both of those persons</w:t>
      </w:r>
    </w:p>
    <w:p w14:paraId="4BAB0632" w14:textId="77777777" w:rsidR="00A90145" w:rsidRPr="00D62A0A" w:rsidRDefault="00A90145" w:rsidP="00E31175">
      <w:pPr>
        <w:ind w:left="720"/>
        <w:jc w:val="both"/>
        <w:rPr>
          <w:rFonts w:ascii="Garamond" w:hAnsi="Garamond"/>
          <w:iCs/>
        </w:rPr>
      </w:pPr>
    </w:p>
    <w:p w14:paraId="7B198D7E" w14:textId="77777777" w:rsidR="00A90145" w:rsidRPr="00D62A0A" w:rsidRDefault="00A90145" w:rsidP="00A90145">
      <w:pPr>
        <w:ind w:left="360"/>
        <w:jc w:val="both"/>
        <w:rPr>
          <w:rFonts w:ascii="Garamond" w:hAnsi="Garamond"/>
          <w:iCs/>
        </w:rPr>
      </w:pPr>
      <w:r w:rsidRPr="00D62A0A">
        <w:rPr>
          <w:rFonts w:ascii="Garamond" w:hAnsi="Garamond"/>
          <w:b/>
          <w:bCs/>
          <w:iCs/>
        </w:rPr>
        <w:t>109 Vicarious liability of employers and principals</w:t>
      </w:r>
    </w:p>
    <w:p w14:paraId="1E56191B" w14:textId="77777777" w:rsidR="00A90145" w:rsidRPr="00D62A0A" w:rsidRDefault="00A90145" w:rsidP="00A90145">
      <w:pPr>
        <w:ind w:left="720"/>
        <w:jc w:val="both"/>
        <w:rPr>
          <w:rFonts w:ascii="Garamond" w:hAnsi="Garamond"/>
          <w:iCs/>
        </w:rPr>
      </w:pPr>
    </w:p>
    <w:p w14:paraId="680DDDDF" w14:textId="77777777" w:rsidR="00A90145" w:rsidRPr="00D62A0A" w:rsidRDefault="00A90145" w:rsidP="00A90145">
      <w:pPr>
        <w:ind w:left="720"/>
        <w:jc w:val="both"/>
        <w:rPr>
          <w:rFonts w:ascii="Garamond" w:hAnsi="Garamond"/>
          <w:iCs/>
          <w:color w:val="000000" w:themeColor="text1"/>
        </w:rPr>
      </w:pPr>
      <w:r w:rsidRPr="00D62A0A">
        <w:rPr>
          <w:rFonts w:ascii="Garamond" w:hAnsi="Garamond"/>
          <w:iCs/>
        </w:rPr>
        <w:t>If a person in the cours</w:t>
      </w:r>
      <w:r w:rsidRPr="00D62A0A">
        <w:rPr>
          <w:rFonts w:ascii="Garamond" w:hAnsi="Garamond"/>
          <w:iCs/>
          <w:color w:val="000000" w:themeColor="text1"/>
        </w:rPr>
        <w:t>e of </w:t>
      </w:r>
      <w:hyperlink r:id="rId14" w:anchor="employment" w:history="1">
        <w:r w:rsidRPr="00D62A0A">
          <w:rPr>
            <w:rStyle w:val="Hyperlink"/>
            <w:rFonts w:ascii="Garamond" w:hAnsi="Garamond"/>
            <w:iCs/>
            <w:color w:val="000000" w:themeColor="text1"/>
            <w:u w:val="none"/>
          </w:rPr>
          <w:t>employment</w:t>
        </w:r>
      </w:hyperlink>
      <w:r w:rsidRPr="00D62A0A">
        <w:rPr>
          <w:rFonts w:ascii="Garamond" w:hAnsi="Garamond"/>
          <w:iCs/>
          <w:color w:val="000000" w:themeColor="text1"/>
        </w:rPr>
        <w:t> or while acting as an agent—</w:t>
      </w:r>
    </w:p>
    <w:p w14:paraId="7705B5A2" w14:textId="77777777" w:rsidR="00A90145" w:rsidRPr="00D62A0A" w:rsidRDefault="00A90145" w:rsidP="00A90145">
      <w:pPr>
        <w:ind w:left="720"/>
        <w:jc w:val="both"/>
        <w:rPr>
          <w:rFonts w:ascii="Garamond" w:hAnsi="Garamond"/>
          <w:iCs/>
          <w:color w:val="000000" w:themeColor="text1"/>
        </w:rPr>
      </w:pPr>
    </w:p>
    <w:p w14:paraId="31161132" w14:textId="77777777" w:rsidR="00A90145" w:rsidRPr="00D62A0A" w:rsidRDefault="00A90145" w:rsidP="00A90145">
      <w:pPr>
        <w:ind w:left="720" w:firstLine="698"/>
        <w:jc w:val="both"/>
        <w:rPr>
          <w:rFonts w:ascii="Garamond" w:hAnsi="Garamond"/>
          <w:iCs/>
          <w:color w:val="000000" w:themeColor="text1"/>
        </w:rPr>
      </w:pPr>
      <w:r w:rsidRPr="00D62A0A">
        <w:rPr>
          <w:rFonts w:ascii="Garamond" w:hAnsi="Garamond"/>
          <w:iCs/>
          <w:color w:val="000000" w:themeColor="text1"/>
        </w:rPr>
        <w:t xml:space="preserve"> (a)     </w:t>
      </w:r>
      <w:r w:rsidRPr="00D62A0A">
        <w:rPr>
          <w:rFonts w:ascii="Garamond" w:hAnsi="Garamond"/>
          <w:iCs/>
          <w:color w:val="000000" w:themeColor="text1"/>
        </w:rPr>
        <w:tab/>
        <w:t>contravenes a provision of Part 4 or 6 or this Part; or</w:t>
      </w:r>
    </w:p>
    <w:p w14:paraId="369E830E" w14:textId="77777777" w:rsidR="00A90145" w:rsidRPr="00D62A0A" w:rsidRDefault="00A90145" w:rsidP="00A90145">
      <w:pPr>
        <w:ind w:left="1560" w:firstLine="698"/>
        <w:jc w:val="both"/>
        <w:rPr>
          <w:rFonts w:ascii="Garamond" w:hAnsi="Garamond"/>
          <w:iCs/>
          <w:color w:val="000000" w:themeColor="text1"/>
        </w:rPr>
      </w:pPr>
      <w:r w:rsidRPr="00D62A0A">
        <w:rPr>
          <w:rFonts w:ascii="Garamond" w:hAnsi="Garamond"/>
          <w:iCs/>
          <w:color w:val="000000" w:themeColor="text1"/>
        </w:rPr>
        <w:t xml:space="preserve">        </w:t>
      </w:r>
    </w:p>
    <w:p w14:paraId="7A168C65" w14:textId="77777777" w:rsidR="00A90145" w:rsidRPr="00D62A0A" w:rsidRDefault="00A90145" w:rsidP="00A90145">
      <w:pPr>
        <w:ind w:left="2127" w:hanging="687"/>
        <w:jc w:val="both"/>
        <w:rPr>
          <w:rFonts w:ascii="Garamond" w:hAnsi="Garamond"/>
          <w:iCs/>
          <w:color w:val="000000" w:themeColor="text1"/>
        </w:rPr>
      </w:pPr>
      <w:r w:rsidRPr="00D62A0A">
        <w:rPr>
          <w:rFonts w:ascii="Garamond" w:hAnsi="Garamond"/>
          <w:iCs/>
          <w:color w:val="000000" w:themeColor="text1"/>
        </w:rPr>
        <w:t>(b)     engages in any conduct that would, if engaged in by the person's employer or </w:t>
      </w:r>
      <w:hyperlink r:id="rId15" w:anchor="principal" w:history="1">
        <w:r w:rsidRPr="00D62A0A">
          <w:rPr>
            <w:rStyle w:val="Hyperlink"/>
            <w:rFonts w:ascii="Garamond" w:hAnsi="Garamond"/>
            <w:iCs/>
            <w:color w:val="000000" w:themeColor="text1"/>
            <w:u w:val="none"/>
          </w:rPr>
          <w:t>principal</w:t>
        </w:r>
      </w:hyperlink>
      <w:r w:rsidRPr="00D62A0A">
        <w:rPr>
          <w:rFonts w:ascii="Garamond" w:hAnsi="Garamond"/>
          <w:iCs/>
          <w:color w:val="000000" w:themeColor="text1"/>
        </w:rPr>
        <w:t>, contravene a provision of Part 4 or 6 or this Part—</w:t>
      </w:r>
    </w:p>
    <w:p w14:paraId="4E14F680" w14:textId="77777777" w:rsidR="00A90145" w:rsidRPr="00D62A0A" w:rsidRDefault="00A90145" w:rsidP="00A90145">
      <w:pPr>
        <w:ind w:left="1701" w:hanging="981"/>
        <w:jc w:val="both"/>
        <w:rPr>
          <w:rFonts w:ascii="Garamond" w:hAnsi="Garamond"/>
          <w:iCs/>
          <w:color w:val="000000" w:themeColor="text1"/>
        </w:rPr>
      </w:pPr>
    </w:p>
    <w:p w14:paraId="1541776D" w14:textId="77777777" w:rsidR="00A90145" w:rsidRPr="00D62A0A" w:rsidRDefault="00A90145" w:rsidP="00A90145">
      <w:pPr>
        <w:ind w:left="720"/>
        <w:jc w:val="both"/>
        <w:rPr>
          <w:rFonts w:ascii="Garamond" w:hAnsi="Garamond"/>
          <w:iCs/>
          <w:color w:val="000000" w:themeColor="text1"/>
        </w:rPr>
      </w:pPr>
      <w:r w:rsidRPr="00D62A0A">
        <w:rPr>
          <w:rFonts w:ascii="Garamond" w:hAnsi="Garamond"/>
          <w:iCs/>
          <w:color w:val="000000" w:themeColor="text1"/>
        </w:rPr>
        <w:t>both the person and the employer or </w:t>
      </w:r>
      <w:hyperlink r:id="rId16" w:anchor="principal" w:history="1">
        <w:r w:rsidRPr="00D62A0A">
          <w:rPr>
            <w:rStyle w:val="Hyperlink"/>
            <w:rFonts w:ascii="Garamond" w:hAnsi="Garamond"/>
            <w:iCs/>
            <w:color w:val="000000" w:themeColor="text1"/>
            <w:u w:val="none"/>
          </w:rPr>
          <w:t>principal</w:t>
        </w:r>
      </w:hyperlink>
      <w:r w:rsidRPr="00D62A0A">
        <w:rPr>
          <w:rFonts w:ascii="Garamond" w:hAnsi="Garamond"/>
          <w:iCs/>
          <w:color w:val="000000" w:themeColor="text1"/>
        </w:rPr>
        <w:t> must be taken to have contravened the provision and a person may bring a </w:t>
      </w:r>
      <w:hyperlink r:id="rId17" w:anchor="dispute" w:history="1">
        <w:r w:rsidRPr="00D62A0A">
          <w:rPr>
            <w:rStyle w:val="Hyperlink"/>
            <w:rFonts w:ascii="Garamond" w:hAnsi="Garamond"/>
            <w:iCs/>
            <w:color w:val="000000" w:themeColor="text1"/>
            <w:u w:val="none"/>
          </w:rPr>
          <w:t>dispute</w:t>
        </w:r>
      </w:hyperlink>
      <w:r w:rsidRPr="00D62A0A">
        <w:rPr>
          <w:rFonts w:ascii="Garamond" w:hAnsi="Garamond"/>
          <w:iCs/>
          <w:color w:val="000000" w:themeColor="text1"/>
        </w:rPr>
        <w:t> to the Commission for </w:t>
      </w:r>
      <w:hyperlink r:id="rId18" w:anchor="dispute_resolution" w:history="1">
        <w:r w:rsidRPr="00D62A0A">
          <w:rPr>
            <w:rStyle w:val="Hyperlink"/>
            <w:rFonts w:ascii="Garamond" w:hAnsi="Garamond"/>
            <w:iCs/>
            <w:color w:val="000000" w:themeColor="text1"/>
            <w:u w:val="none"/>
          </w:rPr>
          <w:t>dispute resolution</w:t>
        </w:r>
      </w:hyperlink>
      <w:r w:rsidRPr="00D62A0A">
        <w:rPr>
          <w:rFonts w:ascii="Garamond" w:hAnsi="Garamond"/>
          <w:iCs/>
          <w:color w:val="000000" w:themeColor="text1"/>
        </w:rPr>
        <w:t> or make an application to the Tribunal against either or both of them.</w:t>
      </w:r>
    </w:p>
    <w:p w14:paraId="0B8F4BCB" w14:textId="77777777" w:rsidR="00E31175" w:rsidRPr="001F021D" w:rsidRDefault="00E31175" w:rsidP="00E31175">
      <w:pPr>
        <w:rPr>
          <w:rFonts w:ascii="Garamond" w:hAnsi="Garamond"/>
          <w:sz w:val="24"/>
          <w:szCs w:val="24"/>
        </w:rPr>
      </w:pPr>
    </w:p>
    <w:p w14:paraId="135B7142" w14:textId="77777777" w:rsidR="00DF29D9" w:rsidRPr="001F021D" w:rsidRDefault="00DD268D" w:rsidP="005C350E">
      <w:pPr>
        <w:pStyle w:val="ListParagraph"/>
        <w:numPr>
          <w:ilvl w:val="0"/>
          <w:numId w:val="1"/>
        </w:numPr>
        <w:jc w:val="both"/>
        <w:rPr>
          <w:rFonts w:ascii="Garamond" w:hAnsi="Garamond"/>
          <w:sz w:val="24"/>
          <w:szCs w:val="24"/>
        </w:rPr>
      </w:pPr>
      <w:r w:rsidRPr="001F021D">
        <w:rPr>
          <w:rFonts w:ascii="Garamond" w:hAnsi="Garamond"/>
          <w:sz w:val="24"/>
          <w:szCs w:val="24"/>
        </w:rPr>
        <w:t>Section 105 of the EO Act does not depend upon an employer/employee relationship. Thus, t</w:t>
      </w:r>
      <w:r w:rsidR="00F172E2" w:rsidRPr="001F021D">
        <w:rPr>
          <w:rFonts w:ascii="Garamond" w:hAnsi="Garamond"/>
          <w:sz w:val="24"/>
          <w:szCs w:val="24"/>
        </w:rPr>
        <w:t xml:space="preserve">here is scope </w:t>
      </w:r>
      <w:r w:rsidR="00681B1A" w:rsidRPr="001F021D">
        <w:rPr>
          <w:rFonts w:ascii="Garamond" w:hAnsi="Garamond"/>
          <w:sz w:val="24"/>
          <w:szCs w:val="24"/>
        </w:rPr>
        <w:t>for a third party</w:t>
      </w:r>
      <w:r w:rsidR="00ED1451" w:rsidRPr="001F021D">
        <w:rPr>
          <w:rFonts w:ascii="Garamond" w:hAnsi="Garamond"/>
          <w:sz w:val="24"/>
          <w:szCs w:val="24"/>
        </w:rPr>
        <w:t>, including</w:t>
      </w:r>
      <w:r w:rsidR="00681B1A" w:rsidRPr="001F021D">
        <w:rPr>
          <w:rFonts w:ascii="Garamond" w:hAnsi="Garamond"/>
          <w:sz w:val="24"/>
          <w:szCs w:val="24"/>
        </w:rPr>
        <w:t xml:space="preserve"> the employer of </w:t>
      </w:r>
      <w:r w:rsidR="00ED1451" w:rsidRPr="001F021D">
        <w:rPr>
          <w:rFonts w:ascii="Garamond" w:hAnsi="Garamond"/>
          <w:sz w:val="24"/>
          <w:szCs w:val="24"/>
        </w:rPr>
        <w:t>Court personnel,</w:t>
      </w:r>
      <w:r w:rsidR="00681B1A" w:rsidRPr="001F021D">
        <w:rPr>
          <w:rFonts w:ascii="Garamond" w:hAnsi="Garamond"/>
          <w:sz w:val="24"/>
          <w:szCs w:val="24"/>
        </w:rPr>
        <w:t xml:space="preserve"> to be held liable for </w:t>
      </w:r>
      <w:r w:rsidRPr="001F021D">
        <w:rPr>
          <w:rFonts w:ascii="Garamond" w:hAnsi="Garamond"/>
          <w:sz w:val="24"/>
          <w:szCs w:val="24"/>
        </w:rPr>
        <w:t xml:space="preserve">contravening </w:t>
      </w:r>
      <w:r w:rsidR="00681B1A" w:rsidRPr="001F021D">
        <w:rPr>
          <w:rFonts w:ascii="Garamond" w:hAnsi="Garamond"/>
          <w:sz w:val="24"/>
          <w:szCs w:val="24"/>
        </w:rPr>
        <w:t xml:space="preserve">conduct of </w:t>
      </w:r>
      <w:r w:rsidRPr="001F021D">
        <w:rPr>
          <w:rFonts w:ascii="Garamond" w:hAnsi="Garamond"/>
          <w:sz w:val="24"/>
          <w:szCs w:val="24"/>
        </w:rPr>
        <w:t xml:space="preserve">a </w:t>
      </w:r>
      <w:r w:rsidR="00681B1A" w:rsidRPr="001F021D">
        <w:rPr>
          <w:rFonts w:ascii="Garamond" w:hAnsi="Garamond"/>
          <w:sz w:val="24"/>
          <w:szCs w:val="24"/>
        </w:rPr>
        <w:t>judicial officer</w:t>
      </w:r>
      <w:r w:rsidRPr="001F021D">
        <w:rPr>
          <w:rFonts w:ascii="Garamond" w:hAnsi="Garamond"/>
          <w:sz w:val="24"/>
          <w:szCs w:val="24"/>
        </w:rPr>
        <w:t>.</w:t>
      </w:r>
      <w:r w:rsidR="00ED1451" w:rsidRPr="001F021D">
        <w:rPr>
          <w:rFonts w:ascii="Garamond" w:hAnsi="Garamond"/>
          <w:sz w:val="24"/>
          <w:szCs w:val="24"/>
        </w:rPr>
        <w:t xml:space="preserve"> </w:t>
      </w:r>
    </w:p>
    <w:p w14:paraId="3614A188" w14:textId="77777777" w:rsidR="00ED1451" w:rsidRPr="001F021D" w:rsidRDefault="00ED1451" w:rsidP="00ED1451">
      <w:pPr>
        <w:jc w:val="both"/>
        <w:rPr>
          <w:rFonts w:ascii="Garamond" w:hAnsi="Garamond"/>
          <w:sz w:val="24"/>
          <w:szCs w:val="24"/>
        </w:rPr>
      </w:pPr>
    </w:p>
    <w:p w14:paraId="5085ACDB" w14:textId="77777777" w:rsidR="008230F1" w:rsidRPr="001F021D" w:rsidRDefault="009C1C17" w:rsidP="005C350E">
      <w:pPr>
        <w:pStyle w:val="ListParagraph"/>
        <w:numPr>
          <w:ilvl w:val="0"/>
          <w:numId w:val="1"/>
        </w:numPr>
        <w:jc w:val="both"/>
        <w:rPr>
          <w:rFonts w:ascii="Garamond" w:hAnsi="Garamond"/>
          <w:iCs/>
          <w:sz w:val="24"/>
          <w:szCs w:val="24"/>
        </w:rPr>
      </w:pPr>
      <w:r w:rsidRPr="001F021D">
        <w:rPr>
          <w:rFonts w:ascii="Garamond" w:hAnsi="Garamond"/>
          <w:sz w:val="24"/>
          <w:szCs w:val="24"/>
        </w:rPr>
        <w:t xml:space="preserve">In </w:t>
      </w:r>
      <w:r w:rsidR="00DD268D" w:rsidRPr="001F021D">
        <w:rPr>
          <w:rFonts w:ascii="Garamond" w:hAnsi="Garamond"/>
          <w:sz w:val="24"/>
          <w:szCs w:val="24"/>
        </w:rPr>
        <w:t>order to breach s</w:t>
      </w:r>
      <w:r w:rsidRPr="001F021D">
        <w:rPr>
          <w:rFonts w:ascii="Garamond" w:hAnsi="Garamond"/>
          <w:sz w:val="24"/>
          <w:szCs w:val="24"/>
        </w:rPr>
        <w:t>105</w:t>
      </w:r>
      <w:r w:rsidR="00DD268D" w:rsidRPr="001F021D">
        <w:rPr>
          <w:rFonts w:ascii="Garamond" w:hAnsi="Garamond"/>
          <w:sz w:val="24"/>
          <w:szCs w:val="24"/>
        </w:rPr>
        <w:t xml:space="preserve">, there must be a </w:t>
      </w:r>
      <w:r w:rsidRPr="001F021D">
        <w:rPr>
          <w:rFonts w:ascii="Garamond" w:hAnsi="Garamond"/>
          <w:sz w:val="24"/>
          <w:szCs w:val="24"/>
        </w:rPr>
        <w:t xml:space="preserve">positive act or, at least, sufficient knowledge of essential elements of the conduct in order to constitute constructive authorisation or assistance.  </w:t>
      </w:r>
      <w:r w:rsidR="00DD268D" w:rsidRPr="001F021D">
        <w:rPr>
          <w:rFonts w:ascii="Garamond" w:hAnsi="Garamond"/>
          <w:sz w:val="24"/>
          <w:szCs w:val="24"/>
        </w:rPr>
        <w:t>Thus, i</w:t>
      </w:r>
      <w:r w:rsidR="00DF29D9" w:rsidRPr="001F021D">
        <w:rPr>
          <w:rFonts w:ascii="Garamond" w:hAnsi="Garamond"/>
          <w:sz w:val="24"/>
          <w:szCs w:val="24"/>
        </w:rPr>
        <w:t xml:space="preserve">n order to </w:t>
      </w:r>
      <w:r w:rsidR="00B40FB3" w:rsidRPr="001F021D">
        <w:rPr>
          <w:rFonts w:ascii="Garamond" w:hAnsi="Garamond"/>
          <w:sz w:val="24"/>
          <w:szCs w:val="24"/>
        </w:rPr>
        <w:t>be responsible for the conduct of a judicial officer, it seems likely that</w:t>
      </w:r>
      <w:r w:rsidR="008230F1" w:rsidRPr="001F021D">
        <w:rPr>
          <w:rFonts w:ascii="Garamond" w:hAnsi="Garamond"/>
          <w:sz w:val="24"/>
          <w:szCs w:val="24"/>
        </w:rPr>
        <w:t>:</w:t>
      </w:r>
    </w:p>
    <w:p w14:paraId="33452E38" w14:textId="77777777" w:rsidR="008230F1" w:rsidRPr="001F021D" w:rsidRDefault="008230F1" w:rsidP="008230F1">
      <w:pPr>
        <w:pStyle w:val="ListParagraph"/>
        <w:rPr>
          <w:rFonts w:ascii="Garamond" w:hAnsi="Garamond"/>
          <w:sz w:val="24"/>
          <w:szCs w:val="24"/>
        </w:rPr>
      </w:pPr>
    </w:p>
    <w:p w14:paraId="000AD9F6" w14:textId="77777777" w:rsidR="00B50EAE" w:rsidRPr="001F021D" w:rsidRDefault="00B40FB3" w:rsidP="005C350E">
      <w:pPr>
        <w:pStyle w:val="ListParagraph"/>
        <w:numPr>
          <w:ilvl w:val="1"/>
          <w:numId w:val="18"/>
        </w:numPr>
        <w:jc w:val="both"/>
        <w:rPr>
          <w:rFonts w:ascii="Garamond" w:hAnsi="Garamond"/>
          <w:sz w:val="24"/>
          <w:szCs w:val="24"/>
        </w:rPr>
      </w:pPr>
      <w:r w:rsidRPr="001F021D">
        <w:rPr>
          <w:rFonts w:ascii="Garamond" w:hAnsi="Garamond"/>
          <w:sz w:val="24"/>
          <w:szCs w:val="24"/>
        </w:rPr>
        <w:t xml:space="preserve">an employer must at least be aware of the ‘essential facts’ that constitute the </w:t>
      </w:r>
      <w:r w:rsidR="00E22D71" w:rsidRPr="001F021D">
        <w:rPr>
          <w:rFonts w:ascii="Garamond" w:hAnsi="Garamond"/>
          <w:sz w:val="24"/>
          <w:szCs w:val="24"/>
        </w:rPr>
        <w:t>contravention</w:t>
      </w:r>
      <w:r w:rsidR="008230F1" w:rsidRPr="001F021D">
        <w:rPr>
          <w:rFonts w:ascii="Garamond" w:hAnsi="Garamond"/>
          <w:sz w:val="24"/>
          <w:szCs w:val="24"/>
        </w:rPr>
        <w:t xml:space="preserve">, and </w:t>
      </w:r>
    </w:p>
    <w:p w14:paraId="3B586E03" w14:textId="77777777" w:rsidR="00B50EAE" w:rsidRPr="001F021D" w:rsidRDefault="00B50EAE" w:rsidP="00B50EAE">
      <w:pPr>
        <w:pStyle w:val="ListParagraph"/>
        <w:ind w:left="1080"/>
        <w:jc w:val="both"/>
        <w:rPr>
          <w:rFonts w:ascii="Garamond" w:hAnsi="Garamond"/>
          <w:sz w:val="24"/>
          <w:szCs w:val="24"/>
        </w:rPr>
      </w:pPr>
    </w:p>
    <w:p w14:paraId="4A81330C" w14:textId="77777777" w:rsidR="00B50EAE" w:rsidRPr="001F021D" w:rsidRDefault="008230F1" w:rsidP="005C350E">
      <w:pPr>
        <w:pStyle w:val="ListParagraph"/>
        <w:numPr>
          <w:ilvl w:val="1"/>
          <w:numId w:val="18"/>
        </w:numPr>
        <w:jc w:val="both"/>
        <w:rPr>
          <w:rFonts w:ascii="Garamond" w:hAnsi="Garamond"/>
          <w:sz w:val="24"/>
          <w:szCs w:val="24"/>
        </w:rPr>
      </w:pPr>
      <w:r w:rsidRPr="001F021D">
        <w:rPr>
          <w:rFonts w:ascii="Garamond" w:hAnsi="Garamond"/>
          <w:sz w:val="24"/>
          <w:szCs w:val="24"/>
        </w:rPr>
        <w:t xml:space="preserve">must do something </w:t>
      </w:r>
      <w:r w:rsidR="00B50EAE" w:rsidRPr="001F021D">
        <w:rPr>
          <w:rFonts w:ascii="Garamond" w:hAnsi="Garamond"/>
          <w:sz w:val="24"/>
          <w:szCs w:val="24"/>
        </w:rPr>
        <w:t xml:space="preserve">prior to the contravention occurring that </w:t>
      </w:r>
      <w:r w:rsidR="00CA65B7" w:rsidRPr="001F021D">
        <w:rPr>
          <w:rFonts w:ascii="Garamond" w:hAnsi="Garamond"/>
          <w:sz w:val="24"/>
          <w:szCs w:val="24"/>
        </w:rPr>
        <w:t xml:space="preserve">encourages </w:t>
      </w:r>
      <w:r w:rsidR="000F5CC6" w:rsidRPr="001F021D">
        <w:rPr>
          <w:rFonts w:ascii="Garamond" w:hAnsi="Garamond"/>
          <w:sz w:val="24"/>
          <w:szCs w:val="24"/>
        </w:rPr>
        <w:t xml:space="preserve">or otherwise induces </w:t>
      </w:r>
      <w:r w:rsidR="00CA65B7" w:rsidRPr="001F021D">
        <w:rPr>
          <w:rFonts w:ascii="Garamond" w:hAnsi="Garamond"/>
          <w:sz w:val="24"/>
          <w:szCs w:val="24"/>
        </w:rPr>
        <w:t xml:space="preserve">the person </w:t>
      </w:r>
      <w:r w:rsidR="009D6929" w:rsidRPr="001F021D">
        <w:rPr>
          <w:rFonts w:ascii="Garamond" w:hAnsi="Garamond"/>
          <w:sz w:val="24"/>
          <w:szCs w:val="24"/>
        </w:rPr>
        <w:t>doing the relevant act; and/or</w:t>
      </w:r>
    </w:p>
    <w:p w14:paraId="59901F30" w14:textId="77777777" w:rsidR="00B50EAE" w:rsidRPr="001F021D" w:rsidRDefault="00B50EAE" w:rsidP="00B50EAE">
      <w:pPr>
        <w:pStyle w:val="ListParagraph"/>
        <w:rPr>
          <w:rFonts w:ascii="Garamond" w:hAnsi="Garamond"/>
          <w:sz w:val="24"/>
          <w:szCs w:val="24"/>
        </w:rPr>
      </w:pPr>
    </w:p>
    <w:p w14:paraId="09094763" w14:textId="77777777" w:rsidR="00DF29D9" w:rsidRPr="001F021D" w:rsidRDefault="000A5E32" w:rsidP="005C350E">
      <w:pPr>
        <w:pStyle w:val="ListParagraph"/>
        <w:numPr>
          <w:ilvl w:val="1"/>
          <w:numId w:val="18"/>
        </w:numPr>
        <w:jc w:val="both"/>
        <w:rPr>
          <w:rFonts w:ascii="Garamond" w:hAnsi="Garamond"/>
          <w:sz w:val="24"/>
          <w:szCs w:val="24"/>
        </w:rPr>
      </w:pPr>
      <w:r w:rsidRPr="001F021D">
        <w:rPr>
          <w:rFonts w:ascii="Garamond" w:hAnsi="Garamond"/>
          <w:sz w:val="24"/>
          <w:szCs w:val="24"/>
        </w:rPr>
        <w:t>i</w:t>
      </w:r>
      <w:r w:rsidR="009D6929" w:rsidRPr="001F021D">
        <w:rPr>
          <w:rFonts w:ascii="Garamond" w:hAnsi="Garamond"/>
          <w:sz w:val="24"/>
          <w:szCs w:val="24"/>
        </w:rPr>
        <w:t>n cases of inaction, there must be a reasonable expectation that the employer would, in fact, take some action.</w:t>
      </w:r>
      <w:r w:rsidR="009D6929" w:rsidRPr="001F021D">
        <w:rPr>
          <w:rStyle w:val="FootnoteReference"/>
          <w:rFonts w:ascii="Garamond" w:hAnsi="Garamond"/>
          <w:sz w:val="24"/>
          <w:szCs w:val="24"/>
        </w:rPr>
        <w:footnoteReference w:id="17"/>
      </w:r>
      <w:r w:rsidR="008230F1" w:rsidRPr="001F021D">
        <w:rPr>
          <w:rFonts w:ascii="Garamond" w:hAnsi="Garamond"/>
          <w:sz w:val="24"/>
          <w:szCs w:val="24"/>
        </w:rPr>
        <w:t xml:space="preserve">  </w:t>
      </w:r>
    </w:p>
    <w:p w14:paraId="4404575D" w14:textId="77777777" w:rsidR="000A03F2" w:rsidRPr="001F021D" w:rsidRDefault="000A03F2" w:rsidP="000A03F2">
      <w:pPr>
        <w:pStyle w:val="ListParagraph"/>
        <w:rPr>
          <w:rFonts w:ascii="Garamond" w:hAnsi="Garamond"/>
          <w:sz w:val="24"/>
          <w:szCs w:val="24"/>
        </w:rPr>
      </w:pPr>
    </w:p>
    <w:p w14:paraId="75985FAD" w14:textId="77777777" w:rsidR="00DD268D" w:rsidRPr="001F021D" w:rsidRDefault="000A03F2" w:rsidP="005C350E">
      <w:pPr>
        <w:pStyle w:val="ListParagraph"/>
        <w:numPr>
          <w:ilvl w:val="0"/>
          <w:numId w:val="1"/>
        </w:numPr>
        <w:jc w:val="both"/>
        <w:rPr>
          <w:rFonts w:ascii="Garamond" w:hAnsi="Garamond"/>
          <w:sz w:val="24"/>
          <w:szCs w:val="24"/>
        </w:rPr>
      </w:pPr>
      <w:r w:rsidRPr="001F021D">
        <w:rPr>
          <w:rFonts w:ascii="Garamond" w:hAnsi="Garamond"/>
          <w:sz w:val="24"/>
          <w:szCs w:val="24"/>
        </w:rPr>
        <w:t>As my instructors note, the primary conduct which is ‘authorised’ must itself contravene the EO Act.</w:t>
      </w:r>
      <w:r w:rsidR="009616B6" w:rsidRPr="001F021D">
        <w:rPr>
          <w:rStyle w:val="FootnoteReference"/>
          <w:rFonts w:ascii="Garamond" w:hAnsi="Garamond"/>
          <w:sz w:val="24"/>
          <w:szCs w:val="24"/>
        </w:rPr>
        <w:footnoteReference w:id="18"/>
      </w:r>
      <w:r w:rsidR="009E4CB8" w:rsidRPr="001F021D">
        <w:rPr>
          <w:rFonts w:ascii="Garamond" w:hAnsi="Garamond"/>
          <w:sz w:val="24"/>
          <w:szCs w:val="24"/>
        </w:rPr>
        <w:t xml:space="preserve">  </w:t>
      </w:r>
      <w:r w:rsidR="00BB0DBD" w:rsidRPr="001F021D">
        <w:rPr>
          <w:rFonts w:ascii="Garamond" w:hAnsi="Garamond"/>
          <w:sz w:val="24"/>
          <w:szCs w:val="24"/>
        </w:rPr>
        <w:t>Therefore</w:t>
      </w:r>
      <w:r w:rsidR="001E33D1" w:rsidRPr="001F021D">
        <w:rPr>
          <w:rFonts w:ascii="Garamond" w:hAnsi="Garamond"/>
          <w:sz w:val="24"/>
          <w:szCs w:val="24"/>
        </w:rPr>
        <w:t xml:space="preserve">, there must be a primary contravention of the EO Act by a judicial officer, before any employer could be </w:t>
      </w:r>
      <w:r w:rsidR="00A90145" w:rsidRPr="001F021D">
        <w:rPr>
          <w:rFonts w:ascii="Garamond" w:hAnsi="Garamond"/>
          <w:sz w:val="24"/>
          <w:szCs w:val="24"/>
        </w:rPr>
        <w:t>exposed to liability</w:t>
      </w:r>
      <w:r w:rsidR="001E33D1" w:rsidRPr="001F021D">
        <w:rPr>
          <w:rFonts w:ascii="Garamond" w:hAnsi="Garamond"/>
          <w:sz w:val="24"/>
          <w:szCs w:val="24"/>
        </w:rPr>
        <w:t xml:space="preserve"> </w:t>
      </w:r>
      <w:r w:rsidR="00DD268D" w:rsidRPr="001F021D">
        <w:rPr>
          <w:rFonts w:ascii="Garamond" w:hAnsi="Garamond"/>
          <w:sz w:val="24"/>
          <w:szCs w:val="24"/>
        </w:rPr>
        <w:t>under s106.</w:t>
      </w:r>
    </w:p>
    <w:p w14:paraId="719B6854" w14:textId="77777777" w:rsidR="00DD268D" w:rsidRPr="001F021D" w:rsidRDefault="00DD268D" w:rsidP="00DD268D">
      <w:pPr>
        <w:pStyle w:val="ListParagraph"/>
        <w:ind w:left="360"/>
        <w:jc w:val="both"/>
        <w:rPr>
          <w:rFonts w:ascii="Garamond" w:hAnsi="Garamond"/>
          <w:sz w:val="24"/>
          <w:szCs w:val="24"/>
        </w:rPr>
      </w:pPr>
    </w:p>
    <w:p w14:paraId="71FE61B6" w14:textId="77777777" w:rsidR="00D762DE" w:rsidRPr="001F021D" w:rsidRDefault="00DD268D"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While a person may be directly liable under s106 as a person who authorises or assists a contravention, a finding </w:t>
      </w:r>
      <w:r w:rsidR="00CB4F57" w:rsidRPr="001F021D">
        <w:rPr>
          <w:rFonts w:ascii="Garamond" w:hAnsi="Garamond"/>
          <w:sz w:val="24"/>
          <w:szCs w:val="24"/>
        </w:rPr>
        <w:t>of</w:t>
      </w:r>
      <w:r w:rsidRPr="001F021D">
        <w:rPr>
          <w:rFonts w:ascii="Garamond" w:hAnsi="Garamond"/>
          <w:sz w:val="24"/>
          <w:szCs w:val="24"/>
        </w:rPr>
        <w:t xml:space="preserve"> vicarious liability under s109</w:t>
      </w:r>
      <w:r w:rsidR="00CB4F57" w:rsidRPr="001F021D">
        <w:rPr>
          <w:rFonts w:ascii="Garamond" w:hAnsi="Garamond"/>
          <w:sz w:val="24"/>
          <w:szCs w:val="24"/>
        </w:rPr>
        <w:t xml:space="preserve"> depends upon </w:t>
      </w:r>
      <w:r w:rsidR="00C40B8C" w:rsidRPr="001F021D">
        <w:rPr>
          <w:rFonts w:ascii="Garamond" w:hAnsi="Garamond"/>
          <w:sz w:val="24"/>
          <w:szCs w:val="24"/>
        </w:rPr>
        <w:t xml:space="preserve">conduct in ‘the course of’ </w:t>
      </w:r>
      <w:r w:rsidR="00CB4F57" w:rsidRPr="001F021D">
        <w:rPr>
          <w:rFonts w:ascii="Garamond" w:hAnsi="Garamond"/>
          <w:sz w:val="24"/>
          <w:szCs w:val="24"/>
        </w:rPr>
        <w:t>an employment relationship between the agent/judicial officer and the principal</w:t>
      </w:r>
      <w:r w:rsidRPr="001F021D">
        <w:rPr>
          <w:rFonts w:ascii="Garamond" w:hAnsi="Garamond"/>
          <w:sz w:val="24"/>
          <w:szCs w:val="24"/>
        </w:rPr>
        <w:t xml:space="preserve">. </w:t>
      </w:r>
      <w:r w:rsidR="00CB4F57" w:rsidRPr="001F021D">
        <w:rPr>
          <w:rFonts w:ascii="Garamond" w:hAnsi="Garamond"/>
          <w:sz w:val="24"/>
          <w:szCs w:val="24"/>
        </w:rPr>
        <w:t xml:space="preserve">The nature of judicial appointment by commission noted above would appear to preclude a finding of vicarious liability. </w:t>
      </w:r>
    </w:p>
    <w:p w14:paraId="46F7856B" w14:textId="77777777" w:rsidR="00516B3A" w:rsidRPr="001F021D" w:rsidRDefault="00516B3A" w:rsidP="00CB4F57">
      <w:pPr>
        <w:rPr>
          <w:rFonts w:ascii="Garamond" w:hAnsi="Garamond"/>
          <w:sz w:val="24"/>
          <w:szCs w:val="24"/>
        </w:rPr>
      </w:pPr>
    </w:p>
    <w:p w14:paraId="20C62EEB" w14:textId="77777777" w:rsidR="00332E6E" w:rsidRPr="001F021D" w:rsidRDefault="00332E6E" w:rsidP="00332E6E">
      <w:pPr>
        <w:pStyle w:val="ListParagraph"/>
        <w:rPr>
          <w:rFonts w:ascii="Garamond" w:hAnsi="Garamond"/>
          <w:sz w:val="24"/>
          <w:szCs w:val="24"/>
        </w:rPr>
      </w:pPr>
    </w:p>
    <w:p w14:paraId="6E02A710" w14:textId="77777777" w:rsidR="00332E6E" w:rsidRPr="001F021D" w:rsidRDefault="00332E6E" w:rsidP="00332E6E">
      <w:pPr>
        <w:jc w:val="both"/>
        <w:rPr>
          <w:rFonts w:ascii="Garamond" w:hAnsi="Garamond"/>
          <w:sz w:val="24"/>
          <w:szCs w:val="24"/>
        </w:rPr>
      </w:pPr>
    </w:p>
    <w:p w14:paraId="76D00BC4" w14:textId="77777777" w:rsidR="00332E6E" w:rsidRPr="001F021D" w:rsidRDefault="00332E6E" w:rsidP="00332E6E">
      <w:pPr>
        <w:jc w:val="both"/>
        <w:rPr>
          <w:rFonts w:ascii="Garamond" w:hAnsi="Garamond"/>
          <w:b/>
          <w:i/>
          <w:sz w:val="24"/>
          <w:szCs w:val="24"/>
        </w:rPr>
      </w:pPr>
      <w:r w:rsidRPr="001F021D">
        <w:rPr>
          <w:rFonts w:ascii="Garamond" w:hAnsi="Garamond"/>
          <w:b/>
          <w:i/>
          <w:sz w:val="24"/>
          <w:szCs w:val="24"/>
        </w:rPr>
        <w:t xml:space="preserve">Duty to </w:t>
      </w:r>
      <w:r w:rsidR="00CB4F57" w:rsidRPr="001F021D">
        <w:rPr>
          <w:rFonts w:ascii="Garamond" w:hAnsi="Garamond"/>
          <w:b/>
          <w:i/>
          <w:sz w:val="24"/>
          <w:szCs w:val="24"/>
        </w:rPr>
        <w:t xml:space="preserve">Eliminate Discrimination, Sexual Harassment </w:t>
      </w:r>
    </w:p>
    <w:p w14:paraId="26606141" w14:textId="77777777" w:rsidR="00CB4F57" w:rsidRPr="001F021D" w:rsidRDefault="00332E6E" w:rsidP="005C350E">
      <w:pPr>
        <w:pStyle w:val="ListParagraph"/>
        <w:numPr>
          <w:ilvl w:val="0"/>
          <w:numId w:val="1"/>
        </w:numPr>
        <w:jc w:val="both"/>
        <w:rPr>
          <w:rFonts w:ascii="Garamond" w:hAnsi="Garamond"/>
          <w:sz w:val="24"/>
          <w:szCs w:val="24"/>
        </w:rPr>
      </w:pPr>
      <w:r w:rsidRPr="001F021D">
        <w:rPr>
          <w:rFonts w:ascii="Garamond" w:hAnsi="Garamond"/>
          <w:sz w:val="24"/>
          <w:szCs w:val="24"/>
        </w:rPr>
        <w:t>S</w:t>
      </w:r>
      <w:r w:rsidR="005035F9" w:rsidRPr="001F021D">
        <w:rPr>
          <w:rFonts w:ascii="Garamond" w:hAnsi="Garamond"/>
          <w:sz w:val="24"/>
          <w:szCs w:val="24"/>
        </w:rPr>
        <w:t xml:space="preserve">ection </w:t>
      </w:r>
      <w:r w:rsidRPr="001F021D">
        <w:rPr>
          <w:rFonts w:ascii="Garamond" w:hAnsi="Garamond"/>
          <w:sz w:val="24"/>
          <w:szCs w:val="24"/>
        </w:rPr>
        <w:t xml:space="preserve">15 of the EO Act </w:t>
      </w:r>
      <w:r w:rsidR="00CB4F57" w:rsidRPr="001F021D">
        <w:rPr>
          <w:rFonts w:ascii="Garamond" w:hAnsi="Garamond"/>
          <w:sz w:val="24"/>
          <w:szCs w:val="24"/>
        </w:rPr>
        <w:t>provides:</w:t>
      </w:r>
    </w:p>
    <w:p w14:paraId="5A7FC89D" w14:textId="77777777" w:rsidR="00CB4F57" w:rsidRPr="001F021D" w:rsidRDefault="00CB4F57" w:rsidP="00CB4F57">
      <w:pPr>
        <w:jc w:val="both"/>
        <w:rPr>
          <w:rFonts w:ascii="Garamond" w:hAnsi="Garamond"/>
          <w:sz w:val="24"/>
          <w:szCs w:val="24"/>
        </w:rPr>
      </w:pPr>
    </w:p>
    <w:p w14:paraId="73400C3E" w14:textId="77777777" w:rsidR="00CB4F57" w:rsidRPr="00D62A0A" w:rsidRDefault="00CB4F57" w:rsidP="00CB4F57">
      <w:pPr>
        <w:ind w:left="360"/>
        <w:jc w:val="both"/>
        <w:rPr>
          <w:rFonts w:ascii="Garamond" w:hAnsi="Garamond"/>
        </w:rPr>
      </w:pPr>
      <w:r w:rsidRPr="00D62A0A">
        <w:rPr>
          <w:rFonts w:ascii="Garamond" w:hAnsi="Garamond"/>
          <w:b/>
          <w:bCs/>
        </w:rPr>
        <w:t>Duty to eliminate discrimination, sexual harassment or victimisation</w:t>
      </w:r>
    </w:p>
    <w:p w14:paraId="7B22A539" w14:textId="77777777" w:rsidR="00CB4F57" w:rsidRPr="00D62A0A" w:rsidRDefault="00CB4F57" w:rsidP="00CB4F57">
      <w:pPr>
        <w:pStyle w:val="ListParagraph"/>
        <w:numPr>
          <w:ilvl w:val="0"/>
          <w:numId w:val="15"/>
        </w:numPr>
        <w:tabs>
          <w:tab w:val="left" w:pos="567"/>
        </w:tabs>
        <w:jc w:val="both"/>
        <w:rPr>
          <w:rFonts w:ascii="Garamond" w:hAnsi="Garamond"/>
        </w:rPr>
      </w:pPr>
      <w:r w:rsidRPr="00D62A0A">
        <w:rPr>
          <w:rFonts w:ascii="Garamond" w:hAnsi="Garamond"/>
        </w:rPr>
        <w:t>This section applies to a person who has a duty under Part 4, 6 or 7 not to engage in discrimination, sexual harassment or victimisation.</w:t>
      </w:r>
    </w:p>
    <w:p w14:paraId="7B2981E6" w14:textId="77777777" w:rsidR="00CB4F57" w:rsidRPr="00D62A0A" w:rsidRDefault="00CB4F57" w:rsidP="00CB4F57">
      <w:pPr>
        <w:tabs>
          <w:tab w:val="left" w:pos="567"/>
        </w:tabs>
        <w:jc w:val="both"/>
        <w:rPr>
          <w:rFonts w:ascii="Garamond" w:hAnsi="Garamond"/>
        </w:rPr>
      </w:pPr>
    </w:p>
    <w:p w14:paraId="0269610D" w14:textId="77777777" w:rsidR="00CB4F57" w:rsidRPr="00D62A0A" w:rsidRDefault="00CB4F57" w:rsidP="00CB4F57">
      <w:pPr>
        <w:ind w:left="1418" w:hanging="851"/>
        <w:jc w:val="both"/>
        <w:rPr>
          <w:rFonts w:ascii="Garamond" w:hAnsi="Garamond"/>
        </w:rPr>
      </w:pPr>
      <w:r w:rsidRPr="00D62A0A">
        <w:rPr>
          <w:rFonts w:ascii="Garamond" w:hAnsi="Garamond"/>
        </w:rPr>
        <w:t>    (2)     A person must take reasonable and proportionate measures to eliminate that discrimination, sexual harassment or victimisation as far as possible.</w:t>
      </w:r>
    </w:p>
    <w:p w14:paraId="1FBCD304" w14:textId="77777777" w:rsidR="00CB4F57" w:rsidRPr="00D62A0A" w:rsidRDefault="00CB4F57" w:rsidP="00CB4F57">
      <w:pPr>
        <w:ind w:left="1418" w:hanging="851"/>
        <w:jc w:val="both"/>
        <w:rPr>
          <w:rFonts w:ascii="Garamond" w:hAnsi="Garamond"/>
        </w:rPr>
      </w:pPr>
    </w:p>
    <w:p w14:paraId="29F80923" w14:textId="77777777" w:rsidR="00CB4F57" w:rsidRPr="00D62A0A" w:rsidRDefault="00CB4F57" w:rsidP="00CB4F57">
      <w:pPr>
        <w:ind w:left="1418" w:hanging="851"/>
        <w:jc w:val="both"/>
        <w:rPr>
          <w:rFonts w:ascii="Garamond" w:hAnsi="Garamond"/>
        </w:rPr>
      </w:pPr>
      <w:r w:rsidRPr="00D62A0A">
        <w:rPr>
          <w:rFonts w:ascii="Garamond" w:hAnsi="Garamond"/>
        </w:rPr>
        <w:t>    (3)     Part 8 does not apply to a contravention of the duty imposed by subsection (2).</w:t>
      </w:r>
    </w:p>
    <w:p w14:paraId="2B83558A" w14:textId="77777777" w:rsidR="00CB4F57" w:rsidRPr="00D62A0A" w:rsidRDefault="00CB4F57" w:rsidP="00CB4F57">
      <w:pPr>
        <w:ind w:left="1418" w:hanging="851"/>
        <w:jc w:val="both"/>
        <w:rPr>
          <w:rFonts w:ascii="Garamond" w:hAnsi="Garamond"/>
        </w:rPr>
      </w:pPr>
    </w:p>
    <w:p w14:paraId="68755018" w14:textId="77777777" w:rsidR="00CB4F57" w:rsidRPr="00D62A0A" w:rsidRDefault="00CB4F57" w:rsidP="00CB4F57">
      <w:pPr>
        <w:ind w:left="1418" w:hanging="851"/>
        <w:jc w:val="both"/>
        <w:rPr>
          <w:rFonts w:ascii="Garamond" w:hAnsi="Garamond"/>
        </w:rPr>
      </w:pPr>
      <w:bookmarkStart w:id="6" w:name="arial"/>
      <w:bookmarkEnd w:id="6"/>
      <w:r w:rsidRPr="00D62A0A">
        <w:rPr>
          <w:rFonts w:ascii="Garamond" w:hAnsi="Garamond"/>
        </w:rPr>
        <w:t>    (4)     A contravention of the duty imposed by subsection (2) may be the subject of an investigation undertaken by the Commission under Part 9.</w:t>
      </w:r>
    </w:p>
    <w:p w14:paraId="778E9510" w14:textId="77777777" w:rsidR="00CB4F57" w:rsidRPr="00D62A0A" w:rsidRDefault="00CB4F57" w:rsidP="00CB4F57">
      <w:pPr>
        <w:ind w:left="1418" w:hanging="851"/>
        <w:jc w:val="both"/>
        <w:rPr>
          <w:rFonts w:ascii="Garamond" w:hAnsi="Garamond"/>
        </w:rPr>
      </w:pPr>
    </w:p>
    <w:p w14:paraId="33F979AE" w14:textId="77777777" w:rsidR="00CB4F57" w:rsidRPr="00D62A0A" w:rsidRDefault="00CB4F57" w:rsidP="00CB4F57">
      <w:pPr>
        <w:ind w:left="1418" w:hanging="851"/>
        <w:jc w:val="both"/>
        <w:rPr>
          <w:rFonts w:ascii="Garamond" w:hAnsi="Garamond"/>
        </w:rPr>
      </w:pPr>
      <w:r w:rsidRPr="00D62A0A">
        <w:rPr>
          <w:rFonts w:ascii="Garamond" w:hAnsi="Garamond"/>
        </w:rPr>
        <w:t>    (5)     The duty imposed by subsection (2) is in addition to—</w:t>
      </w:r>
    </w:p>
    <w:p w14:paraId="04BDCD39" w14:textId="77777777" w:rsidR="00CB4F57" w:rsidRPr="00D62A0A" w:rsidRDefault="00CB4F57" w:rsidP="00CB4F57">
      <w:pPr>
        <w:ind w:left="2269" w:hanging="851"/>
        <w:jc w:val="both"/>
        <w:rPr>
          <w:rFonts w:ascii="Garamond" w:hAnsi="Garamond"/>
        </w:rPr>
      </w:pPr>
      <w:r w:rsidRPr="00D62A0A">
        <w:rPr>
          <w:rFonts w:ascii="Garamond" w:hAnsi="Garamond"/>
        </w:rPr>
        <w:t>        (a)    a duty under Part 4, 6 or 7; and</w:t>
      </w:r>
    </w:p>
    <w:p w14:paraId="0076C25A" w14:textId="77777777" w:rsidR="00CB4F57" w:rsidRPr="00D62A0A" w:rsidRDefault="00CB4F57" w:rsidP="00CB4F57">
      <w:pPr>
        <w:ind w:left="2269" w:hanging="851"/>
        <w:jc w:val="both"/>
        <w:rPr>
          <w:rFonts w:ascii="Garamond" w:hAnsi="Garamond"/>
        </w:rPr>
      </w:pPr>
      <w:r w:rsidRPr="00D62A0A">
        <w:rPr>
          <w:rFonts w:ascii="Garamond" w:hAnsi="Garamond"/>
        </w:rPr>
        <w:t>        (b)    in the case of a person who is a public authority, a duty under section 38 of the Charter of Human Rights and Responsibilities.</w:t>
      </w:r>
    </w:p>
    <w:p w14:paraId="670AA479" w14:textId="77777777" w:rsidR="00CB4F57" w:rsidRPr="00D62A0A" w:rsidRDefault="00CB4F57" w:rsidP="00CB4F57">
      <w:pPr>
        <w:ind w:left="2269" w:hanging="851"/>
        <w:jc w:val="both"/>
        <w:rPr>
          <w:rFonts w:ascii="Garamond" w:hAnsi="Garamond"/>
        </w:rPr>
      </w:pPr>
    </w:p>
    <w:p w14:paraId="1E54B57D" w14:textId="77777777" w:rsidR="00CB4F57" w:rsidRPr="00D62A0A" w:rsidRDefault="00CB4F57" w:rsidP="00CB4F57">
      <w:pPr>
        <w:ind w:left="1418" w:hanging="851"/>
        <w:jc w:val="both"/>
        <w:rPr>
          <w:rFonts w:ascii="Garamond" w:hAnsi="Garamond"/>
        </w:rPr>
      </w:pPr>
      <w:r w:rsidRPr="00D62A0A">
        <w:rPr>
          <w:rFonts w:ascii="Garamond" w:hAnsi="Garamond"/>
        </w:rPr>
        <w:t>    (6)     In determining whether a measure is reasonable and proportionate the following factors must be considered—</w:t>
      </w:r>
    </w:p>
    <w:p w14:paraId="32C34132" w14:textId="77777777" w:rsidR="00CB4F57" w:rsidRPr="00D62A0A" w:rsidRDefault="00CB4F57" w:rsidP="00CB4F57">
      <w:pPr>
        <w:ind w:left="1843" w:hanging="1276"/>
        <w:jc w:val="both"/>
        <w:rPr>
          <w:rFonts w:ascii="Garamond" w:hAnsi="Garamond"/>
        </w:rPr>
      </w:pPr>
      <w:r w:rsidRPr="00D62A0A">
        <w:rPr>
          <w:rFonts w:ascii="Garamond" w:hAnsi="Garamond"/>
        </w:rPr>
        <w:t>       </w:t>
      </w:r>
      <w:r w:rsidRPr="00D62A0A">
        <w:rPr>
          <w:rFonts w:ascii="Garamond" w:hAnsi="Garamond"/>
        </w:rPr>
        <w:tab/>
        <w:t>(a)     the size of the person's business or operations;</w:t>
      </w:r>
    </w:p>
    <w:p w14:paraId="07A8EB44" w14:textId="77777777" w:rsidR="00CB4F57" w:rsidRPr="00D62A0A" w:rsidRDefault="00CB4F57" w:rsidP="00CB4F57">
      <w:pPr>
        <w:ind w:left="1843" w:hanging="1276"/>
        <w:jc w:val="both"/>
        <w:rPr>
          <w:rFonts w:ascii="Garamond" w:hAnsi="Garamond"/>
        </w:rPr>
      </w:pPr>
      <w:r w:rsidRPr="00D62A0A">
        <w:rPr>
          <w:rFonts w:ascii="Garamond" w:hAnsi="Garamond"/>
        </w:rPr>
        <w:t xml:space="preserve">        </w:t>
      </w:r>
      <w:r w:rsidRPr="00D62A0A">
        <w:rPr>
          <w:rFonts w:ascii="Garamond" w:hAnsi="Garamond"/>
        </w:rPr>
        <w:tab/>
        <w:t>(b)     the nature and circumstances of the person's business or operations;</w:t>
      </w:r>
    </w:p>
    <w:p w14:paraId="765649D8" w14:textId="77777777" w:rsidR="00CB4F57" w:rsidRPr="00D62A0A" w:rsidRDefault="00CB4F57" w:rsidP="00CB4F57">
      <w:pPr>
        <w:ind w:left="1843" w:hanging="1276"/>
        <w:jc w:val="both"/>
        <w:rPr>
          <w:rFonts w:ascii="Garamond" w:hAnsi="Garamond"/>
        </w:rPr>
      </w:pPr>
      <w:r w:rsidRPr="00D62A0A">
        <w:rPr>
          <w:rFonts w:ascii="Garamond" w:hAnsi="Garamond"/>
        </w:rPr>
        <w:t>       </w:t>
      </w:r>
      <w:r w:rsidRPr="00D62A0A">
        <w:rPr>
          <w:rFonts w:ascii="Garamond" w:hAnsi="Garamond"/>
        </w:rPr>
        <w:tab/>
        <w:t>(c)     the person's resources;</w:t>
      </w:r>
    </w:p>
    <w:p w14:paraId="675BE1DF" w14:textId="77777777" w:rsidR="00CB4F57" w:rsidRPr="00D62A0A" w:rsidRDefault="00CB4F57" w:rsidP="00CB4F57">
      <w:pPr>
        <w:ind w:left="1843" w:hanging="1276"/>
        <w:jc w:val="both"/>
        <w:rPr>
          <w:rFonts w:ascii="Garamond" w:hAnsi="Garamond"/>
        </w:rPr>
      </w:pPr>
      <w:r w:rsidRPr="00D62A0A">
        <w:rPr>
          <w:rFonts w:ascii="Garamond" w:hAnsi="Garamond"/>
        </w:rPr>
        <w:t>       </w:t>
      </w:r>
      <w:r w:rsidRPr="00D62A0A">
        <w:rPr>
          <w:rFonts w:ascii="Garamond" w:hAnsi="Garamond"/>
        </w:rPr>
        <w:tab/>
        <w:t>(d)     the person's business and operational priorities;</w:t>
      </w:r>
    </w:p>
    <w:p w14:paraId="4AF51256" w14:textId="77777777" w:rsidR="00CB4F57" w:rsidRPr="00D62A0A" w:rsidRDefault="00CB4F57" w:rsidP="00CB4F57">
      <w:pPr>
        <w:ind w:left="1843" w:hanging="1276"/>
        <w:jc w:val="both"/>
        <w:rPr>
          <w:rFonts w:ascii="Garamond" w:hAnsi="Garamond"/>
        </w:rPr>
      </w:pPr>
      <w:r w:rsidRPr="00D62A0A">
        <w:rPr>
          <w:rFonts w:ascii="Garamond" w:hAnsi="Garamond"/>
        </w:rPr>
        <w:t xml:space="preserve">      </w:t>
      </w:r>
      <w:r w:rsidRPr="00D62A0A">
        <w:rPr>
          <w:rFonts w:ascii="Garamond" w:hAnsi="Garamond"/>
        </w:rPr>
        <w:tab/>
        <w:t>(e)     the practicability and the cost of the measures.</w:t>
      </w:r>
    </w:p>
    <w:p w14:paraId="36CD3D6B" w14:textId="77777777" w:rsidR="00CB4F57" w:rsidRPr="00D62A0A" w:rsidRDefault="00CB4F57" w:rsidP="00CB4F57">
      <w:pPr>
        <w:ind w:left="1843" w:hanging="1276"/>
        <w:jc w:val="both"/>
        <w:rPr>
          <w:rFonts w:ascii="Garamond" w:hAnsi="Garamond"/>
        </w:rPr>
      </w:pPr>
    </w:p>
    <w:p w14:paraId="7AB9F2FB" w14:textId="77777777" w:rsidR="00CB4F57" w:rsidRPr="001F021D" w:rsidRDefault="00CB4F57" w:rsidP="00CB4F57">
      <w:pPr>
        <w:pStyle w:val="ListParagraph"/>
        <w:ind w:left="360"/>
        <w:jc w:val="both"/>
        <w:rPr>
          <w:rFonts w:ascii="Garamond" w:hAnsi="Garamond"/>
          <w:sz w:val="24"/>
          <w:szCs w:val="24"/>
        </w:rPr>
      </w:pPr>
    </w:p>
    <w:p w14:paraId="4AAB8177" w14:textId="77777777" w:rsidR="00332E6E" w:rsidRPr="001F021D" w:rsidRDefault="00CB4F57" w:rsidP="005C350E">
      <w:pPr>
        <w:pStyle w:val="ListParagraph"/>
        <w:numPr>
          <w:ilvl w:val="0"/>
          <w:numId w:val="1"/>
        </w:numPr>
        <w:jc w:val="both"/>
        <w:rPr>
          <w:rFonts w:ascii="Garamond" w:hAnsi="Garamond"/>
          <w:sz w:val="24"/>
          <w:szCs w:val="24"/>
        </w:rPr>
      </w:pPr>
      <w:r w:rsidRPr="001F021D">
        <w:rPr>
          <w:rFonts w:ascii="Garamond" w:hAnsi="Garamond"/>
          <w:sz w:val="24"/>
          <w:szCs w:val="24"/>
        </w:rPr>
        <w:t>Thus</w:t>
      </w:r>
      <w:r w:rsidR="00FF5AE6" w:rsidRPr="001F021D">
        <w:rPr>
          <w:rFonts w:ascii="Garamond" w:hAnsi="Garamond"/>
          <w:sz w:val="24"/>
          <w:szCs w:val="24"/>
        </w:rPr>
        <w:t>,</w:t>
      </w:r>
      <w:r w:rsidRPr="001F021D">
        <w:rPr>
          <w:rFonts w:ascii="Garamond" w:hAnsi="Garamond"/>
          <w:sz w:val="24"/>
          <w:szCs w:val="24"/>
        </w:rPr>
        <w:t xml:space="preserve"> the section </w:t>
      </w:r>
      <w:r w:rsidR="00332E6E" w:rsidRPr="001F021D">
        <w:rPr>
          <w:rFonts w:ascii="Garamond" w:hAnsi="Garamond"/>
          <w:sz w:val="24"/>
          <w:szCs w:val="24"/>
        </w:rPr>
        <w:t>applies to a person who has a duty under Part 4,</w:t>
      </w:r>
      <w:r w:rsidR="005035F9" w:rsidRPr="001F021D">
        <w:rPr>
          <w:rFonts w:ascii="Garamond" w:hAnsi="Garamond"/>
          <w:sz w:val="24"/>
          <w:szCs w:val="24"/>
        </w:rPr>
        <w:t xml:space="preserve"> </w:t>
      </w:r>
      <w:r w:rsidR="00332E6E" w:rsidRPr="001F021D">
        <w:rPr>
          <w:rFonts w:ascii="Garamond" w:hAnsi="Garamond"/>
          <w:sz w:val="24"/>
          <w:szCs w:val="24"/>
        </w:rPr>
        <w:t>6,</w:t>
      </w:r>
      <w:r w:rsidRPr="001F021D">
        <w:rPr>
          <w:rFonts w:ascii="Garamond" w:hAnsi="Garamond"/>
          <w:sz w:val="24"/>
          <w:szCs w:val="24"/>
        </w:rPr>
        <w:t xml:space="preserve"> </w:t>
      </w:r>
      <w:r w:rsidR="00332E6E" w:rsidRPr="001F021D">
        <w:rPr>
          <w:rFonts w:ascii="Garamond" w:hAnsi="Garamond"/>
          <w:sz w:val="24"/>
          <w:szCs w:val="24"/>
        </w:rPr>
        <w:t xml:space="preserve">or 7 of the Act not to engage in </w:t>
      </w:r>
      <w:r w:rsidR="005035F9" w:rsidRPr="001F021D">
        <w:rPr>
          <w:rFonts w:ascii="Garamond" w:hAnsi="Garamond"/>
          <w:sz w:val="24"/>
          <w:szCs w:val="24"/>
        </w:rPr>
        <w:t xml:space="preserve">conduct including sexual harassment. While sexual harassment has been considered to be a form of gender discrimination, for the purposes of this advice I have considered that Part 6 is the relevant Part in this context. </w:t>
      </w:r>
    </w:p>
    <w:p w14:paraId="30929CDB" w14:textId="77777777" w:rsidR="005035F9" w:rsidRPr="001F021D" w:rsidRDefault="005035F9" w:rsidP="005035F9">
      <w:pPr>
        <w:pStyle w:val="ListParagraph"/>
        <w:ind w:left="360"/>
        <w:jc w:val="both"/>
        <w:rPr>
          <w:rFonts w:ascii="Garamond" w:hAnsi="Garamond"/>
          <w:sz w:val="24"/>
          <w:szCs w:val="24"/>
        </w:rPr>
      </w:pPr>
    </w:p>
    <w:p w14:paraId="0398433F" w14:textId="77777777" w:rsidR="00240D5B" w:rsidRPr="001F021D" w:rsidRDefault="005035F9"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Section 15 requires a person who has a duty not to engage in sexual harassment to take reasonable and proportionate measures to eliminate that conduct, including conduct in breach of s94. This requirement </w:t>
      </w:r>
      <w:r w:rsidR="005F6009" w:rsidRPr="001F021D">
        <w:rPr>
          <w:rFonts w:ascii="Garamond" w:hAnsi="Garamond"/>
          <w:sz w:val="24"/>
          <w:szCs w:val="24"/>
        </w:rPr>
        <w:t xml:space="preserve">extends to the employer of Court personnel and </w:t>
      </w:r>
      <w:r w:rsidRPr="001F021D">
        <w:rPr>
          <w:rFonts w:ascii="Garamond" w:hAnsi="Garamond"/>
          <w:sz w:val="24"/>
          <w:szCs w:val="24"/>
        </w:rPr>
        <w:t>exists regardless of the operation of judicial immunity</w:t>
      </w:r>
      <w:r w:rsidR="005F6009" w:rsidRPr="001F021D">
        <w:rPr>
          <w:rFonts w:ascii="Garamond" w:hAnsi="Garamond"/>
          <w:sz w:val="24"/>
          <w:szCs w:val="24"/>
        </w:rPr>
        <w:t xml:space="preserve">. </w:t>
      </w:r>
    </w:p>
    <w:p w14:paraId="03587885" w14:textId="77777777" w:rsidR="005F6009" w:rsidRPr="001F021D" w:rsidRDefault="005F6009" w:rsidP="005F6009">
      <w:pPr>
        <w:pStyle w:val="ListParagraph"/>
        <w:rPr>
          <w:rFonts w:ascii="Garamond" w:hAnsi="Garamond"/>
          <w:sz w:val="24"/>
          <w:szCs w:val="24"/>
        </w:rPr>
      </w:pPr>
    </w:p>
    <w:p w14:paraId="7414355E" w14:textId="77777777" w:rsidR="0037788A" w:rsidRPr="001F021D" w:rsidRDefault="005F6009"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Action to minimise or eliminate a breach of the Act need to be reasonable and proportionate to the size of the operations, the nature and circumstances of operations, resources and operational priorities and practicality </w:t>
      </w:r>
      <w:r w:rsidR="0037788A" w:rsidRPr="001F021D">
        <w:rPr>
          <w:rFonts w:ascii="Garamond" w:hAnsi="Garamond"/>
          <w:sz w:val="24"/>
          <w:szCs w:val="24"/>
        </w:rPr>
        <w:t xml:space="preserve">but </w:t>
      </w:r>
      <w:r w:rsidRPr="001F021D">
        <w:rPr>
          <w:rFonts w:ascii="Garamond" w:hAnsi="Garamond"/>
          <w:sz w:val="24"/>
          <w:szCs w:val="24"/>
        </w:rPr>
        <w:t xml:space="preserve">it is not required to do everything possible. What is judged to be reasonable and proportionate however, may also informed by knowledge of past events, likelihood of breach and seriousness of consequences. </w:t>
      </w:r>
    </w:p>
    <w:p w14:paraId="46505A0C" w14:textId="77777777" w:rsidR="0037788A" w:rsidRPr="001F021D" w:rsidRDefault="0037788A" w:rsidP="0037788A">
      <w:pPr>
        <w:pStyle w:val="ListParagraph"/>
        <w:rPr>
          <w:rFonts w:ascii="Garamond" w:hAnsi="Garamond"/>
          <w:sz w:val="24"/>
          <w:szCs w:val="24"/>
        </w:rPr>
      </w:pPr>
    </w:p>
    <w:p w14:paraId="139B64CA" w14:textId="77777777" w:rsidR="005F6009" w:rsidRPr="001F021D" w:rsidRDefault="0037788A"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Practically, this requires a proactive </w:t>
      </w:r>
      <w:r w:rsidR="004360A4" w:rsidRPr="001F021D">
        <w:rPr>
          <w:rFonts w:ascii="Garamond" w:hAnsi="Garamond"/>
          <w:sz w:val="24"/>
          <w:szCs w:val="24"/>
        </w:rPr>
        <w:t xml:space="preserve">risk-based </w:t>
      </w:r>
      <w:r w:rsidRPr="001F021D">
        <w:rPr>
          <w:rFonts w:ascii="Garamond" w:hAnsi="Garamond"/>
          <w:sz w:val="24"/>
          <w:szCs w:val="24"/>
        </w:rPr>
        <w:t xml:space="preserve">strategic approach to be undertaken by the Courts and the government as employer of non-judicial Court personnel. </w:t>
      </w:r>
    </w:p>
    <w:p w14:paraId="4B765879" w14:textId="77777777" w:rsidR="0037788A" w:rsidRPr="001F021D" w:rsidRDefault="0037788A" w:rsidP="0037788A">
      <w:pPr>
        <w:pStyle w:val="ListParagraph"/>
        <w:rPr>
          <w:rFonts w:ascii="Garamond" w:hAnsi="Garamond"/>
          <w:sz w:val="24"/>
          <w:szCs w:val="24"/>
        </w:rPr>
      </w:pPr>
    </w:p>
    <w:p w14:paraId="162CF18D" w14:textId="77777777" w:rsidR="0037788A" w:rsidRPr="001F021D" w:rsidRDefault="0037788A" w:rsidP="0037788A">
      <w:pPr>
        <w:jc w:val="both"/>
        <w:rPr>
          <w:rFonts w:ascii="Garamond" w:hAnsi="Garamond"/>
          <w:sz w:val="24"/>
          <w:szCs w:val="24"/>
        </w:rPr>
      </w:pPr>
    </w:p>
    <w:p w14:paraId="553B6EA9" w14:textId="77777777" w:rsidR="00F01CFD" w:rsidRPr="001F021D" w:rsidRDefault="00CB0C3E" w:rsidP="00F01CFD">
      <w:pPr>
        <w:rPr>
          <w:rFonts w:ascii="Garamond" w:hAnsi="Garamond"/>
          <w:b/>
          <w:i/>
          <w:iCs/>
          <w:sz w:val="24"/>
          <w:szCs w:val="24"/>
        </w:rPr>
      </w:pPr>
      <w:r w:rsidRPr="001F021D">
        <w:rPr>
          <w:rFonts w:ascii="Garamond" w:hAnsi="Garamond"/>
          <w:b/>
          <w:i/>
          <w:iCs/>
          <w:sz w:val="24"/>
          <w:szCs w:val="24"/>
        </w:rPr>
        <w:t>VEOHRC p</w:t>
      </w:r>
      <w:r w:rsidR="00F01CFD" w:rsidRPr="001F021D">
        <w:rPr>
          <w:rFonts w:ascii="Garamond" w:hAnsi="Garamond"/>
          <w:b/>
          <w:i/>
          <w:iCs/>
          <w:sz w:val="24"/>
          <w:szCs w:val="24"/>
        </w:rPr>
        <w:t xml:space="preserve">roposed further enforcement powers </w:t>
      </w:r>
    </w:p>
    <w:p w14:paraId="64112B53" w14:textId="77777777" w:rsidR="00240D5B" w:rsidRPr="001F021D" w:rsidRDefault="00CB0C3E"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The VEOHRC has recommended that the EO Act be amended to allow </w:t>
      </w:r>
      <w:r w:rsidR="005E1548" w:rsidRPr="001F021D">
        <w:rPr>
          <w:rFonts w:ascii="Garamond" w:hAnsi="Garamond"/>
          <w:sz w:val="24"/>
          <w:szCs w:val="24"/>
        </w:rPr>
        <w:t xml:space="preserve">it </w:t>
      </w:r>
      <w:r w:rsidRPr="001F021D">
        <w:rPr>
          <w:rFonts w:ascii="Garamond" w:hAnsi="Garamond"/>
          <w:sz w:val="24"/>
          <w:szCs w:val="24"/>
        </w:rPr>
        <w:t>to:</w:t>
      </w:r>
    </w:p>
    <w:p w14:paraId="01B7F881" w14:textId="77777777" w:rsidR="00CB0C3E" w:rsidRPr="001F021D" w:rsidRDefault="00CB0C3E" w:rsidP="00CB0C3E">
      <w:pPr>
        <w:pStyle w:val="ListParagraph"/>
        <w:ind w:left="360"/>
        <w:jc w:val="both"/>
        <w:rPr>
          <w:rFonts w:ascii="Garamond" w:hAnsi="Garamond"/>
          <w:sz w:val="24"/>
          <w:szCs w:val="24"/>
        </w:rPr>
      </w:pPr>
    </w:p>
    <w:p w14:paraId="09C52F2E" w14:textId="77777777" w:rsidR="00CB0C3E" w:rsidRPr="001F021D" w:rsidRDefault="00CB0C3E" w:rsidP="005C350E">
      <w:pPr>
        <w:pStyle w:val="ListParagraph"/>
        <w:numPr>
          <w:ilvl w:val="1"/>
          <w:numId w:val="18"/>
        </w:numPr>
        <w:jc w:val="both"/>
        <w:rPr>
          <w:rFonts w:ascii="Garamond" w:hAnsi="Garamond"/>
          <w:sz w:val="24"/>
          <w:szCs w:val="24"/>
        </w:rPr>
      </w:pPr>
      <w:r w:rsidRPr="001F021D">
        <w:rPr>
          <w:rFonts w:ascii="Garamond" w:hAnsi="Garamond"/>
          <w:sz w:val="24"/>
          <w:szCs w:val="24"/>
        </w:rPr>
        <w:t>Undertake own-motion public inquiries with consent of the Board (Pt 9, new section);</w:t>
      </w:r>
    </w:p>
    <w:p w14:paraId="6CAFA1AC" w14:textId="77777777" w:rsidR="00CB0C3E" w:rsidRPr="001F021D" w:rsidRDefault="00CB0C3E" w:rsidP="00CB0C3E">
      <w:pPr>
        <w:pStyle w:val="ListParagraph"/>
        <w:ind w:left="1080"/>
        <w:jc w:val="both"/>
        <w:rPr>
          <w:rFonts w:ascii="Garamond" w:hAnsi="Garamond"/>
          <w:sz w:val="24"/>
          <w:szCs w:val="24"/>
        </w:rPr>
      </w:pPr>
    </w:p>
    <w:p w14:paraId="28DA2987" w14:textId="77777777" w:rsidR="00CB0C3E" w:rsidRPr="001F021D" w:rsidRDefault="00CB0C3E" w:rsidP="005C350E">
      <w:pPr>
        <w:pStyle w:val="ListParagraph"/>
        <w:numPr>
          <w:ilvl w:val="1"/>
          <w:numId w:val="18"/>
        </w:numPr>
        <w:jc w:val="both"/>
        <w:rPr>
          <w:rFonts w:ascii="Garamond" w:hAnsi="Garamond"/>
          <w:sz w:val="24"/>
          <w:szCs w:val="24"/>
        </w:rPr>
      </w:pPr>
      <w:r w:rsidRPr="001F021D">
        <w:rPr>
          <w:rFonts w:ascii="Garamond" w:hAnsi="Garamond"/>
          <w:sz w:val="24"/>
          <w:szCs w:val="24"/>
        </w:rPr>
        <w:t>Investigate serious matters that indicate a possible contravention of the EO Act (section 217), without the need for a reasonable expectation that the matter cannot be resolved by dispute resolution or VCAT, and with the introduction of a ‘reasonable expectation’ that the matter relates to a class of group of people;</w:t>
      </w:r>
    </w:p>
    <w:p w14:paraId="5477F9E2" w14:textId="77777777" w:rsidR="00CB0C3E" w:rsidRPr="001F021D" w:rsidRDefault="00CB0C3E" w:rsidP="00CB0C3E">
      <w:pPr>
        <w:pStyle w:val="ListParagraph"/>
        <w:rPr>
          <w:rFonts w:ascii="Garamond" w:hAnsi="Garamond"/>
          <w:sz w:val="24"/>
          <w:szCs w:val="24"/>
        </w:rPr>
      </w:pPr>
    </w:p>
    <w:p w14:paraId="19BA24C7" w14:textId="77777777" w:rsidR="00CB0C3E" w:rsidRPr="001F021D" w:rsidRDefault="00CB0C3E" w:rsidP="005C350E">
      <w:pPr>
        <w:pStyle w:val="ListParagraph"/>
        <w:numPr>
          <w:ilvl w:val="1"/>
          <w:numId w:val="18"/>
        </w:numPr>
        <w:jc w:val="both"/>
        <w:rPr>
          <w:rFonts w:ascii="Garamond" w:hAnsi="Garamond"/>
          <w:sz w:val="24"/>
          <w:szCs w:val="24"/>
        </w:rPr>
      </w:pPr>
      <w:r w:rsidRPr="001F021D">
        <w:rPr>
          <w:rFonts w:ascii="Garamond" w:hAnsi="Garamond"/>
          <w:sz w:val="24"/>
          <w:szCs w:val="24"/>
        </w:rPr>
        <w:t>Compel attendance, information and documents for an investigation of public inquiry without the need for an order from VCAT (sections 129-134); and</w:t>
      </w:r>
    </w:p>
    <w:p w14:paraId="15219952" w14:textId="77777777" w:rsidR="00CB0C3E" w:rsidRPr="001F021D" w:rsidRDefault="00CB0C3E" w:rsidP="00CB0C3E">
      <w:pPr>
        <w:pStyle w:val="ListParagraph"/>
        <w:rPr>
          <w:rFonts w:ascii="Garamond" w:hAnsi="Garamond"/>
          <w:sz w:val="24"/>
          <w:szCs w:val="24"/>
        </w:rPr>
      </w:pPr>
    </w:p>
    <w:p w14:paraId="4503AD04" w14:textId="77777777" w:rsidR="00CB0C3E" w:rsidRPr="001F021D" w:rsidRDefault="00CB0C3E" w:rsidP="005C350E">
      <w:pPr>
        <w:pStyle w:val="ListParagraph"/>
        <w:numPr>
          <w:ilvl w:val="1"/>
          <w:numId w:val="18"/>
        </w:numPr>
        <w:jc w:val="both"/>
        <w:rPr>
          <w:rFonts w:ascii="Garamond" w:hAnsi="Garamond"/>
          <w:sz w:val="24"/>
          <w:szCs w:val="24"/>
        </w:rPr>
      </w:pPr>
      <w:r w:rsidRPr="001F021D">
        <w:rPr>
          <w:rFonts w:ascii="Garamond" w:hAnsi="Garamond"/>
          <w:sz w:val="24"/>
          <w:szCs w:val="24"/>
        </w:rPr>
        <w:t>Seek enforceable undertakings and issue compliance notices as potential outcomes of an investigation or a public inquiry (section 139, new sub-section).</w:t>
      </w:r>
    </w:p>
    <w:p w14:paraId="39113E35" w14:textId="77777777" w:rsidR="00DF6154" w:rsidRPr="001F021D" w:rsidRDefault="00DF6154" w:rsidP="00DF6154">
      <w:pPr>
        <w:pStyle w:val="ListParagraph"/>
        <w:rPr>
          <w:rFonts w:ascii="Garamond" w:hAnsi="Garamond"/>
          <w:sz w:val="24"/>
          <w:szCs w:val="24"/>
        </w:rPr>
      </w:pPr>
    </w:p>
    <w:p w14:paraId="658C433B" w14:textId="77777777" w:rsidR="00AD5FFA" w:rsidRPr="001F021D" w:rsidRDefault="00DF6154" w:rsidP="005C350E">
      <w:pPr>
        <w:pStyle w:val="ListParagraph"/>
        <w:numPr>
          <w:ilvl w:val="0"/>
          <w:numId w:val="1"/>
        </w:numPr>
        <w:jc w:val="both"/>
        <w:rPr>
          <w:rFonts w:ascii="Garamond" w:hAnsi="Garamond"/>
          <w:sz w:val="24"/>
          <w:szCs w:val="24"/>
        </w:rPr>
      </w:pPr>
      <w:r w:rsidRPr="001F021D">
        <w:rPr>
          <w:rFonts w:ascii="Garamond" w:hAnsi="Garamond"/>
          <w:sz w:val="24"/>
          <w:szCs w:val="24"/>
        </w:rPr>
        <w:t>It is well documented that complainants are reluctant to bring complaints</w:t>
      </w:r>
      <w:r w:rsidR="00FE0061" w:rsidRPr="001F021D">
        <w:rPr>
          <w:rFonts w:ascii="Garamond" w:hAnsi="Garamond"/>
          <w:sz w:val="24"/>
          <w:szCs w:val="24"/>
        </w:rPr>
        <w:t xml:space="preserve"> i</w:t>
      </w:r>
      <w:r w:rsidRPr="001F021D">
        <w:rPr>
          <w:rFonts w:ascii="Garamond" w:hAnsi="Garamond"/>
          <w:sz w:val="24"/>
          <w:szCs w:val="24"/>
        </w:rPr>
        <w:t xml:space="preserve">n relation to sexual harassment </w:t>
      </w:r>
      <w:r w:rsidR="00AD5FFA" w:rsidRPr="001F021D">
        <w:rPr>
          <w:rFonts w:ascii="Garamond" w:hAnsi="Garamond"/>
          <w:sz w:val="24"/>
          <w:szCs w:val="24"/>
        </w:rPr>
        <w:t>generally</w:t>
      </w:r>
      <w:r w:rsidR="00134380" w:rsidRPr="001F021D">
        <w:rPr>
          <w:rFonts w:ascii="Garamond" w:hAnsi="Garamond"/>
          <w:sz w:val="24"/>
          <w:szCs w:val="24"/>
        </w:rPr>
        <w:t>,</w:t>
      </w:r>
      <w:r w:rsidR="00AD5FFA" w:rsidRPr="001F021D">
        <w:rPr>
          <w:rFonts w:ascii="Garamond" w:hAnsi="Garamond"/>
          <w:sz w:val="24"/>
          <w:szCs w:val="24"/>
        </w:rPr>
        <w:t xml:space="preserve"> and particularly so in the case of harassment by </w:t>
      </w:r>
      <w:r w:rsidRPr="001F021D">
        <w:rPr>
          <w:rFonts w:ascii="Garamond" w:hAnsi="Garamond"/>
          <w:sz w:val="24"/>
          <w:szCs w:val="24"/>
        </w:rPr>
        <w:t>judicial officers.</w:t>
      </w:r>
      <w:r w:rsidR="00A93968" w:rsidRPr="001F021D">
        <w:rPr>
          <w:rFonts w:ascii="Garamond" w:hAnsi="Garamond"/>
          <w:sz w:val="24"/>
          <w:szCs w:val="24"/>
        </w:rPr>
        <w:t xml:space="preserve"> </w:t>
      </w:r>
    </w:p>
    <w:p w14:paraId="50FC0F51" w14:textId="77777777" w:rsidR="00183B03" w:rsidRPr="001F021D" w:rsidRDefault="00183B03" w:rsidP="00183B03">
      <w:pPr>
        <w:pStyle w:val="ListParagraph"/>
        <w:ind w:left="426"/>
        <w:jc w:val="both"/>
        <w:rPr>
          <w:rFonts w:ascii="Garamond" w:hAnsi="Garamond"/>
          <w:sz w:val="24"/>
          <w:szCs w:val="24"/>
        </w:rPr>
      </w:pPr>
    </w:p>
    <w:p w14:paraId="70E46AF1" w14:textId="77777777" w:rsidR="006F0971" w:rsidRPr="001F021D" w:rsidRDefault="00AD5FFA"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In addition to the reluctance of complainants to pursue complaints, there is little in the initial stages of the process to act as a general deterrent. </w:t>
      </w:r>
      <w:r w:rsidR="00A93968" w:rsidRPr="001F021D">
        <w:rPr>
          <w:rFonts w:ascii="Garamond" w:hAnsi="Garamond"/>
          <w:sz w:val="24"/>
          <w:szCs w:val="24"/>
        </w:rPr>
        <w:t xml:space="preserve">Complaints to </w:t>
      </w:r>
      <w:r w:rsidR="005E1548" w:rsidRPr="001F021D">
        <w:rPr>
          <w:rFonts w:ascii="Garamond" w:hAnsi="Garamond"/>
          <w:sz w:val="24"/>
          <w:szCs w:val="24"/>
        </w:rPr>
        <w:t>VEOHRC</w:t>
      </w:r>
      <w:r w:rsidR="00A93968" w:rsidRPr="001F021D">
        <w:rPr>
          <w:rFonts w:ascii="Garamond" w:hAnsi="Garamond"/>
          <w:sz w:val="24"/>
          <w:szCs w:val="24"/>
        </w:rPr>
        <w:t xml:space="preserve"> </w:t>
      </w:r>
      <w:r w:rsidRPr="001F021D">
        <w:rPr>
          <w:rFonts w:ascii="Garamond" w:hAnsi="Garamond"/>
          <w:sz w:val="24"/>
          <w:szCs w:val="24"/>
        </w:rPr>
        <w:t xml:space="preserve">and to </w:t>
      </w:r>
      <w:r w:rsidR="00E656E5" w:rsidRPr="001F021D">
        <w:rPr>
          <w:rFonts w:ascii="Garamond" w:hAnsi="Garamond"/>
          <w:sz w:val="24"/>
          <w:szCs w:val="24"/>
        </w:rPr>
        <w:t xml:space="preserve">the </w:t>
      </w:r>
      <w:r w:rsidRPr="001F021D">
        <w:rPr>
          <w:rFonts w:ascii="Garamond" w:hAnsi="Garamond"/>
          <w:sz w:val="24"/>
          <w:szCs w:val="24"/>
        </w:rPr>
        <w:t>J</w:t>
      </w:r>
      <w:r w:rsidR="00FD02FD" w:rsidRPr="001F021D">
        <w:rPr>
          <w:rFonts w:ascii="Garamond" w:hAnsi="Garamond"/>
          <w:sz w:val="24"/>
          <w:szCs w:val="24"/>
        </w:rPr>
        <w:t>C</w:t>
      </w:r>
      <w:r w:rsidRPr="001F021D">
        <w:rPr>
          <w:rFonts w:ascii="Garamond" w:hAnsi="Garamond"/>
          <w:sz w:val="24"/>
          <w:szCs w:val="24"/>
        </w:rPr>
        <w:t xml:space="preserve">V </w:t>
      </w:r>
      <w:r w:rsidR="00A93968" w:rsidRPr="001F021D">
        <w:rPr>
          <w:rFonts w:ascii="Garamond" w:hAnsi="Garamond"/>
          <w:sz w:val="24"/>
          <w:szCs w:val="24"/>
        </w:rPr>
        <w:t xml:space="preserve">proceed to </w:t>
      </w:r>
      <w:r w:rsidR="00E656E5" w:rsidRPr="001F021D">
        <w:rPr>
          <w:rFonts w:ascii="Garamond" w:hAnsi="Garamond"/>
          <w:sz w:val="24"/>
          <w:szCs w:val="24"/>
        </w:rPr>
        <w:t xml:space="preserve">investigation and/or </w:t>
      </w:r>
      <w:r w:rsidR="00A93968" w:rsidRPr="001F021D">
        <w:rPr>
          <w:rFonts w:ascii="Garamond" w:hAnsi="Garamond"/>
          <w:sz w:val="24"/>
          <w:szCs w:val="24"/>
        </w:rPr>
        <w:t xml:space="preserve">conciliation </w:t>
      </w:r>
      <w:r w:rsidR="00DF6154" w:rsidRPr="001F021D">
        <w:rPr>
          <w:rFonts w:ascii="Garamond" w:hAnsi="Garamond"/>
          <w:sz w:val="24"/>
          <w:szCs w:val="24"/>
        </w:rPr>
        <w:t>in private</w:t>
      </w:r>
      <w:r w:rsidR="00A93968" w:rsidRPr="001F021D">
        <w:rPr>
          <w:rFonts w:ascii="Garamond" w:hAnsi="Garamond"/>
          <w:sz w:val="24"/>
          <w:szCs w:val="24"/>
        </w:rPr>
        <w:t>. There is little on the public record</w:t>
      </w:r>
      <w:r w:rsidR="00A21E40" w:rsidRPr="001F021D">
        <w:rPr>
          <w:rFonts w:ascii="Garamond" w:hAnsi="Garamond"/>
          <w:sz w:val="24"/>
          <w:szCs w:val="24"/>
        </w:rPr>
        <w:t>, beyond media reports,</w:t>
      </w:r>
      <w:r w:rsidR="00A93968" w:rsidRPr="001F021D">
        <w:rPr>
          <w:rFonts w:ascii="Garamond" w:hAnsi="Garamond"/>
          <w:sz w:val="24"/>
          <w:szCs w:val="24"/>
        </w:rPr>
        <w:t xml:space="preserve"> concerning complaints against judicial officers that might encourage reporting and discourage offending behaviour. </w:t>
      </w:r>
    </w:p>
    <w:p w14:paraId="05E79B90" w14:textId="77777777" w:rsidR="00DF6154" w:rsidRPr="001F021D" w:rsidRDefault="00DF6154" w:rsidP="00A93968">
      <w:pPr>
        <w:jc w:val="both"/>
        <w:rPr>
          <w:rFonts w:ascii="Garamond" w:hAnsi="Garamond"/>
          <w:sz w:val="24"/>
          <w:szCs w:val="24"/>
        </w:rPr>
      </w:pPr>
    </w:p>
    <w:p w14:paraId="2147881B" w14:textId="77777777" w:rsidR="005E1548" w:rsidRPr="001F021D" w:rsidRDefault="006F0971" w:rsidP="005C350E">
      <w:pPr>
        <w:pStyle w:val="ListParagraph"/>
        <w:numPr>
          <w:ilvl w:val="0"/>
          <w:numId w:val="1"/>
        </w:numPr>
        <w:jc w:val="both"/>
        <w:rPr>
          <w:rFonts w:ascii="Garamond" w:hAnsi="Garamond"/>
          <w:sz w:val="24"/>
          <w:szCs w:val="24"/>
        </w:rPr>
      </w:pPr>
      <w:r w:rsidRPr="001F021D">
        <w:rPr>
          <w:rFonts w:ascii="Garamond" w:hAnsi="Garamond"/>
          <w:sz w:val="24"/>
          <w:szCs w:val="24"/>
        </w:rPr>
        <w:t>With this in mind, there may be a valuable role for own</w:t>
      </w:r>
      <w:r w:rsidR="00A162EB" w:rsidRPr="001F021D">
        <w:rPr>
          <w:rFonts w:ascii="Garamond" w:hAnsi="Garamond"/>
          <w:sz w:val="24"/>
          <w:szCs w:val="24"/>
        </w:rPr>
        <w:t>-</w:t>
      </w:r>
      <w:r w:rsidRPr="001F021D">
        <w:rPr>
          <w:rFonts w:ascii="Garamond" w:hAnsi="Garamond"/>
          <w:sz w:val="24"/>
          <w:szCs w:val="24"/>
        </w:rPr>
        <w:t xml:space="preserve">motion public inquiries to be conducted by </w:t>
      </w:r>
      <w:r w:rsidR="005E1548" w:rsidRPr="001F021D">
        <w:rPr>
          <w:rFonts w:ascii="Garamond" w:hAnsi="Garamond"/>
          <w:sz w:val="24"/>
          <w:szCs w:val="24"/>
        </w:rPr>
        <w:t>VEOHRC</w:t>
      </w:r>
      <w:r w:rsidRPr="001F021D">
        <w:rPr>
          <w:rFonts w:ascii="Garamond" w:hAnsi="Garamond"/>
          <w:sz w:val="24"/>
          <w:szCs w:val="24"/>
        </w:rPr>
        <w:t xml:space="preserve"> and a power to investigate matters that do not meet</w:t>
      </w:r>
      <w:r w:rsidR="006D32DD" w:rsidRPr="001F021D">
        <w:rPr>
          <w:rFonts w:ascii="Garamond" w:hAnsi="Garamond"/>
          <w:sz w:val="24"/>
          <w:szCs w:val="24"/>
        </w:rPr>
        <w:t>, individually or as a group,</w:t>
      </w:r>
      <w:r w:rsidRPr="001F021D">
        <w:rPr>
          <w:rFonts w:ascii="Garamond" w:hAnsi="Garamond"/>
          <w:sz w:val="24"/>
          <w:szCs w:val="24"/>
        </w:rPr>
        <w:t xml:space="preserve"> the thresholds concerning prospects of resolution.  </w:t>
      </w:r>
      <w:r w:rsidR="005035F9" w:rsidRPr="001F021D">
        <w:rPr>
          <w:rFonts w:ascii="Garamond" w:hAnsi="Garamond"/>
          <w:sz w:val="24"/>
          <w:szCs w:val="24"/>
        </w:rPr>
        <w:t>The role would complement the power in s15 to investigate a contravention of a duty to eliminate sexual harassment as far as possible</w:t>
      </w:r>
      <w:r w:rsidR="00DB6B31" w:rsidRPr="001F021D">
        <w:rPr>
          <w:rFonts w:ascii="Garamond" w:hAnsi="Garamond"/>
          <w:sz w:val="24"/>
          <w:szCs w:val="24"/>
        </w:rPr>
        <w:t xml:space="preserve">, </w:t>
      </w:r>
      <w:r w:rsidR="005E1548" w:rsidRPr="001F021D">
        <w:rPr>
          <w:rFonts w:ascii="Garamond" w:hAnsi="Garamond"/>
          <w:sz w:val="24"/>
          <w:szCs w:val="24"/>
        </w:rPr>
        <w:t xml:space="preserve">would assist in the development of appropriate law reform and reduce the burden upon individual complainants to address systemic reform. </w:t>
      </w:r>
    </w:p>
    <w:p w14:paraId="503D2E67" w14:textId="77777777" w:rsidR="00A21E40" w:rsidRPr="001F021D" w:rsidRDefault="00A21E40" w:rsidP="00A21E40">
      <w:pPr>
        <w:pStyle w:val="ListParagraph"/>
        <w:rPr>
          <w:rFonts w:ascii="Garamond" w:hAnsi="Garamond"/>
          <w:sz w:val="24"/>
          <w:szCs w:val="24"/>
        </w:rPr>
      </w:pPr>
    </w:p>
    <w:p w14:paraId="562A00E8" w14:textId="77777777" w:rsidR="00A21E40" w:rsidRPr="001F021D" w:rsidRDefault="00A21E40"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Similar recommendations to allow the Australian Human Rights Commission to initiate inquiries to address systemic change have noted the difficulties in addressing pervasive systemic discrimination relying only on a </w:t>
      </w:r>
      <w:proofErr w:type="gramStart"/>
      <w:r w:rsidRPr="001F021D">
        <w:rPr>
          <w:rFonts w:ascii="Garamond" w:hAnsi="Garamond"/>
          <w:sz w:val="24"/>
          <w:szCs w:val="24"/>
        </w:rPr>
        <w:t>complaints</w:t>
      </w:r>
      <w:proofErr w:type="gramEnd"/>
      <w:r w:rsidRPr="001F021D">
        <w:rPr>
          <w:rFonts w:ascii="Garamond" w:hAnsi="Garamond"/>
          <w:sz w:val="24"/>
          <w:szCs w:val="24"/>
        </w:rPr>
        <w:t xml:space="preserve"> based statutory framework.</w:t>
      </w:r>
      <w:r w:rsidRPr="001F021D">
        <w:rPr>
          <w:rStyle w:val="FootnoteReference"/>
          <w:rFonts w:ascii="Garamond" w:hAnsi="Garamond"/>
          <w:sz w:val="24"/>
          <w:szCs w:val="24"/>
        </w:rPr>
        <w:footnoteReference w:id="19"/>
      </w:r>
      <w:r w:rsidRPr="001F021D">
        <w:rPr>
          <w:rFonts w:ascii="Garamond" w:hAnsi="Garamond"/>
          <w:sz w:val="24"/>
          <w:szCs w:val="24"/>
        </w:rPr>
        <w:t xml:space="preserve"> </w:t>
      </w:r>
    </w:p>
    <w:p w14:paraId="247195CE" w14:textId="77777777" w:rsidR="006D32DD" w:rsidRPr="001F021D" w:rsidRDefault="006D32DD" w:rsidP="00DB6B31">
      <w:pPr>
        <w:rPr>
          <w:rFonts w:ascii="Garamond" w:hAnsi="Garamond"/>
          <w:sz w:val="24"/>
          <w:szCs w:val="24"/>
        </w:rPr>
      </w:pPr>
    </w:p>
    <w:p w14:paraId="348CCB4A" w14:textId="77777777" w:rsidR="0061246A" w:rsidRPr="001F021D" w:rsidRDefault="0061246A" w:rsidP="0061246A">
      <w:pPr>
        <w:pStyle w:val="ListParagraph"/>
        <w:rPr>
          <w:rFonts w:ascii="Garamond" w:hAnsi="Garamond"/>
          <w:sz w:val="24"/>
          <w:szCs w:val="24"/>
        </w:rPr>
      </w:pPr>
    </w:p>
    <w:p w14:paraId="185FAC5A" w14:textId="77777777" w:rsidR="0061246A" w:rsidRPr="001F021D" w:rsidRDefault="0061246A" w:rsidP="0061246A">
      <w:pPr>
        <w:jc w:val="both"/>
        <w:rPr>
          <w:rFonts w:ascii="Garamond" w:hAnsi="Garamond"/>
          <w:sz w:val="24"/>
          <w:szCs w:val="24"/>
        </w:rPr>
      </w:pPr>
    </w:p>
    <w:p w14:paraId="2963C3B3" w14:textId="77777777" w:rsidR="00535F0F" w:rsidRPr="001F021D" w:rsidRDefault="0061246A" w:rsidP="007B4368">
      <w:pPr>
        <w:jc w:val="both"/>
        <w:rPr>
          <w:rFonts w:ascii="Garamond" w:hAnsi="Garamond"/>
          <w:b/>
          <w:i/>
          <w:sz w:val="24"/>
          <w:szCs w:val="24"/>
        </w:rPr>
      </w:pPr>
      <w:r w:rsidRPr="001F021D">
        <w:rPr>
          <w:rFonts w:ascii="Garamond" w:hAnsi="Garamond"/>
          <w:b/>
          <w:i/>
          <w:sz w:val="24"/>
          <w:szCs w:val="24"/>
        </w:rPr>
        <w:t>Potential Amendments</w:t>
      </w:r>
    </w:p>
    <w:p w14:paraId="73577D0C" w14:textId="77777777" w:rsidR="00A21E40" w:rsidRPr="001F021D" w:rsidRDefault="00535F0F"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As noted above, the coverage of the EO Act is not comprehensive. </w:t>
      </w:r>
    </w:p>
    <w:p w14:paraId="7E651916" w14:textId="77777777" w:rsidR="00A21E40" w:rsidRPr="001F021D" w:rsidRDefault="00A21E40" w:rsidP="00A21E40">
      <w:pPr>
        <w:pStyle w:val="ListParagraph"/>
        <w:ind w:left="426"/>
        <w:jc w:val="both"/>
        <w:rPr>
          <w:rFonts w:ascii="Garamond" w:hAnsi="Garamond"/>
          <w:sz w:val="24"/>
          <w:szCs w:val="24"/>
        </w:rPr>
      </w:pPr>
    </w:p>
    <w:p w14:paraId="07805835" w14:textId="77777777" w:rsidR="00AA669E" w:rsidRPr="001F021D" w:rsidRDefault="00A21E40" w:rsidP="005C350E">
      <w:pPr>
        <w:pStyle w:val="ListParagraph"/>
        <w:numPr>
          <w:ilvl w:val="0"/>
          <w:numId w:val="1"/>
        </w:numPr>
        <w:jc w:val="both"/>
        <w:rPr>
          <w:rFonts w:ascii="Garamond" w:hAnsi="Garamond"/>
          <w:sz w:val="24"/>
          <w:szCs w:val="24"/>
        </w:rPr>
      </w:pPr>
      <w:r w:rsidRPr="001F021D">
        <w:rPr>
          <w:rFonts w:ascii="Garamond" w:hAnsi="Garamond"/>
          <w:sz w:val="24"/>
          <w:szCs w:val="24"/>
        </w:rPr>
        <w:t>Likewise, t</w:t>
      </w:r>
      <w:r w:rsidR="00535F0F" w:rsidRPr="001F021D">
        <w:rPr>
          <w:rFonts w:ascii="Garamond" w:hAnsi="Garamond"/>
          <w:sz w:val="24"/>
          <w:szCs w:val="24"/>
        </w:rPr>
        <w:t xml:space="preserve">he </w:t>
      </w:r>
      <w:r w:rsidRPr="001F021D">
        <w:rPr>
          <w:rFonts w:ascii="Garamond" w:hAnsi="Garamond"/>
          <w:sz w:val="24"/>
          <w:szCs w:val="24"/>
        </w:rPr>
        <w:t xml:space="preserve">Commonwealth </w:t>
      </w:r>
      <w:r w:rsidR="00535F0F" w:rsidRPr="001F021D">
        <w:rPr>
          <w:rFonts w:ascii="Garamond" w:hAnsi="Garamond"/>
          <w:sz w:val="24"/>
          <w:szCs w:val="24"/>
        </w:rPr>
        <w:t xml:space="preserve">Sex Discrimination Act </w:t>
      </w:r>
      <w:r w:rsidR="00FE5E3E" w:rsidRPr="001F021D">
        <w:rPr>
          <w:rFonts w:ascii="Garamond" w:hAnsi="Garamond"/>
          <w:sz w:val="24"/>
          <w:szCs w:val="24"/>
        </w:rPr>
        <w:t>(</w:t>
      </w:r>
      <w:r w:rsidR="00FE5E3E" w:rsidRPr="001F021D">
        <w:rPr>
          <w:rFonts w:ascii="Garamond" w:hAnsi="Garamond"/>
          <w:b/>
          <w:sz w:val="24"/>
          <w:szCs w:val="24"/>
        </w:rPr>
        <w:t>SDA</w:t>
      </w:r>
      <w:r w:rsidR="00FE5E3E" w:rsidRPr="001F021D">
        <w:rPr>
          <w:rFonts w:ascii="Garamond" w:hAnsi="Garamond"/>
          <w:sz w:val="24"/>
          <w:szCs w:val="24"/>
        </w:rPr>
        <w:t xml:space="preserve">) </w:t>
      </w:r>
      <w:r w:rsidRPr="001F021D">
        <w:rPr>
          <w:rFonts w:ascii="Garamond" w:hAnsi="Garamond"/>
          <w:sz w:val="24"/>
          <w:szCs w:val="24"/>
        </w:rPr>
        <w:t xml:space="preserve">does not </w:t>
      </w:r>
      <w:r w:rsidR="0061246A" w:rsidRPr="001F021D">
        <w:rPr>
          <w:rFonts w:ascii="Garamond" w:hAnsi="Garamond"/>
          <w:sz w:val="24"/>
          <w:szCs w:val="24"/>
        </w:rPr>
        <w:t xml:space="preserve">expressly capture </w:t>
      </w:r>
      <w:r w:rsidRPr="001F021D">
        <w:rPr>
          <w:rFonts w:ascii="Garamond" w:hAnsi="Garamond"/>
          <w:sz w:val="24"/>
          <w:szCs w:val="24"/>
        </w:rPr>
        <w:t xml:space="preserve">sexual harassment by </w:t>
      </w:r>
      <w:r w:rsidR="0061246A" w:rsidRPr="001F021D">
        <w:rPr>
          <w:rFonts w:ascii="Garamond" w:hAnsi="Garamond"/>
          <w:sz w:val="24"/>
          <w:szCs w:val="24"/>
        </w:rPr>
        <w:t>judicial officers.</w:t>
      </w:r>
    </w:p>
    <w:p w14:paraId="61C49C6E" w14:textId="77777777" w:rsidR="0061246A" w:rsidRPr="001F021D" w:rsidRDefault="0061246A" w:rsidP="0061246A">
      <w:pPr>
        <w:jc w:val="both"/>
        <w:rPr>
          <w:rFonts w:ascii="Garamond" w:hAnsi="Garamond"/>
          <w:sz w:val="24"/>
          <w:szCs w:val="24"/>
        </w:rPr>
      </w:pPr>
    </w:p>
    <w:p w14:paraId="4EB2041F" w14:textId="77777777" w:rsidR="00535F0F" w:rsidRPr="001F021D" w:rsidRDefault="00710C5B"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The Law Council of Australia has </w:t>
      </w:r>
      <w:r w:rsidR="00FE5E3E" w:rsidRPr="001F021D">
        <w:rPr>
          <w:rFonts w:ascii="Garamond" w:hAnsi="Garamond"/>
          <w:sz w:val="24"/>
          <w:szCs w:val="24"/>
        </w:rPr>
        <w:t xml:space="preserve">recommended amendments to </w:t>
      </w:r>
      <w:r w:rsidR="00AA669E" w:rsidRPr="001F021D">
        <w:rPr>
          <w:rFonts w:ascii="Garamond" w:hAnsi="Garamond"/>
          <w:sz w:val="24"/>
          <w:szCs w:val="24"/>
        </w:rPr>
        <w:t xml:space="preserve">s 105 of </w:t>
      </w:r>
      <w:r w:rsidR="00FE5E3E" w:rsidRPr="001F021D">
        <w:rPr>
          <w:rFonts w:ascii="Garamond" w:hAnsi="Garamond"/>
          <w:sz w:val="24"/>
          <w:szCs w:val="24"/>
        </w:rPr>
        <w:t>the SDA</w:t>
      </w:r>
      <w:r w:rsidR="00A21E40" w:rsidRPr="001F021D">
        <w:rPr>
          <w:rFonts w:ascii="Garamond" w:hAnsi="Garamond"/>
          <w:sz w:val="24"/>
          <w:szCs w:val="24"/>
        </w:rPr>
        <w:t xml:space="preserve"> as follows</w:t>
      </w:r>
      <w:r w:rsidR="00AA669E" w:rsidRPr="001F021D">
        <w:rPr>
          <w:rFonts w:ascii="Garamond" w:hAnsi="Garamond"/>
          <w:sz w:val="24"/>
          <w:szCs w:val="24"/>
        </w:rPr>
        <w:t>:</w:t>
      </w:r>
    </w:p>
    <w:p w14:paraId="1E550323" w14:textId="77777777" w:rsidR="00AA669E" w:rsidRPr="001F021D" w:rsidRDefault="00AA669E" w:rsidP="00AA669E">
      <w:pPr>
        <w:pStyle w:val="ListParagraph"/>
        <w:rPr>
          <w:rFonts w:ascii="Garamond" w:hAnsi="Garamond"/>
          <w:sz w:val="24"/>
          <w:szCs w:val="24"/>
        </w:rPr>
      </w:pPr>
    </w:p>
    <w:p w14:paraId="3E662271" w14:textId="77777777" w:rsidR="00AA669E" w:rsidRPr="000F375A" w:rsidRDefault="00AA669E" w:rsidP="00AA669E">
      <w:pPr>
        <w:ind w:left="720"/>
        <w:jc w:val="both"/>
        <w:rPr>
          <w:rFonts w:ascii="Garamond" w:hAnsi="Garamond"/>
          <w:lang w:val="en-US"/>
        </w:rPr>
      </w:pPr>
      <w:r w:rsidRPr="000F375A">
        <w:rPr>
          <w:rFonts w:ascii="Garamond" w:hAnsi="Garamond"/>
          <w:b/>
          <w:bCs/>
          <w:lang w:val="en-US"/>
        </w:rPr>
        <w:t xml:space="preserve">SEX DISCRIMINATION ACT 1984 - SECT 105 </w:t>
      </w:r>
    </w:p>
    <w:p w14:paraId="6F4422E3" w14:textId="77777777" w:rsidR="00AA669E" w:rsidRPr="000F375A" w:rsidRDefault="00AA669E" w:rsidP="00AA669E">
      <w:pPr>
        <w:ind w:left="720"/>
        <w:jc w:val="both"/>
        <w:rPr>
          <w:rFonts w:ascii="Garamond" w:hAnsi="Garamond"/>
          <w:b/>
          <w:bCs/>
          <w:lang w:val="en-US"/>
        </w:rPr>
      </w:pPr>
    </w:p>
    <w:p w14:paraId="23FB5681" w14:textId="77777777" w:rsidR="00AA669E" w:rsidRPr="000F375A" w:rsidRDefault="00AA669E" w:rsidP="00AA669E">
      <w:pPr>
        <w:ind w:left="720"/>
        <w:jc w:val="both"/>
        <w:rPr>
          <w:rFonts w:ascii="Garamond" w:hAnsi="Garamond"/>
          <w:lang w:val="en-US"/>
        </w:rPr>
      </w:pPr>
      <w:r w:rsidRPr="000F375A">
        <w:rPr>
          <w:rFonts w:ascii="Garamond" w:hAnsi="Garamond"/>
          <w:b/>
          <w:bCs/>
          <w:lang w:val="en-US"/>
        </w:rPr>
        <w:t xml:space="preserve">Liability of persons involved in unlawful acts </w:t>
      </w:r>
    </w:p>
    <w:p w14:paraId="7C324609" w14:textId="77777777" w:rsidR="00A21E40" w:rsidRPr="000F375A" w:rsidRDefault="00A21E40" w:rsidP="00AA669E">
      <w:pPr>
        <w:ind w:left="720"/>
        <w:jc w:val="both"/>
        <w:rPr>
          <w:rFonts w:ascii="Garamond" w:hAnsi="Garamond"/>
          <w:lang w:val="en-US"/>
        </w:rPr>
      </w:pPr>
    </w:p>
    <w:p w14:paraId="2FB5C9CC" w14:textId="77777777" w:rsidR="00AA669E" w:rsidRPr="000F375A" w:rsidRDefault="00AA669E" w:rsidP="00AA669E">
      <w:pPr>
        <w:ind w:left="720"/>
        <w:jc w:val="both"/>
        <w:rPr>
          <w:rFonts w:ascii="Garamond" w:hAnsi="Garamond"/>
          <w:lang w:val="en-US"/>
        </w:rPr>
      </w:pPr>
      <w:r w:rsidRPr="000F375A">
        <w:rPr>
          <w:rFonts w:ascii="Garamond" w:hAnsi="Garamond"/>
          <w:lang w:val="en-US"/>
        </w:rPr>
        <w:t xml:space="preserve">A person who causes, instructs, induces, aids or permits another person to do an act that is unlawful under Division 1 </w:t>
      </w:r>
      <w:r w:rsidRPr="000F375A">
        <w:rPr>
          <w:rFonts w:ascii="Garamond" w:hAnsi="Garamond"/>
          <w:strike/>
          <w:lang w:val="en-US"/>
        </w:rPr>
        <w:t>o</w:t>
      </w:r>
      <w:r w:rsidRPr="000F375A">
        <w:rPr>
          <w:rFonts w:ascii="Garamond" w:hAnsi="Garamond"/>
          <w:strike/>
          <w:u w:val="single"/>
          <w:lang w:val="en-US"/>
        </w:rPr>
        <w:t>r</w:t>
      </w:r>
      <w:r w:rsidRPr="000F375A">
        <w:rPr>
          <w:rFonts w:ascii="Garamond" w:hAnsi="Garamond"/>
          <w:u w:val="single"/>
          <w:lang w:val="en-US"/>
        </w:rPr>
        <w:t>,</w:t>
      </w:r>
      <w:r w:rsidRPr="000F375A">
        <w:rPr>
          <w:rFonts w:ascii="Garamond" w:hAnsi="Garamond"/>
          <w:lang w:val="en-US"/>
        </w:rPr>
        <w:t xml:space="preserve"> 2, </w:t>
      </w:r>
      <w:r w:rsidRPr="000F375A">
        <w:rPr>
          <w:rFonts w:ascii="Garamond" w:hAnsi="Garamond"/>
          <w:u w:val="single"/>
          <w:lang w:val="en-US"/>
        </w:rPr>
        <w:t>or 3</w:t>
      </w:r>
      <w:r w:rsidRPr="000F375A">
        <w:rPr>
          <w:rFonts w:ascii="Garamond" w:hAnsi="Garamond"/>
          <w:lang w:val="en-US"/>
        </w:rPr>
        <w:t xml:space="preserve"> of Part II shall, for the purposes of this Act, be taken also to have done the act.</w:t>
      </w:r>
    </w:p>
    <w:p w14:paraId="6C0B5AC4" w14:textId="77777777" w:rsidR="005E1548" w:rsidRPr="001F021D" w:rsidRDefault="005E1548" w:rsidP="00AA669E">
      <w:pPr>
        <w:ind w:left="720"/>
        <w:jc w:val="both"/>
        <w:rPr>
          <w:rFonts w:ascii="Garamond" w:hAnsi="Garamond"/>
          <w:sz w:val="24"/>
          <w:szCs w:val="24"/>
        </w:rPr>
      </w:pPr>
    </w:p>
    <w:p w14:paraId="0AA6123C" w14:textId="77777777" w:rsidR="005E1548" w:rsidRPr="001F021D" w:rsidRDefault="005E1548" w:rsidP="005E1548">
      <w:pPr>
        <w:ind w:left="426"/>
        <w:jc w:val="both"/>
        <w:rPr>
          <w:rFonts w:ascii="Garamond" w:hAnsi="Garamond"/>
          <w:sz w:val="24"/>
          <w:szCs w:val="24"/>
        </w:rPr>
      </w:pPr>
      <w:r w:rsidRPr="001F021D">
        <w:rPr>
          <w:rFonts w:ascii="Garamond" w:hAnsi="Garamond"/>
          <w:sz w:val="24"/>
          <w:szCs w:val="24"/>
        </w:rPr>
        <w:t xml:space="preserve">Part 3 </w:t>
      </w:r>
      <w:r w:rsidR="00A162EB" w:rsidRPr="001F021D">
        <w:rPr>
          <w:rFonts w:ascii="Garamond" w:hAnsi="Garamond"/>
          <w:sz w:val="24"/>
          <w:szCs w:val="24"/>
        </w:rPr>
        <w:t xml:space="preserve">of the SDA </w:t>
      </w:r>
      <w:r w:rsidRPr="001F021D">
        <w:rPr>
          <w:rFonts w:ascii="Garamond" w:hAnsi="Garamond"/>
          <w:sz w:val="24"/>
          <w:szCs w:val="24"/>
        </w:rPr>
        <w:t xml:space="preserve">relevantly is concerned with sexual harassment. </w:t>
      </w:r>
    </w:p>
    <w:p w14:paraId="2016332F" w14:textId="77777777" w:rsidR="00AA669E" w:rsidRPr="001F021D" w:rsidRDefault="00AA669E" w:rsidP="00AA669E">
      <w:pPr>
        <w:jc w:val="both"/>
        <w:rPr>
          <w:rFonts w:ascii="Garamond" w:hAnsi="Garamond"/>
          <w:sz w:val="24"/>
          <w:szCs w:val="24"/>
        </w:rPr>
      </w:pPr>
    </w:p>
    <w:p w14:paraId="0EB64C12" w14:textId="77777777" w:rsidR="005E1548" w:rsidRPr="001F021D" w:rsidRDefault="005E1548"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Two models for potential adoption in Victorian may be found in the legislation of South Australia and Queensland. </w:t>
      </w:r>
    </w:p>
    <w:p w14:paraId="029118A6" w14:textId="77777777" w:rsidR="005E1548" w:rsidRPr="001F021D" w:rsidRDefault="005E1548" w:rsidP="00DB6B31">
      <w:pPr>
        <w:rPr>
          <w:rFonts w:ascii="Garamond" w:hAnsi="Garamond"/>
          <w:sz w:val="24"/>
          <w:szCs w:val="24"/>
        </w:rPr>
      </w:pPr>
    </w:p>
    <w:p w14:paraId="136B3E12" w14:textId="77777777" w:rsidR="00A21E40" w:rsidRPr="001F021D" w:rsidRDefault="00A21E40" w:rsidP="005C350E">
      <w:pPr>
        <w:pStyle w:val="ListParagraph"/>
        <w:numPr>
          <w:ilvl w:val="0"/>
          <w:numId w:val="1"/>
        </w:numPr>
        <w:jc w:val="both"/>
        <w:rPr>
          <w:rFonts w:ascii="Garamond" w:hAnsi="Garamond"/>
          <w:sz w:val="24"/>
          <w:szCs w:val="24"/>
        </w:rPr>
      </w:pPr>
      <w:r w:rsidRPr="001F021D">
        <w:rPr>
          <w:rFonts w:ascii="Garamond" w:hAnsi="Garamond"/>
          <w:sz w:val="24"/>
          <w:szCs w:val="24"/>
        </w:rPr>
        <w:t>The</w:t>
      </w:r>
      <w:r w:rsidR="005E1548" w:rsidRPr="001F021D">
        <w:rPr>
          <w:rFonts w:ascii="Garamond" w:hAnsi="Garamond"/>
          <w:sz w:val="24"/>
          <w:szCs w:val="24"/>
        </w:rPr>
        <w:t xml:space="preserve"> South Australian </w:t>
      </w:r>
      <w:r w:rsidRPr="001F021D">
        <w:rPr>
          <w:rFonts w:ascii="Garamond" w:hAnsi="Garamond"/>
          <w:i/>
          <w:sz w:val="24"/>
          <w:szCs w:val="24"/>
        </w:rPr>
        <w:t>Equal Opportunity Act</w:t>
      </w:r>
      <w:r w:rsidRPr="001F021D">
        <w:rPr>
          <w:rFonts w:ascii="Garamond" w:hAnsi="Garamond"/>
          <w:sz w:val="24"/>
          <w:szCs w:val="24"/>
        </w:rPr>
        <w:t xml:space="preserve"> model of prohibited conduct </w:t>
      </w:r>
      <w:r w:rsidR="005E1548" w:rsidRPr="001F021D">
        <w:rPr>
          <w:rFonts w:ascii="Garamond" w:hAnsi="Garamond"/>
          <w:sz w:val="24"/>
          <w:szCs w:val="24"/>
        </w:rPr>
        <w:t xml:space="preserve">is </w:t>
      </w:r>
      <w:r w:rsidR="00FC2D90" w:rsidRPr="001F021D">
        <w:rPr>
          <w:rFonts w:ascii="Garamond" w:hAnsi="Garamond"/>
          <w:sz w:val="24"/>
          <w:szCs w:val="24"/>
        </w:rPr>
        <w:t>similar</w:t>
      </w:r>
      <w:r w:rsidR="005E1548" w:rsidRPr="001F021D">
        <w:rPr>
          <w:rFonts w:ascii="Garamond" w:hAnsi="Garamond"/>
          <w:sz w:val="24"/>
          <w:szCs w:val="24"/>
        </w:rPr>
        <w:t xml:space="preserve"> to the Victorian EO Act in that it addresses work related situations</w:t>
      </w:r>
      <w:r w:rsidR="00DB6B31" w:rsidRPr="001F021D">
        <w:rPr>
          <w:rFonts w:ascii="Garamond" w:hAnsi="Garamond"/>
          <w:sz w:val="24"/>
          <w:szCs w:val="24"/>
        </w:rPr>
        <w:t xml:space="preserve"> but makes specific provision for judicial officers.</w:t>
      </w:r>
    </w:p>
    <w:p w14:paraId="14390100" w14:textId="77777777" w:rsidR="00A21E40" w:rsidRPr="001F021D" w:rsidRDefault="00A21E40" w:rsidP="00A21E40">
      <w:pPr>
        <w:jc w:val="both"/>
        <w:rPr>
          <w:rFonts w:ascii="Garamond" w:hAnsi="Garamond"/>
          <w:sz w:val="24"/>
          <w:szCs w:val="24"/>
        </w:rPr>
      </w:pPr>
    </w:p>
    <w:p w14:paraId="69E819EA" w14:textId="77777777" w:rsidR="00A21E40" w:rsidRPr="001F021D" w:rsidRDefault="00A21E40" w:rsidP="00A21E40">
      <w:pPr>
        <w:ind w:left="426"/>
        <w:jc w:val="both"/>
        <w:rPr>
          <w:rFonts w:ascii="Garamond" w:hAnsi="Garamond"/>
          <w:sz w:val="24"/>
          <w:szCs w:val="24"/>
        </w:rPr>
      </w:pPr>
      <w:r w:rsidRPr="001F021D">
        <w:rPr>
          <w:rFonts w:ascii="Garamond" w:hAnsi="Garamond"/>
          <w:sz w:val="24"/>
          <w:szCs w:val="24"/>
        </w:rPr>
        <w:t>Section 87 of the South Australian Act provides:</w:t>
      </w:r>
    </w:p>
    <w:p w14:paraId="083719B3" w14:textId="77777777" w:rsidR="00A21E40" w:rsidRPr="001F021D" w:rsidRDefault="00A21E40" w:rsidP="00A21E40">
      <w:pPr>
        <w:ind w:left="426"/>
        <w:jc w:val="both"/>
        <w:rPr>
          <w:rFonts w:ascii="Garamond" w:hAnsi="Garamond"/>
          <w:color w:val="000000" w:themeColor="text1"/>
          <w:sz w:val="24"/>
          <w:szCs w:val="24"/>
        </w:rPr>
      </w:pPr>
      <w:r w:rsidRPr="001F021D">
        <w:rPr>
          <w:rFonts w:ascii="Garamond" w:hAnsi="Garamond"/>
          <w:sz w:val="24"/>
          <w:szCs w:val="24"/>
        </w:rPr>
        <w:t> </w:t>
      </w:r>
    </w:p>
    <w:p w14:paraId="44E1ACE3" w14:textId="77777777" w:rsidR="00A21E40" w:rsidRPr="000F375A" w:rsidRDefault="00A21E40" w:rsidP="00A21E40">
      <w:pPr>
        <w:ind w:left="1701" w:hanging="1275"/>
        <w:jc w:val="both"/>
        <w:rPr>
          <w:rFonts w:ascii="Garamond" w:hAnsi="Garamond"/>
          <w:color w:val="000000" w:themeColor="text1"/>
        </w:rPr>
      </w:pPr>
      <w:r w:rsidRPr="001F021D">
        <w:rPr>
          <w:rFonts w:ascii="Garamond" w:hAnsi="Garamond"/>
          <w:color w:val="000000" w:themeColor="text1"/>
          <w:sz w:val="24"/>
          <w:szCs w:val="24"/>
        </w:rPr>
        <w:t>     </w:t>
      </w:r>
      <w:r w:rsidRPr="000F375A">
        <w:rPr>
          <w:rFonts w:ascii="Garamond" w:hAnsi="Garamond"/>
          <w:color w:val="000000" w:themeColor="text1"/>
        </w:rPr>
        <w:t>(6a)      </w:t>
      </w:r>
      <w:r w:rsidRPr="000F375A">
        <w:rPr>
          <w:rFonts w:ascii="Garamond" w:hAnsi="Garamond"/>
          <w:color w:val="000000" w:themeColor="text1"/>
        </w:rPr>
        <w:tab/>
        <w:t>It is unlawful for a </w:t>
      </w:r>
      <w:hyperlink r:id="rId19" w:history="1">
        <w:r w:rsidRPr="000F375A">
          <w:rPr>
            <w:rStyle w:val="Hyperlink"/>
            <w:rFonts w:ascii="Garamond" w:hAnsi="Garamond"/>
            <w:color w:val="000000" w:themeColor="text1"/>
            <w:u w:val="none"/>
          </w:rPr>
          <w:t>judicial officer</w:t>
        </w:r>
      </w:hyperlink>
      <w:r w:rsidRPr="000F375A">
        <w:rPr>
          <w:rFonts w:ascii="Garamond" w:hAnsi="Garamond"/>
          <w:color w:val="000000" w:themeColor="text1"/>
        </w:rPr>
        <w:t> to subject to sexual harassment a judicial or non-judicial officer, or a member of the staff, of a </w:t>
      </w:r>
      <w:hyperlink r:id="rId20" w:history="1">
        <w:r w:rsidRPr="000F375A">
          <w:rPr>
            <w:rStyle w:val="Hyperlink"/>
            <w:rFonts w:ascii="Garamond" w:hAnsi="Garamond"/>
            <w:color w:val="000000" w:themeColor="text1"/>
            <w:u w:val="none"/>
          </w:rPr>
          <w:t>court</w:t>
        </w:r>
      </w:hyperlink>
      <w:r w:rsidRPr="000F375A">
        <w:rPr>
          <w:rFonts w:ascii="Garamond" w:hAnsi="Garamond"/>
          <w:color w:val="000000" w:themeColor="text1"/>
        </w:rPr>
        <w:t> of which the </w:t>
      </w:r>
      <w:hyperlink r:id="rId21" w:history="1">
        <w:r w:rsidRPr="000F375A">
          <w:rPr>
            <w:rStyle w:val="Hyperlink"/>
            <w:rFonts w:ascii="Garamond" w:hAnsi="Garamond"/>
            <w:color w:val="000000" w:themeColor="text1"/>
            <w:u w:val="none"/>
          </w:rPr>
          <w:t>judicial</w:t>
        </w:r>
      </w:hyperlink>
      <w:r w:rsidRPr="000F375A">
        <w:rPr>
          <w:rFonts w:ascii="Garamond" w:hAnsi="Garamond"/>
          <w:color w:val="000000" w:themeColor="text1"/>
        </w:rPr>
        <w:t> </w:t>
      </w:r>
      <w:hyperlink r:id="rId22" w:history="1">
        <w:r w:rsidRPr="000F375A">
          <w:rPr>
            <w:rStyle w:val="Hyperlink"/>
            <w:rFonts w:ascii="Garamond" w:hAnsi="Garamond"/>
            <w:color w:val="000000" w:themeColor="text1"/>
            <w:u w:val="none"/>
          </w:rPr>
          <w:t>officer</w:t>
        </w:r>
      </w:hyperlink>
      <w:r w:rsidRPr="000F375A">
        <w:rPr>
          <w:rFonts w:ascii="Garamond" w:hAnsi="Garamond"/>
          <w:color w:val="000000" w:themeColor="text1"/>
        </w:rPr>
        <w:t> is a member.</w:t>
      </w:r>
      <w:r w:rsidRPr="000F375A">
        <w:rPr>
          <w:rFonts w:ascii="Garamond" w:hAnsi="Garamond"/>
          <w:color w:val="000000" w:themeColor="text1"/>
        </w:rPr>
        <w:br/>
      </w:r>
    </w:p>
    <w:p w14:paraId="20B25789" w14:textId="77777777" w:rsidR="00A21E40" w:rsidRPr="000F375A" w:rsidRDefault="00A21E40" w:rsidP="00A21E40">
      <w:pPr>
        <w:ind w:left="1701" w:hanging="1275"/>
        <w:jc w:val="both"/>
        <w:rPr>
          <w:rFonts w:ascii="Garamond" w:hAnsi="Garamond"/>
          <w:color w:val="000000" w:themeColor="text1"/>
        </w:rPr>
      </w:pPr>
      <w:r w:rsidRPr="000F375A">
        <w:rPr>
          <w:rFonts w:ascii="Garamond" w:hAnsi="Garamond"/>
          <w:color w:val="000000" w:themeColor="text1"/>
        </w:rPr>
        <w:t>      (6b)     </w:t>
      </w:r>
      <w:r w:rsidR="00E656E5" w:rsidRPr="000F375A">
        <w:rPr>
          <w:rFonts w:ascii="Garamond" w:hAnsi="Garamond"/>
          <w:color w:val="000000" w:themeColor="text1"/>
        </w:rPr>
        <w:tab/>
      </w:r>
      <w:r w:rsidRPr="000F375A">
        <w:rPr>
          <w:rFonts w:ascii="Garamond" w:hAnsi="Garamond"/>
          <w:color w:val="000000" w:themeColor="text1"/>
        </w:rPr>
        <w:t>Subsection (6a) does not apply in relation to anything said or done by a </w:t>
      </w:r>
      <w:hyperlink r:id="rId23" w:history="1">
        <w:r w:rsidRPr="000F375A">
          <w:rPr>
            <w:rStyle w:val="Hyperlink"/>
            <w:rFonts w:ascii="Garamond" w:hAnsi="Garamond"/>
            <w:color w:val="000000" w:themeColor="text1"/>
            <w:u w:val="none"/>
          </w:rPr>
          <w:t>judicial officer</w:t>
        </w:r>
      </w:hyperlink>
      <w:r w:rsidRPr="000F375A">
        <w:rPr>
          <w:rFonts w:ascii="Garamond" w:hAnsi="Garamond"/>
          <w:color w:val="000000" w:themeColor="text1"/>
        </w:rPr>
        <w:t> in </w:t>
      </w:r>
      <w:hyperlink r:id="rId24" w:history="1">
        <w:r w:rsidRPr="000F375A">
          <w:rPr>
            <w:rStyle w:val="Hyperlink"/>
            <w:rFonts w:ascii="Garamond" w:hAnsi="Garamond"/>
            <w:color w:val="000000" w:themeColor="text1"/>
            <w:u w:val="none"/>
          </w:rPr>
          <w:t>court</w:t>
        </w:r>
      </w:hyperlink>
      <w:r w:rsidRPr="000F375A">
        <w:rPr>
          <w:rFonts w:ascii="Garamond" w:hAnsi="Garamond"/>
          <w:color w:val="000000" w:themeColor="text1"/>
        </w:rPr>
        <w:t> or in chambers in the exercise, or purported exercise, of judicial powers or functions or in the discharge, or purported discharge, of judicial duties (but conduct occurring in such circumstances may be the subject of a complaint under the </w:t>
      </w:r>
      <w:hyperlink r:id="rId25" w:history="1">
        <w:r w:rsidRPr="000F375A">
          <w:rPr>
            <w:rStyle w:val="Hyperlink"/>
            <w:rFonts w:ascii="Garamond" w:hAnsi="Garamond"/>
            <w:i/>
            <w:iCs/>
            <w:color w:val="000000" w:themeColor="text1"/>
            <w:u w:val="none"/>
          </w:rPr>
          <w:t>Judicial Conduct Commissioner Act 2015 </w:t>
        </w:r>
      </w:hyperlink>
      <w:r w:rsidRPr="000F375A">
        <w:rPr>
          <w:rFonts w:ascii="Garamond" w:hAnsi="Garamond"/>
          <w:color w:val="000000" w:themeColor="text1"/>
        </w:rPr>
        <w:t>).</w:t>
      </w:r>
    </w:p>
    <w:p w14:paraId="74D4D8CA" w14:textId="77777777" w:rsidR="008F170D" w:rsidRPr="001F021D" w:rsidRDefault="008F170D" w:rsidP="008F170D">
      <w:pPr>
        <w:jc w:val="both"/>
        <w:rPr>
          <w:rFonts w:ascii="Garamond" w:hAnsi="Garamond"/>
          <w:sz w:val="24"/>
          <w:szCs w:val="24"/>
        </w:rPr>
      </w:pPr>
    </w:p>
    <w:p w14:paraId="248DBC2A" w14:textId="77777777" w:rsidR="00940AF8" w:rsidRPr="001F021D" w:rsidRDefault="002B645A" w:rsidP="005C350E">
      <w:pPr>
        <w:pStyle w:val="ListParagraph"/>
        <w:numPr>
          <w:ilvl w:val="0"/>
          <w:numId w:val="1"/>
        </w:numPr>
        <w:jc w:val="both"/>
        <w:rPr>
          <w:rFonts w:ascii="Garamond" w:hAnsi="Garamond"/>
          <w:sz w:val="24"/>
          <w:szCs w:val="24"/>
        </w:rPr>
      </w:pPr>
      <w:r w:rsidRPr="001F021D">
        <w:rPr>
          <w:rFonts w:ascii="Garamond" w:hAnsi="Garamond"/>
          <w:sz w:val="24"/>
          <w:szCs w:val="24"/>
        </w:rPr>
        <w:t>By comparison, s</w:t>
      </w:r>
      <w:r w:rsidR="00A21E40" w:rsidRPr="001F021D">
        <w:rPr>
          <w:rFonts w:ascii="Garamond" w:hAnsi="Garamond"/>
          <w:sz w:val="24"/>
          <w:szCs w:val="24"/>
        </w:rPr>
        <w:t>ections</w:t>
      </w:r>
      <w:r w:rsidR="00DB6B31" w:rsidRPr="001F021D">
        <w:rPr>
          <w:rFonts w:ascii="Garamond" w:hAnsi="Garamond"/>
          <w:sz w:val="24"/>
          <w:szCs w:val="24"/>
        </w:rPr>
        <w:t xml:space="preserve"> 118-120 of the </w:t>
      </w:r>
      <w:r w:rsidR="00A21E40" w:rsidRPr="001F021D">
        <w:rPr>
          <w:rFonts w:ascii="Garamond" w:hAnsi="Garamond"/>
          <w:sz w:val="24"/>
          <w:szCs w:val="24"/>
        </w:rPr>
        <w:t xml:space="preserve">Queensland </w:t>
      </w:r>
      <w:r w:rsidR="00DB6B31" w:rsidRPr="001F021D">
        <w:rPr>
          <w:rFonts w:ascii="Garamond" w:hAnsi="Garamond"/>
          <w:i/>
          <w:sz w:val="24"/>
          <w:szCs w:val="24"/>
        </w:rPr>
        <w:t>Anti-Discrimination Act</w:t>
      </w:r>
      <w:r w:rsidR="00DB6B31" w:rsidRPr="001F021D">
        <w:rPr>
          <w:rFonts w:ascii="Garamond" w:hAnsi="Garamond"/>
          <w:sz w:val="24"/>
          <w:szCs w:val="24"/>
        </w:rPr>
        <w:t xml:space="preserve"> 1991</w:t>
      </w:r>
      <w:r w:rsidR="00A21E40" w:rsidRPr="001F021D">
        <w:rPr>
          <w:rFonts w:ascii="Garamond" w:hAnsi="Garamond"/>
          <w:sz w:val="24"/>
          <w:szCs w:val="24"/>
        </w:rPr>
        <w:t xml:space="preserve"> </w:t>
      </w:r>
      <w:r w:rsidR="00DB6B31" w:rsidRPr="001F021D">
        <w:rPr>
          <w:rFonts w:ascii="Garamond" w:hAnsi="Garamond"/>
          <w:sz w:val="24"/>
          <w:szCs w:val="24"/>
        </w:rPr>
        <w:t>provide comprehensive cover making sexual harassment unlawful in all fields of activity.</w:t>
      </w:r>
    </w:p>
    <w:p w14:paraId="6C78579E" w14:textId="77777777" w:rsidR="0068081B" w:rsidRPr="001F021D" w:rsidRDefault="0068081B" w:rsidP="0068081B">
      <w:pPr>
        <w:jc w:val="both"/>
        <w:rPr>
          <w:rFonts w:ascii="Garamond" w:hAnsi="Garamond"/>
          <w:sz w:val="24"/>
          <w:szCs w:val="24"/>
        </w:rPr>
      </w:pPr>
    </w:p>
    <w:p w14:paraId="5FC649B9" w14:textId="77777777" w:rsidR="0068081B" w:rsidRPr="001F021D" w:rsidRDefault="0068081B" w:rsidP="0068081B">
      <w:pPr>
        <w:ind w:left="426"/>
        <w:jc w:val="both"/>
        <w:rPr>
          <w:rFonts w:ascii="Garamond" w:hAnsi="Garamond"/>
          <w:sz w:val="24"/>
          <w:szCs w:val="24"/>
        </w:rPr>
      </w:pPr>
      <w:r w:rsidRPr="001F021D">
        <w:rPr>
          <w:rFonts w:ascii="Garamond" w:hAnsi="Garamond"/>
          <w:sz w:val="24"/>
          <w:szCs w:val="24"/>
        </w:rPr>
        <w:t>Section 118 of the Queensland Act provides:</w:t>
      </w:r>
    </w:p>
    <w:p w14:paraId="55072BD3" w14:textId="77777777" w:rsidR="0068081B" w:rsidRPr="001F021D" w:rsidRDefault="0068081B" w:rsidP="0068081B">
      <w:pPr>
        <w:ind w:left="426"/>
        <w:jc w:val="both"/>
        <w:rPr>
          <w:rFonts w:ascii="Garamond" w:hAnsi="Garamond"/>
          <w:sz w:val="24"/>
          <w:szCs w:val="24"/>
        </w:rPr>
      </w:pPr>
    </w:p>
    <w:p w14:paraId="0F2933E4" w14:textId="77777777" w:rsidR="0068081B" w:rsidRPr="000F375A" w:rsidRDefault="0068081B" w:rsidP="000F375A">
      <w:pPr>
        <w:ind w:left="1440" w:firstLine="261"/>
        <w:jc w:val="both"/>
        <w:rPr>
          <w:rFonts w:ascii="Garamond" w:hAnsi="Garamond"/>
          <w:lang w:val="en-US"/>
        </w:rPr>
      </w:pPr>
      <w:r w:rsidRPr="000F375A">
        <w:rPr>
          <w:rFonts w:ascii="Garamond" w:hAnsi="Garamond"/>
          <w:lang w:val="en-US"/>
        </w:rPr>
        <w:t>A person must not sexually harass another person.</w:t>
      </w:r>
    </w:p>
    <w:p w14:paraId="3AB87D6E" w14:textId="77777777" w:rsidR="0068081B" w:rsidRPr="001F021D" w:rsidRDefault="0068081B" w:rsidP="0068081B">
      <w:pPr>
        <w:ind w:left="720"/>
        <w:jc w:val="both"/>
        <w:rPr>
          <w:rFonts w:ascii="Garamond" w:hAnsi="Garamond"/>
          <w:sz w:val="24"/>
          <w:szCs w:val="24"/>
        </w:rPr>
      </w:pPr>
    </w:p>
    <w:p w14:paraId="52B0C95D" w14:textId="77777777" w:rsidR="008F170D" w:rsidRPr="001F021D" w:rsidRDefault="001F534D" w:rsidP="005C350E">
      <w:pPr>
        <w:pStyle w:val="ListParagraph"/>
        <w:numPr>
          <w:ilvl w:val="0"/>
          <w:numId w:val="1"/>
        </w:numPr>
        <w:jc w:val="both"/>
        <w:rPr>
          <w:rFonts w:ascii="Garamond" w:hAnsi="Garamond"/>
          <w:sz w:val="24"/>
          <w:szCs w:val="24"/>
        </w:rPr>
      </w:pPr>
      <w:r w:rsidRPr="001F021D">
        <w:rPr>
          <w:rFonts w:ascii="Garamond" w:hAnsi="Garamond"/>
          <w:sz w:val="24"/>
          <w:szCs w:val="24"/>
        </w:rPr>
        <w:t>The advantage of such provision is that it would extend the application of the current proscription</w:t>
      </w:r>
      <w:r w:rsidR="002B645A" w:rsidRPr="001F021D">
        <w:rPr>
          <w:rFonts w:ascii="Garamond" w:hAnsi="Garamond"/>
          <w:sz w:val="24"/>
          <w:szCs w:val="24"/>
        </w:rPr>
        <w:t>s</w:t>
      </w:r>
      <w:r w:rsidRPr="001F021D">
        <w:rPr>
          <w:rFonts w:ascii="Garamond" w:hAnsi="Garamond"/>
          <w:sz w:val="24"/>
          <w:szCs w:val="24"/>
        </w:rPr>
        <w:t xml:space="preserve"> against sexual harassment</w:t>
      </w:r>
      <w:r w:rsidR="005A0BAF" w:rsidRPr="001F021D">
        <w:rPr>
          <w:rFonts w:ascii="Garamond" w:hAnsi="Garamond"/>
          <w:sz w:val="24"/>
          <w:szCs w:val="24"/>
        </w:rPr>
        <w:t xml:space="preserve"> beyond</w:t>
      </w:r>
      <w:r w:rsidR="002B645A" w:rsidRPr="001F021D">
        <w:rPr>
          <w:rFonts w:ascii="Garamond" w:hAnsi="Garamond"/>
          <w:sz w:val="24"/>
          <w:szCs w:val="24"/>
        </w:rPr>
        <w:t xml:space="preserve"> specified</w:t>
      </w:r>
      <w:r w:rsidR="005A0BAF" w:rsidRPr="001F021D">
        <w:rPr>
          <w:rFonts w:ascii="Garamond" w:hAnsi="Garamond"/>
          <w:sz w:val="24"/>
          <w:szCs w:val="24"/>
        </w:rPr>
        <w:t xml:space="preserve"> workplace </w:t>
      </w:r>
      <w:r w:rsidR="002B645A" w:rsidRPr="001F021D">
        <w:rPr>
          <w:rFonts w:ascii="Garamond" w:hAnsi="Garamond"/>
          <w:sz w:val="24"/>
          <w:szCs w:val="24"/>
        </w:rPr>
        <w:t>situations to cover all participants</w:t>
      </w:r>
      <w:r w:rsidR="00C40B8C" w:rsidRPr="001F021D">
        <w:rPr>
          <w:rFonts w:ascii="Garamond" w:hAnsi="Garamond"/>
          <w:sz w:val="24"/>
          <w:szCs w:val="24"/>
        </w:rPr>
        <w:t xml:space="preserve"> in all areas of public life in Queensland</w:t>
      </w:r>
      <w:r w:rsidR="002B645A" w:rsidRPr="001F021D">
        <w:rPr>
          <w:rFonts w:ascii="Garamond" w:hAnsi="Garamond"/>
          <w:sz w:val="24"/>
          <w:szCs w:val="24"/>
        </w:rPr>
        <w:t xml:space="preserve">.  </w:t>
      </w:r>
    </w:p>
    <w:p w14:paraId="6329DDE8" w14:textId="77777777" w:rsidR="00FC2D90" w:rsidRPr="001F021D" w:rsidRDefault="00FC2D90" w:rsidP="00FC2D90">
      <w:pPr>
        <w:jc w:val="both"/>
        <w:rPr>
          <w:rFonts w:ascii="Garamond" w:hAnsi="Garamond"/>
          <w:sz w:val="24"/>
          <w:szCs w:val="24"/>
        </w:rPr>
      </w:pPr>
    </w:p>
    <w:p w14:paraId="5833076A" w14:textId="77777777" w:rsidR="00FC2D90" w:rsidRPr="001F021D" w:rsidRDefault="00FC2D90"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I am not aware of any case of sexual harassment brought under either Act against a judicial officer. </w:t>
      </w:r>
    </w:p>
    <w:p w14:paraId="38B04A32" w14:textId="77777777" w:rsidR="00FC2D90" w:rsidRPr="001F021D" w:rsidRDefault="00FC2D90" w:rsidP="00FC2D90">
      <w:pPr>
        <w:pStyle w:val="ListParagraph"/>
        <w:ind w:left="426"/>
        <w:jc w:val="both"/>
        <w:rPr>
          <w:rFonts w:ascii="Garamond" w:hAnsi="Garamond"/>
          <w:sz w:val="24"/>
          <w:szCs w:val="24"/>
        </w:rPr>
      </w:pPr>
    </w:p>
    <w:p w14:paraId="5E1B2E17" w14:textId="77777777" w:rsidR="00293267" w:rsidRPr="001F021D" w:rsidRDefault="00FC2D90" w:rsidP="00A162EB">
      <w:pPr>
        <w:pStyle w:val="ListParagraph"/>
        <w:numPr>
          <w:ilvl w:val="0"/>
          <w:numId w:val="1"/>
        </w:numPr>
        <w:jc w:val="both"/>
        <w:rPr>
          <w:rFonts w:ascii="Garamond" w:hAnsi="Garamond"/>
          <w:sz w:val="24"/>
          <w:szCs w:val="24"/>
        </w:rPr>
      </w:pPr>
      <w:r w:rsidRPr="001F021D">
        <w:rPr>
          <w:rFonts w:ascii="Garamond" w:hAnsi="Garamond"/>
          <w:sz w:val="24"/>
          <w:szCs w:val="24"/>
        </w:rPr>
        <w:t xml:space="preserve">In my opinion the Review should recommend an amendment to the EO Act, consistent with the Equal Opportunity Act of South Australia. </w:t>
      </w:r>
      <w:r w:rsidR="00A162EB" w:rsidRPr="001F021D">
        <w:rPr>
          <w:rFonts w:ascii="Garamond" w:hAnsi="Garamond"/>
          <w:sz w:val="24"/>
          <w:szCs w:val="24"/>
        </w:rPr>
        <w:t xml:space="preserve"> </w:t>
      </w:r>
      <w:r w:rsidR="0068081B" w:rsidRPr="001F021D">
        <w:rPr>
          <w:rFonts w:ascii="Garamond" w:hAnsi="Garamond"/>
          <w:sz w:val="24"/>
          <w:szCs w:val="24"/>
        </w:rPr>
        <w:t xml:space="preserve">Proposed amendments to the EO Act are </w:t>
      </w:r>
      <w:r w:rsidR="00D14B37" w:rsidRPr="001F021D">
        <w:rPr>
          <w:rFonts w:ascii="Garamond" w:hAnsi="Garamond"/>
          <w:sz w:val="24"/>
          <w:szCs w:val="24"/>
        </w:rPr>
        <w:t>included in Attachment A.</w:t>
      </w:r>
      <w:r w:rsidR="00293267" w:rsidRPr="001F021D">
        <w:rPr>
          <w:rFonts w:ascii="Garamond" w:hAnsi="Garamond"/>
          <w:sz w:val="24"/>
          <w:szCs w:val="24"/>
        </w:rPr>
        <w:t xml:space="preserve"> </w:t>
      </w:r>
    </w:p>
    <w:p w14:paraId="53C3FE99" w14:textId="77777777" w:rsidR="0068081B" w:rsidRPr="001F021D" w:rsidRDefault="0068081B" w:rsidP="004F7570">
      <w:pPr>
        <w:jc w:val="both"/>
        <w:rPr>
          <w:rFonts w:ascii="Garamond" w:hAnsi="Garamond"/>
          <w:sz w:val="24"/>
          <w:szCs w:val="24"/>
        </w:rPr>
      </w:pPr>
    </w:p>
    <w:p w14:paraId="210B100C" w14:textId="77777777" w:rsidR="0068081B" w:rsidRPr="001F021D" w:rsidRDefault="0068081B" w:rsidP="0068081B">
      <w:pPr>
        <w:ind w:left="1701" w:hanging="1275"/>
        <w:jc w:val="both"/>
        <w:rPr>
          <w:rFonts w:ascii="Garamond" w:hAnsi="Garamond"/>
          <w:sz w:val="24"/>
          <w:szCs w:val="24"/>
        </w:rPr>
      </w:pPr>
    </w:p>
    <w:p w14:paraId="40735561" w14:textId="77777777" w:rsidR="0068081B" w:rsidRPr="001F021D" w:rsidRDefault="0068081B" w:rsidP="0068081B">
      <w:pPr>
        <w:ind w:left="1701" w:hanging="1275"/>
        <w:jc w:val="both"/>
        <w:rPr>
          <w:rFonts w:ascii="Garamond" w:hAnsi="Garamond"/>
          <w:sz w:val="24"/>
          <w:szCs w:val="24"/>
        </w:rPr>
      </w:pPr>
    </w:p>
    <w:p w14:paraId="239F4CD9" w14:textId="77777777" w:rsidR="00DF6154" w:rsidRPr="001F021D" w:rsidRDefault="00DF6154" w:rsidP="00B1477D">
      <w:pPr>
        <w:jc w:val="both"/>
        <w:rPr>
          <w:rFonts w:ascii="Garamond" w:hAnsi="Garamond"/>
          <w:sz w:val="24"/>
          <w:szCs w:val="24"/>
        </w:rPr>
      </w:pPr>
    </w:p>
    <w:p w14:paraId="3153D5CF" w14:textId="77777777" w:rsidR="00B1477D" w:rsidRPr="001F021D" w:rsidRDefault="00D533FD" w:rsidP="00D533FD">
      <w:pPr>
        <w:tabs>
          <w:tab w:val="left" w:pos="426"/>
        </w:tabs>
        <w:jc w:val="both"/>
        <w:rPr>
          <w:rFonts w:ascii="Garamond" w:hAnsi="Garamond"/>
          <w:b/>
          <w:bCs/>
          <w:i/>
          <w:iCs/>
          <w:sz w:val="24"/>
          <w:szCs w:val="24"/>
        </w:rPr>
      </w:pPr>
      <w:r w:rsidRPr="001F021D">
        <w:rPr>
          <w:rFonts w:ascii="Garamond" w:hAnsi="Garamond"/>
          <w:b/>
          <w:bCs/>
          <w:i/>
          <w:iCs/>
          <w:sz w:val="24"/>
          <w:szCs w:val="24"/>
        </w:rPr>
        <w:t>B.</w:t>
      </w:r>
      <w:r w:rsidRPr="001F021D">
        <w:rPr>
          <w:rFonts w:ascii="Garamond" w:hAnsi="Garamond"/>
          <w:b/>
          <w:bCs/>
          <w:i/>
          <w:iCs/>
          <w:sz w:val="24"/>
          <w:szCs w:val="24"/>
        </w:rPr>
        <w:tab/>
      </w:r>
      <w:r w:rsidR="00B1477D" w:rsidRPr="001F021D">
        <w:rPr>
          <w:rFonts w:ascii="Garamond" w:hAnsi="Garamond"/>
          <w:b/>
          <w:bCs/>
          <w:i/>
          <w:iCs/>
          <w:sz w:val="24"/>
          <w:szCs w:val="24"/>
        </w:rPr>
        <w:t>The application of the Charter</w:t>
      </w:r>
      <w:r w:rsidR="00DF6154" w:rsidRPr="001F021D">
        <w:rPr>
          <w:rFonts w:ascii="Garamond" w:hAnsi="Garamond"/>
          <w:b/>
          <w:bCs/>
          <w:i/>
          <w:iCs/>
          <w:sz w:val="24"/>
          <w:szCs w:val="24"/>
        </w:rPr>
        <w:t xml:space="preserve"> </w:t>
      </w:r>
    </w:p>
    <w:p w14:paraId="783E29C8" w14:textId="77777777" w:rsidR="001E11A9" w:rsidRPr="001F021D" w:rsidRDefault="001E11A9" w:rsidP="001E11A9">
      <w:pPr>
        <w:pStyle w:val="ListParagraph"/>
        <w:ind w:left="360"/>
        <w:jc w:val="both"/>
        <w:rPr>
          <w:rFonts w:ascii="Garamond" w:hAnsi="Garamond"/>
          <w:b/>
          <w:bCs/>
          <w:i/>
          <w:iCs/>
          <w:sz w:val="24"/>
          <w:szCs w:val="24"/>
        </w:rPr>
      </w:pPr>
    </w:p>
    <w:p w14:paraId="03D5D7B8" w14:textId="77777777" w:rsidR="00EF3327" w:rsidRPr="001F021D" w:rsidRDefault="00BF3716"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The </w:t>
      </w:r>
      <w:r w:rsidR="0037788A" w:rsidRPr="001F021D">
        <w:rPr>
          <w:rFonts w:ascii="Garamond" w:hAnsi="Garamond"/>
          <w:sz w:val="24"/>
          <w:szCs w:val="24"/>
        </w:rPr>
        <w:t xml:space="preserve">purpose of the </w:t>
      </w:r>
      <w:r w:rsidRPr="001F021D">
        <w:rPr>
          <w:rFonts w:ascii="Garamond" w:hAnsi="Garamond"/>
          <w:sz w:val="24"/>
          <w:szCs w:val="24"/>
        </w:rPr>
        <w:t xml:space="preserve">Charter </w:t>
      </w:r>
      <w:r w:rsidR="0037788A" w:rsidRPr="001F021D">
        <w:rPr>
          <w:rFonts w:ascii="Garamond" w:hAnsi="Garamond"/>
          <w:sz w:val="24"/>
          <w:szCs w:val="24"/>
        </w:rPr>
        <w:t>is to protect and promote certain human rights</w:t>
      </w:r>
      <w:r w:rsidR="00EF3327" w:rsidRPr="001F021D">
        <w:rPr>
          <w:rFonts w:ascii="Garamond" w:hAnsi="Garamond"/>
          <w:sz w:val="24"/>
          <w:szCs w:val="24"/>
        </w:rPr>
        <w:t>, relevantly by imposing an obligation on public authorities to act in a way that is compatible with a protected right: s1(2)(c).</w:t>
      </w:r>
    </w:p>
    <w:p w14:paraId="3DC15D46" w14:textId="77777777" w:rsidR="00EF3327" w:rsidRPr="001F021D" w:rsidRDefault="00EF3327" w:rsidP="00EF3327">
      <w:pPr>
        <w:pStyle w:val="ListParagraph"/>
        <w:ind w:left="360"/>
        <w:jc w:val="both"/>
        <w:rPr>
          <w:rFonts w:ascii="Garamond" w:hAnsi="Garamond"/>
          <w:sz w:val="24"/>
          <w:szCs w:val="24"/>
        </w:rPr>
      </w:pPr>
    </w:p>
    <w:p w14:paraId="3E241F72" w14:textId="77777777" w:rsidR="00EF3327" w:rsidRPr="001F021D" w:rsidRDefault="00EF3327" w:rsidP="005C350E">
      <w:pPr>
        <w:pStyle w:val="ListParagraph"/>
        <w:numPr>
          <w:ilvl w:val="0"/>
          <w:numId w:val="1"/>
        </w:numPr>
        <w:jc w:val="both"/>
        <w:rPr>
          <w:rFonts w:ascii="Garamond" w:hAnsi="Garamond"/>
          <w:sz w:val="24"/>
          <w:szCs w:val="24"/>
        </w:rPr>
      </w:pPr>
      <w:r w:rsidRPr="001F021D">
        <w:rPr>
          <w:rFonts w:ascii="Garamond" w:hAnsi="Garamond"/>
          <w:sz w:val="24"/>
          <w:szCs w:val="24"/>
        </w:rPr>
        <w:t>The Charter has no application in the context of sexual harassment by judicial officers because:</w:t>
      </w:r>
    </w:p>
    <w:p w14:paraId="0AD72A2A" w14:textId="77777777" w:rsidR="00EF3327" w:rsidRPr="001F021D" w:rsidRDefault="00EF3327" w:rsidP="00EF3327">
      <w:pPr>
        <w:pStyle w:val="ListParagraph"/>
        <w:rPr>
          <w:rFonts w:ascii="Garamond" w:hAnsi="Garamond"/>
          <w:sz w:val="24"/>
          <w:szCs w:val="24"/>
        </w:rPr>
      </w:pPr>
    </w:p>
    <w:p w14:paraId="7B794740" w14:textId="77777777" w:rsidR="00EF3327" w:rsidRPr="001F021D" w:rsidRDefault="001E11A9" w:rsidP="00EC194B">
      <w:pPr>
        <w:pStyle w:val="ListParagraph"/>
        <w:numPr>
          <w:ilvl w:val="0"/>
          <w:numId w:val="19"/>
        </w:numPr>
        <w:jc w:val="both"/>
        <w:rPr>
          <w:rFonts w:ascii="Garamond" w:hAnsi="Garamond"/>
          <w:sz w:val="24"/>
          <w:szCs w:val="24"/>
        </w:rPr>
      </w:pPr>
      <w:r w:rsidRPr="001F021D">
        <w:rPr>
          <w:rFonts w:ascii="Garamond" w:hAnsi="Garamond"/>
          <w:sz w:val="24"/>
          <w:szCs w:val="24"/>
        </w:rPr>
        <w:t>a</w:t>
      </w:r>
      <w:r w:rsidR="00EF3327" w:rsidRPr="001F021D">
        <w:rPr>
          <w:rFonts w:ascii="Garamond" w:hAnsi="Garamond"/>
          <w:sz w:val="24"/>
          <w:szCs w:val="24"/>
        </w:rPr>
        <w:t xml:space="preserve"> Court or Tribunal is not a public authority subject to the Charter except </w:t>
      </w:r>
      <w:r w:rsidR="00BF3716" w:rsidRPr="001F021D">
        <w:rPr>
          <w:rFonts w:ascii="Garamond" w:hAnsi="Garamond"/>
          <w:sz w:val="24"/>
          <w:szCs w:val="24"/>
        </w:rPr>
        <w:t>when it is acting in an administrative capacity: s 4(1)(j)</w:t>
      </w:r>
      <w:r w:rsidR="00EF3327" w:rsidRPr="001F021D">
        <w:rPr>
          <w:rFonts w:ascii="Garamond" w:hAnsi="Garamond"/>
          <w:sz w:val="24"/>
          <w:szCs w:val="24"/>
        </w:rPr>
        <w:t>;</w:t>
      </w:r>
    </w:p>
    <w:p w14:paraId="76AF52B7" w14:textId="77777777" w:rsidR="00EF3327" w:rsidRPr="001F021D" w:rsidRDefault="001E11A9" w:rsidP="00EC194B">
      <w:pPr>
        <w:pStyle w:val="ListParagraph"/>
        <w:numPr>
          <w:ilvl w:val="0"/>
          <w:numId w:val="19"/>
        </w:numPr>
        <w:jc w:val="both"/>
        <w:rPr>
          <w:rFonts w:ascii="Garamond" w:hAnsi="Garamond"/>
          <w:sz w:val="24"/>
          <w:szCs w:val="24"/>
        </w:rPr>
      </w:pPr>
      <w:r w:rsidRPr="001F021D">
        <w:rPr>
          <w:rFonts w:ascii="Garamond" w:hAnsi="Garamond"/>
          <w:sz w:val="24"/>
          <w:szCs w:val="24"/>
        </w:rPr>
        <w:t>w</w:t>
      </w:r>
      <w:r w:rsidR="00EF3327" w:rsidRPr="001F021D">
        <w:rPr>
          <w:rFonts w:ascii="Garamond" w:hAnsi="Garamond"/>
          <w:sz w:val="24"/>
          <w:szCs w:val="24"/>
        </w:rPr>
        <w:t xml:space="preserve">hile the Charter applies to Courts and </w:t>
      </w:r>
      <w:r w:rsidR="008B3E90" w:rsidRPr="001F021D">
        <w:rPr>
          <w:rFonts w:ascii="Garamond" w:hAnsi="Garamond"/>
          <w:sz w:val="24"/>
          <w:szCs w:val="24"/>
        </w:rPr>
        <w:t>T</w:t>
      </w:r>
      <w:r w:rsidR="00EF3327" w:rsidRPr="001F021D">
        <w:rPr>
          <w:rFonts w:ascii="Garamond" w:hAnsi="Garamond"/>
          <w:sz w:val="24"/>
          <w:szCs w:val="24"/>
        </w:rPr>
        <w:t xml:space="preserve">ribunals to the extent they have functions under Part 2 </w:t>
      </w:r>
      <w:r w:rsidRPr="001F021D">
        <w:rPr>
          <w:rFonts w:ascii="Garamond" w:hAnsi="Garamond"/>
          <w:sz w:val="24"/>
          <w:szCs w:val="24"/>
        </w:rPr>
        <w:t xml:space="preserve">(Human Rights) </w:t>
      </w:r>
      <w:r w:rsidR="00EF3327" w:rsidRPr="001F021D">
        <w:rPr>
          <w:rFonts w:ascii="Garamond" w:hAnsi="Garamond"/>
          <w:sz w:val="24"/>
          <w:szCs w:val="24"/>
        </w:rPr>
        <w:t>and Div 3 of Part 3</w:t>
      </w:r>
      <w:r w:rsidRPr="001F021D">
        <w:rPr>
          <w:rFonts w:ascii="Garamond" w:hAnsi="Garamond"/>
          <w:sz w:val="24"/>
          <w:szCs w:val="24"/>
        </w:rPr>
        <w:t xml:space="preserve"> (Interpretation of Laws), it does not apply generally to the broader conduct of judicial officers; </w:t>
      </w:r>
    </w:p>
    <w:p w14:paraId="3F05290C" w14:textId="77777777" w:rsidR="00EF3327" w:rsidRPr="001F021D" w:rsidRDefault="001E11A9" w:rsidP="00EC194B">
      <w:pPr>
        <w:pStyle w:val="ListParagraph"/>
        <w:numPr>
          <w:ilvl w:val="0"/>
          <w:numId w:val="19"/>
        </w:numPr>
        <w:jc w:val="both"/>
        <w:rPr>
          <w:rFonts w:ascii="Garamond" w:hAnsi="Garamond"/>
          <w:sz w:val="24"/>
          <w:szCs w:val="24"/>
        </w:rPr>
      </w:pPr>
      <w:r w:rsidRPr="001F021D">
        <w:rPr>
          <w:rFonts w:ascii="Garamond" w:hAnsi="Garamond"/>
          <w:sz w:val="24"/>
          <w:szCs w:val="24"/>
        </w:rPr>
        <w:t>p</w:t>
      </w:r>
      <w:r w:rsidR="00EF3327" w:rsidRPr="001F021D">
        <w:rPr>
          <w:rFonts w:ascii="Garamond" w:hAnsi="Garamond"/>
          <w:sz w:val="24"/>
          <w:szCs w:val="24"/>
        </w:rPr>
        <w:t xml:space="preserve">rivate acts or decisions of public authorities are expressly excluded from the operation of the Charter: s38(3); and </w:t>
      </w:r>
    </w:p>
    <w:p w14:paraId="440480DC" w14:textId="77777777" w:rsidR="00EF3327" w:rsidRPr="001F021D" w:rsidRDefault="001E11A9" w:rsidP="00EC194B">
      <w:pPr>
        <w:pStyle w:val="ListParagraph"/>
        <w:numPr>
          <w:ilvl w:val="0"/>
          <w:numId w:val="19"/>
        </w:numPr>
        <w:jc w:val="both"/>
        <w:rPr>
          <w:rFonts w:ascii="Garamond" w:hAnsi="Garamond"/>
          <w:sz w:val="24"/>
          <w:szCs w:val="24"/>
        </w:rPr>
      </w:pPr>
      <w:r w:rsidRPr="001F021D">
        <w:rPr>
          <w:rFonts w:ascii="Garamond" w:hAnsi="Garamond"/>
          <w:sz w:val="24"/>
          <w:szCs w:val="24"/>
        </w:rPr>
        <w:t xml:space="preserve">leaving aside </w:t>
      </w:r>
      <w:r w:rsidR="00EC194B" w:rsidRPr="001F021D">
        <w:rPr>
          <w:rFonts w:ascii="Garamond" w:hAnsi="Garamond"/>
          <w:sz w:val="24"/>
          <w:szCs w:val="24"/>
        </w:rPr>
        <w:t xml:space="preserve">the </w:t>
      </w:r>
      <w:r w:rsidRPr="001F021D">
        <w:rPr>
          <w:rFonts w:ascii="Garamond" w:hAnsi="Garamond"/>
          <w:sz w:val="24"/>
          <w:szCs w:val="24"/>
        </w:rPr>
        <w:t>possible interpretation of the right to equality and non</w:t>
      </w:r>
      <w:r w:rsidR="008B3E90" w:rsidRPr="001F021D">
        <w:rPr>
          <w:rFonts w:ascii="Garamond" w:hAnsi="Garamond"/>
          <w:sz w:val="24"/>
          <w:szCs w:val="24"/>
        </w:rPr>
        <w:t>-</w:t>
      </w:r>
      <w:r w:rsidRPr="001F021D">
        <w:rPr>
          <w:rFonts w:ascii="Garamond" w:hAnsi="Garamond"/>
          <w:sz w:val="24"/>
          <w:szCs w:val="24"/>
        </w:rPr>
        <w:t>discrimination, s</w:t>
      </w:r>
      <w:r w:rsidR="00EF3327" w:rsidRPr="001F021D">
        <w:rPr>
          <w:rFonts w:ascii="Garamond" w:hAnsi="Garamond"/>
          <w:sz w:val="24"/>
          <w:szCs w:val="24"/>
        </w:rPr>
        <w:t xml:space="preserve">exual harassment is not </w:t>
      </w:r>
      <w:r w:rsidR="00EC194B" w:rsidRPr="001F021D">
        <w:rPr>
          <w:rFonts w:ascii="Garamond" w:hAnsi="Garamond"/>
          <w:sz w:val="24"/>
          <w:szCs w:val="24"/>
        </w:rPr>
        <w:t xml:space="preserve">expressly noted as </w:t>
      </w:r>
      <w:r w:rsidR="00EF3327" w:rsidRPr="001F021D">
        <w:rPr>
          <w:rFonts w:ascii="Garamond" w:hAnsi="Garamond"/>
          <w:sz w:val="24"/>
          <w:szCs w:val="24"/>
        </w:rPr>
        <w:t xml:space="preserve">a protected right under the Charter: </w:t>
      </w:r>
      <w:r w:rsidRPr="001F021D">
        <w:rPr>
          <w:rFonts w:ascii="Garamond" w:hAnsi="Garamond"/>
          <w:sz w:val="24"/>
          <w:szCs w:val="24"/>
        </w:rPr>
        <w:t>Part 2.</w:t>
      </w:r>
    </w:p>
    <w:p w14:paraId="7BD0470B" w14:textId="77777777" w:rsidR="00BF3716" w:rsidRPr="001F021D" w:rsidRDefault="00BF3716" w:rsidP="00BF3716">
      <w:pPr>
        <w:pStyle w:val="ListParagraph"/>
        <w:ind w:left="360"/>
        <w:jc w:val="both"/>
        <w:rPr>
          <w:rFonts w:ascii="Garamond" w:hAnsi="Garamond"/>
          <w:sz w:val="24"/>
          <w:szCs w:val="24"/>
        </w:rPr>
      </w:pPr>
    </w:p>
    <w:p w14:paraId="00426A02" w14:textId="77777777" w:rsidR="0037788A" w:rsidRPr="001F021D" w:rsidRDefault="0037788A" w:rsidP="0037788A">
      <w:pPr>
        <w:jc w:val="both"/>
        <w:rPr>
          <w:rFonts w:ascii="Garamond" w:hAnsi="Garamond"/>
          <w:b/>
          <w:bCs/>
          <w:i/>
          <w:iCs/>
          <w:sz w:val="24"/>
          <w:szCs w:val="24"/>
        </w:rPr>
      </w:pPr>
    </w:p>
    <w:p w14:paraId="0EE98FB1" w14:textId="77777777" w:rsidR="00B1477D" w:rsidRDefault="00D533FD" w:rsidP="00B1477D">
      <w:pPr>
        <w:jc w:val="both"/>
        <w:rPr>
          <w:rFonts w:ascii="Garamond" w:hAnsi="Garamond"/>
          <w:b/>
          <w:bCs/>
          <w:i/>
          <w:iCs/>
          <w:sz w:val="24"/>
          <w:szCs w:val="24"/>
        </w:rPr>
      </w:pPr>
      <w:r w:rsidRPr="001F021D">
        <w:rPr>
          <w:rFonts w:ascii="Garamond" w:hAnsi="Garamond"/>
          <w:b/>
          <w:bCs/>
          <w:i/>
          <w:iCs/>
          <w:sz w:val="24"/>
          <w:szCs w:val="24"/>
        </w:rPr>
        <w:t>C</w:t>
      </w:r>
      <w:r w:rsidR="0037788A" w:rsidRPr="001F021D">
        <w:rPr>
          <w:rFonts w:ascii="Garamond" w:hAnsi="Garamond"/>
          <w:b/>
          <w:bCs/>
          <w:i/>
          <w:iCs/>
          <w:sz w:val="24"/>
          <w:szCs w:val="24"/>
        </w:rPr>
        <w:t xml:space="preserve">. </w:t>
      </w:r>
      <w:r w:rsidRPr="001F021D">
        <w:rPr>
          <w:rFonts w:ascii="Garamond" w:hAnsi="Garamond"/>
          <w:b/>
          <w:bCs/>
          <w:i/>
          <w:iCs/>
          <w:sz w:val="24"/>
          <w:szCs w:val="24"/>
        </w:rPr>
        <w:t xml:space="preserve">  </w:t>
      </w:r>
      <w:r w:rsidR="0037788A" w:rsidRPr="001F021D">
        <w:rPr>
          <w:rFonts w:ascii="Garamond" w:hAnsi="Garamond"/>
          <w:b/>
          <w:bCs/>
          <w:i/>
          <w:iCs/>
          <w:sz w:val="24"/>
          <w:szCs w:val="24"/>
        </w:rPr>
        <w:t>The</w:t>
      </w:r>
      <w:r w:rsidR="00B1477D" w:rsidRPr="001F021D">
        <w:rPr>
          <w:rFonts w:ascii="Garamond" w:hAnsi="Garamond"/>
          <w:b/>
          <w:bCs/>
          <w:i/>
          <w:iCs/>
          <w:sz w:val="24"/>
          <w:szCs w:val="24"/>
        </w:rPr>
        <w:t xml:space="preserve"> OHS Act</w:t>
      </w:r>
    </w:p>
    <w:p w14:paraId="313A3F49" w14:textId="77777777" w:rsidR="00CC48A9" w:rsidRPr="001F021D" w:rsidRDefault="00CC48A9" w:rsidP="00B1477D">
      <w:pPr>
        <w:jc w:val="both"/>
        <w:rPr>
          <w:rFonts w:ascii="Garamond" w:hAnsi="Garamond"/>
          <w:sz w:val="24"/>
          <w:szCs w:val="24"/>
        </w:rPr>
      </w:pPr>
    </w:p>
    <w:p w14:paraId="229AAE64" w14:textId="77777777" w:rsidR="00B1477D" w:rsidRPr="001F021D" w:rsidRDefault="00B93535"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Under the OHS Act </w:t>
      </w:r>
      <w:r w:rsidR="009E09B0" w:rsidRPr="001F021D">
        <w:rPr>
          <w:rFonts w:ascii="Garamond" w:hAnsi="Garamond"/>
          <w:sz w:val="24"/>
          <w:szCs w:val="24"/>
        </w:rPr>
        <w:t xml:space="preserve">and at common law, </w:t>
      </w:r>
      <w:r w:rsidRPr="001F021D">
        <w:rPr>
          <w:rFonts w:ascii="Garamond" w:hAnsi="Garamond"/>
          <w:sz w:val="24"/>
          <w:szCs w:val="24"/>
        </w:rPr>
        <w:t>employers must, so far as is reasonably practicable, provide and maintain a work environment that is safe and without risk to the health of their employees.  ‘Employees’ include independent contractors, as well as employees of the independent contract.</w:t>
      </w:r>
    </w:p>
    <w:p w14:paraId="2320FA56" w14:textId="77777777" w:rsidR="009E09B0" w:rsidRPr="001F021D" w:rsidRDefault="009E09B0" w:rsidP="009E09B0">
      <w:pPr>
        <w:pStyle w:val="ListParagraph"/>
        <w:ind w:left="360"/>
        <w:jc w:val="both"/>
        <w:rPr>
          <w:rFonts w:ascii="Garamond" w:hAnsi="Garamond"/>
          <w:sz w:val="24"/>
          <w:szCs w:val="24"/>
        </w:rPr>
      </w:pPr>
    </w:p>
    <w:p w14:paraId="43307E13" w14:textId="77777777" w:rsidR="009E09B0" w:rsidRPr="001F021D" w:rsidRDefault="009E09B0" w:rsidP="005C350E">
      <w:pPr>
        <w:pStyle w:val="ListParagraph"/>
        <w:numPr>
          <w:ilvl w:val="0"/>
          <w:numId w:val="1"/>
        </w:numPr>
        <w:jc w:val="both"/>
        <w:rPr>
          <w:rFonts w:ascii="Garamond" w:hAnsi="Garamond"/>
          <w:sz w:val="24"/>
          <w:szCs w:val="24"/>
        </w:rPr>
      </w:pPr>
      <w:r w:rsidRPr="001F021D">
        <w:rPr>
          <w:rFonts w:ascii="Garamond" w:hAnsi="Garamond"/>
          <w:sz w:val="24"/>
          <w:szCs w:val="24"/>
        </w:rPr>
        <w:t>Sexual harassment may constitute a breach of the duty to provide a safe workplace. However as far as I am aware, no legislation in Australia includes an express provision defining, preventing or responding to sexual harassment as a workplace health and safety issue.</w:t>
      </w:r>
    </w:p>
    <w:p w14:paraId="366167A9" w14:textId="77777777" w:rsidR="00DF4F7D" w:rsidRPr="001F021D" w:rsidRDefault="00DF4F7D" w:rsidP="00DF4F7D">
      <w:pPr>
        <w:pStyle w:val="ListParagraph"/>
        <w:ind w:left="360"/>
        <w:jc w:val="both"/>
        <w:rPr>
          <w:rFonts w:ascii="Garamond" w:hAnsi="Garamond"/>
          <w:sz w:val="24"/>
          <w:szCs w:val="24"/>
        </w:rPr>
      </w:pPr>
    </w:p>
    <w:p w14:paraId="51D2802E" w14:textId="77777777" w:rsidR="00B1477D" w:rsidRPr="001F021D" w:rsidRDefault="006C13F1" w:rsidP="005C350E">
      <w:pPr>
        <w:pStyle w:val="ListParagraph"/>
        <w:numPr>
          <w:ilvl w:val="0"/>
          <w:numId w:val="1"/>
        </w:numPr>
        <w:jc w:val="both"/>
        <w:rPr>
          <w:rFonts w:ascii="Garamond" w:hAnsi="Garamond"/>
          <w:sz w:val="24"/>
          <w:szCs w:val="24"/>
        </w:rPr>
      </w:pPr>
      <w:r w:rsidRPr="001F021D">
        <w:rPr>
          <w:rFonts w:ascii="Garamond" w:hAnsi="Garamond"/>
          <w:sz w:val="24"/>
          <w:szCs w:val="24"/>
        </w:rPr>
        <w:t>Section 26 of the OHS Act</w:t>
      </w:r>
      <w:r w:rsidR="00DC4377" w:rsidRPr="001F021D">
        <w:rPr>
          <w:rFonts w:ascii="Garamond" w:hAnsi="Garamond"/>
          <w:sz w:val="24"/>
          <w:szCs w:val="24"/>
        </w:rPr>
        <w:t xml:space="preserve"> sets out the duties of a person who manages or controls a workplace, as follows:</w:t>
      </w:r>
    </w:p>
    <w:p w14:paraId="138C50FC" w14:textId="77777777" w:rsidR="00DC4377" w:rsidRPr="001F021D" w:rsidRDefault="00DC4377" w:rsidP="00DC4377">
      <w:pPr>
        <w:pStyle w:val="ListParagraph"/>
        <w:rPr>
          <w:rFonts w:ascii="Garamond" w:hAnsi="Garamond"/>
          <w:sz w:val="24"/>
          <w:szCs w:val="24"/>
        </w:rPr>
      </w:pPr>
    </w:p>
    <w:p w14:paraId="090B9916" w14:textId="77777777" w:rsidR="00DC4377" w:rsidRPr="000F375A" w:rsidRDefault="00DC4377" w:rsidP="00BC2522">
      <w:pPr>
        <w:pStyle w:val="ListParagraph"/>
        <w:numPr>
          <w:ilvl w:val="0"/>
          <w:numId w:val="10"/>
        </w:numPr>
        <w:jc w:val="both"/>
        <w:rPr>
          <w:rFonts w:ascii="Garamond" w:hAnsi="Garamond"/>
        </w:rPr>
      </w:pPr>
      <w:r w:rsidRPr="000F375A">
        <w:rPr>
          <w:rFonts w:ascii="Garamond" w:hAnsi="Garamond"/>
          <w:iCs/>
        </w:rPr>
        <w:t xml:space="preserve">a person who (whether as an owner or otherwise) has, </w:t>
      </w:r>
      <w:r w:rsidRPr="000F375A">
        <w:rPr>
          <w:rFonts w:ascii="Garamond" w:hAnsi="Garamond"/>
          <w:b/>
          <w:bCs/>
          <w:iCs/>
        </w:rPr>
        <w:t>to any extent</w:t>
      </w:r>
      <w:r w:rsidRPr="000F375A">
        <w:rPr>
          <w:rFonts w:ascii="Garamond" w:hAnsi="Garamond"/>
          <w:iCs/>
        </w:rPr>
        <w:t>, the management or control of a workplace must ensure so far as is reasonably practicable that the workplace</w:t>
      </w:r>
      <w:r w:rsidR="00E40C34" w:rsidRPr="000F375A">
        <w:rPr>
          <w:rFonts w:ascii="Garamond" w:hAnsi="Garamond"/>
          <w:iCs/>
        </w:rPr>
        <w:t xml:space="preserve"> and the means of entering and leaving it area safe and without risks to health</w:t>
      </w:r>
      <w:r w:rsidR="00E40C34" w:rsidRPr="000F375A">
        <w:rPr>
          <w:rFonts w:ascii="Garamond" w:hAnsi="Garamond"/>
        </w:rPr>
        <w:t>.</w:t>
      </w:r>
    </w:p>
    <w:p w14:paraId="1CFC83B0" w14:textId="77777777" w:rsidR="00BC2522" w:rsidRPr="001F021D" w:rsidRDefault="00BC2522" w:rsidP="00BC2522">
      <w:pPr>
        <w:ind w:left="360"/>
        <w:jc w:val="both"/>
        <w:rPr>
          <w:rFonts w:ascii="Garamond" w:hAnsi="Garamond"/>
          <w:sz w:val="24"/>
          <w:szCs w:val="24"/>
        </w:rPr>
      </w:pPr>
    </w:p>
    <w:p w14:paraId="1E54AE3D" w14:textId="77777777" w:rsidR="00BC2522" w:rsidRPr="001F021D" w:rsidRDefault="00BC2522" w:rsidP="004F7570">
      <w:pPr>
        <w:ind w:left="360"/>
        <w:jc w:val="both"/>
        <w:rPr>
          <w:rFonts w:ascii="Garamond" w:hAnsi="Garamond"/>
          <w:sz w:val="24"/>
          <w:szCs w:val="24"/>
        </w:rPr>
      </w:pPr>
      <w:r w:rsidRPr="001F021D">
        <w:rPr>
          <w:rFonts w:ascii="Garamond" w:hAnsi="Garamond"/>
          <w:sz w:val="24"/>
          <w:szCs w:val="24"/>
        </w:rPr>
        <w:t>(emphasis added)</w:t>
      </w:r>
    </w:p>
    <w:p w14:paraId="31AD0F96" w14:textId="77777777" w:rsidR="00DF4F7D" w:rsidRPr="001F021D" w:rsidRDefault="00DF4F7D" w:rsidP="00DF4F7D">
      <w:pPr>
        <w:pStyle w:val="ListParagraph"/>
        <w:rPr>
          <w:rFonts w:ascii="Garamond" w:hAnsi="Garamond"/>
          <w:sz w:val="24"/>
          <w:szCs w:val="24"/>
        </w:rPr>
      </w:pPr>
    </w:p>
    <w:p w14:paraId="573BB486" w14:textId="77777777" w:rsidR="00C86402" w:rsidRPr="001F021D" w:rsidRDefault="00935A1D"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The </w:t>
      </w:r>
      <w:r w:rsidR="00D70EC2" w:rsidRPr="001F021D">
        <w:rPr>
          <w:rFonts w:ascii="Garamond" w:hAnsi="Garamond"/>
          <w:sz w:val="24"/>
          <w:szCs w:val="24"/>
        </w:rPr>
        <w:t xml:space="preserve">question of ‘control’ </w:t>
      </w:r>
      <w:r w:rsidR="005E4874" w:rsidRPr="001F021D">
        <w:rPr>
          <w:rFonts w:ascii="Garamond" w:hAnsi="Garamond"/>
          <w:sz w:val="24"/>
          <w:szCs w:val="24"/>
        </w:rPr>
        <w:t xml:space="preserve">in the context of section 26 of the OHS Act </w:t>
      </w:r>
      <w:r w:rsidR="00D70EC2" w:rsidRPr="001F021D">
        <w:rPr>
          <w:rFonts w:ascii="Garamond" w:hAnsi="Garamond"/>
          <w:sz w:val="24"/>
          <w:szCs w:val="24"/>
        </w:rPr>
        <w:t xml:space="preserve">has been </w:t>
      </w:r>
      <w:r w:rsidR="005E4874" w:rsidRPr="001F021D">
        <w:rPr>
          <w:rFonts w:ascii="Garamond" w:hAnsi="Garamond"/>
          <w:sz w:val="24"/>
          <w:szCs w:val="24"/>
        </w:rPr>
        <w:t>repeatedly litigated, primarily in relation to independent contractor’s work.</w:t>
      </w:r>
      <w:r w:rsidR="00D1774E" w:rsidRPr="001F021D">
        <w:rPr>
          <w:rStyle w:val="FootnoteReference"/>
          <w:rFonts w:ascii="Garamond" w:hAnsi="Garamond"/>
          <w:sz w:val="24"/>
          <w:szCs w:val="24"/>
        </w:rPr>
        <w:footnoteReference w:id="20"/>
      </w:r>
      <w:r w:rsidR="005E4874" w:rsidRPr="001F021D">
        <w:rPr>
          <w:rFonts w:ascii="Garamond" w:hAnsi="Garamond"/>
          <w:sz w:val="24"/>
          <w:szCs w:val="24"/>
        </w:rPr>
        <w:t xml:space="preserve">  Appellate courts have consistently concluded that it is sufficient </w:t>
      </w:r>
      <w:r w:rsidR="00DD47D8" w:rsidRPr="001F021D">
        <w:rPr>
          <w:rFonts w:ascii="Garamond" w:hAnsi="Garamond"/>
          <w:sz w:val="24"/>
          <w:szCs w:val="24"/>
        </w:rPr>
        <w:t xml:space="preserve">if a person had a ‘right to control’ the particular matter or activity giving rise to the risk, whether or not </w:t>
      </w:r>
      <w:r w:rsidR="00FD7F84" w:rsidRPr="001F021D">
        <w:rPr>
          <w:rFonts w:ascii="Garamond" w:hAnsi="Garamond"/>
          <w:sz w:val="24"/>
          <w:szCs w:val="24"/>
        </w:rPr>
        <w:t>control was in fact being exercised.</w:t>
      </w:r>
      <w:r w:rsidR="00FD7F84" w:rsidRPr="001F021D">
        <w:rPr>
          <w:rStyle w:val="FootnoteReference"/>
          <w:rFonts w:ascii="Garamond" w:hAnsi="Garamond"/>
          <w:sz w:val="24"/>
          <w:szCs w:val="24"/>
        </w:rPr>
        <w:footnoteReference w:id="21"/>
      </w:r>
      <w:r w:rsidR="00E54AB1" w:rsidRPr="001F021D">
        <w:rPr>
          <w:rFonts w:ascii="Garamond" w:hAnsi="Garamond"/>
          <w:sz w:val="24"/>
          <w:szCs w:val="24"/>
        </w:rPr>
        <w:t xml:space="preserve">  However, it must be actual control over the particular matter affecting safety, rather than a general responsibility for, or control over the workplace.</w:t>
      </w:r>
      <w:r w:rsidR="00E54AB1" w:rsidRPr="001F021D">
        <w:rPr>
          <w:rStyle w:val="FootnoteReference"/>
          <w:rFonts w:ascii="Garamond" w:hAnsi="Garamond"/>
          <w:sz w:val="24"/>
          <w:szCs w:val="24"/>
        </w:rPr>
        <w:footnoteReference w:id="22"/>
      </w:r>
      <w:r w:rsidR="0033207C" w:rsidRPr="001F021D">
        <w:rPr>
          <w:rFonts w:ascii="Garamond" w:hAnsi="Garamond"/>
          <w:sz w:val="24"/>
          <w:szCs w:val="24"/>
        </w:rPr>
        <w:t xml:space="preserve">  This has often been interpreted to exclude </w:t>
      </w:r>
      <w:r w:rsidR="009752ED" w:rsidRPr="001F021D">
        <w:rPr>
          <w:rFonts w:ascii="Garamond" w:hAnsi="Garamond"/>
          <w:sz w:val="24"/>
          <w:szCs w:val="24"/>
        </w:rPr>
        <w:t xml:space="preserve">responsibility for the work of </w:t>
      </w:r>
      <w:r w:rsidR="00FF7F35" w:rsidRPr="001F021D">
        <w:rPr>
          <w:rFonts w:ascii="Garamond" w:hAnsi="Garamond"/>
          <w:sz w:val="24"/>
          <w:szCs w:val="24"/>
        </w:rPr>
        <w:t>specialist contractors (who are not ordinarily susceptible to direction on how to perform their work)</w:t>
      </w:r>
      <w:r w:rsidR="006823A0" w:rsidRPr="001F021D">
        <w:rPr>
          <w:rFonts w:ascii="Garamond" w:hAnsi="Garamond"/>
          <w:sz w:val="24"/>
          <w:szCs w:val="24"/>
        </w:rPr>
        <w:t>.</w:t>
      </w:r>
      <w:r w:rsidR="006823A0" w:rsidRPr="001F021D">
        <w:rPr>
          <w:rStyle w:val="FootnoteReference"/>
          <w:rFonts w:ascii="Garamond" w:hAnsi="Garamond"/>
          <w:sz w:val="24"/>
          <w:szCs w:val="24"/>
        </w:rPr>
        <w:footnoteReference w:id="23"/>
      </w:r>
      <w:r w:rsidR="00FE5C4D" w:rsidRPr="001F021D">
        <w:rPr>
          <w:rFonts w:ascii="Garamond" w:hAnsi="Garamond"/>
          <w:sz w:val="24"/>
          <w:szCs w:val="24"/>
        </w:rPr>
        <w:t xml:space="preserve">  Additionally, even if </w:t>
      </w:r>
      <w:r w:rsidR="00C01497" w:rsidRPr="001F021D">
        <w:rPr>
          <w:rFonts w:ascii="Garamond" w:hAnsi="Garamond"/>
          <w:sz w:val="24"/>
          <w:szCs w:val="24"/>
        </w:rPr>
        <w:t xml:space="preserve">an independent contractor is susceptible to some direction regarding safety measures, it will always be a question of </w:t>
      </w:r>
      <w:r w:rsidR="00FF3978" w:rsidRPr="001F021D">
        <w:rPr>
          <w:rFonts w:ascii="Garamond" w:hAnsi="Garamond"/>
          <w:sz w:val="24"/>
          <w:szCs w:val="24"/>
        </w:rPr>
        <w:t>fact and degree as to whether it is reasonably practicable for an employer to exercise such a power of direction.</w:t>
      </w:r>
      <w:r w:rsidR="00FF3978" w:rsidRPr="001F021D">
        <w:rPr>
          <w:rStyle w:val="FootnoteReference"/>
          <w:rFonts w:ascii="Garamond" w:hAnsi="Garamond"/>
          <w:sz w:val="24"/>
          <w:szCs w:val="24"/>
        </w:rPr>
        <w:footnoteReference w:id="24"/>
      </w:r>
    </w:p>
    <w:p w14:paraId="28895A03" w14:textId="77777777" w:rsidR="00FF3978" w:rsidRPr="001F021D" w:rsidRDefault="00FF3978" w:rsidP="00FF3978">
      <w:pPr>
        <w:pStyle w:val="ListParagraph"/>
        <w:ind w:left="360"/>
        <w:jc w:val="both"/>
        <w:rPr>
          <w:rFonts w:ascii="Garamond" w:hAnsi="Garamond"/>
          <w:sz w:val="24"/>
          <w:szCs w:val="24"/>
        </w:rPr>
      </w:pPr>
    </w:p>
    <w:p w14:paraId="384EFD0E" w14:textId="77777777" w:rsidR="0015227C" w:rsidRPr="001F021D" w:rsidRDefault="0043291C"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In my view, </w:t>
      </w:r>
      <w:r w:rsidR="002B7BB1" w:rsidRPr="001F021D">
        <w:rPr>
          <w:rFonts w:ascii="Garamond" w:hAnsi="Garamond"/>
          <w:sz w:val="24"/>
          <w:szCs w:val="24"/>
        </w:rPr>
        <w:t xml:space="preserve">it is possible that this section </w:t>
      </w:r>
      <w:r w:rsidR="00C24051" w:rsidRPr="001F021D">
        <w:rPr>
          <w:rFonts w:ascii="Garamond" w:hAnsi="Garamond"/>
          <w:sz w:val="24"/>
          <w:szCs w:val="24"/>
        </w:rPr>
        <w:t>may</w:t>
      </w:r>
      <w:r w:rsidR="002B7BB1" w:rsidRPr="001F021D">
        <w:rPr>
          <w:rFonts w:ascii="Garamond" w:hAnsi="Garamond"/>
          <w:sz w:val="24"/>
          <w:szCs w:val="24"/>
        </w:rPr>
        <w:t xml:space="preserve"> apply to the conduct of a judicial officer.  </w:t>
      </w:r>
      <w:r w:rsidR="00C24051" w:rsidRPr="001F021D">
        <w:rPr>
          <w:rFonts w:ascii="Garamond" w:hAnsi="Garamond"/>
          <w:sz w:val="24"/>
          <w:szCs w:val="24"/>
        </w:rPr>
        <w:t xml:space="preserve">Whilst it will depend upon the precise nature of the particular workplace (noting that different courts have different arrangements in place regarding </w:t>
      </w:r>
      <w:r w:rsidR="007D4F56" w:rsidRPr="001F021D">
        <w:rPr>
          <w:rFonts w:ascii="Garamond" w:hAnsi="Garamond"/>
          <w:sz w:val="24"/>
          <w:szCs w:val="24"/>
        </w:rPr>
        <w:t xml:space="preserve">judicial assistance staff, including associates), it seems that judicial officers have at minimum </w:t>
      </w:r>
      <w:r w:rsidR="002C4823" w:rsidRPr="001F021D">
        <w:rPr>
          <w:rFonts w:ascii="Garamond" w:hAnsi="Garamond"/>
          <w:sz w:val="24"/>
          <w:szCs w:val="24"/>
        </w:rPr>
        <w:t xml:space="preserve">some degree of </w:t>
      </w:r>
      <w:r w:rsidR="007D4F56" w:rsidRPr="001F021D">
        <w:rPr>
          <w:rFonts w:ascii="Garamond" w:hAnsi="Garamond"/>
          <w:sz w:val="24"/>
          <w:szCs w:val="24"/>
        </w:rPr>
        <w:t xml:space="preserve">control over </w:t>
      </w:r>
      <w:r w:rsidR="007D3F94" w:rsidRPr="001F021D">
        <w:rPr>
          <w:rFonts w:ascii="Garamond" w:hAnsi="Garamond"/>
          <w:sz w:val="24"/>
          <w:szCs w:val="24"/>
        </w:rPr>
        <w:t>associates</w:t>
      </w:r>
      <w:r w:rsidR="006374B2" w:rsidRPr="001F021D">
        <w:rPr>
          <w:rFonts w:ascii="Garamond" w:hAnsi="Garamond"/>
          <w:sz w:val="24"/>
          <w:szCs w:val="24"/>
        </w:rPr>
        <w:t>’</w:t>
      </w:r>
      <w:r w:rsidR="007D3F94" w:rsidRPr="001F021D">
        <w:rPr>
          <w:rFonts w:ascii="Garamond" w:hAnsi="Garamond"/>
          <w:sz w:val="24"/>
          <w:szCs w:val="24"/>
        </w:rPr>
        <w:t xml:space="preserve"> workloads</w:t>
      </w:r>
      <w:r w:rsidR="004F7570" w:rsidRPr="001F021D">
        <w:rPr>
          <w:rFonts w:ascii="Garamond" w:hAnsi="Garamond"/>
          <w:sz w:val="24"/>
          <w:szCs w:val="24"/>
        </w:rPr>
        <w:t xml:space="preserve"> </w:t>
      </w:r>
      <w:r w:rsidR="002C4823" w:rsidRPr="001F021D">
        <w:rPr>
          <w:rFonts w:ascii="Garamond" w:hAnsi="Garamond"/>
          <w:sz w:val="24"/>
          <w:szCs w:val="24"/>
        </w:rPr>
        <w:t xml:space="preserve">and </w:t>
      </w:r>
      <w:r w:rsidR="0078130B" w:rsidRPr="001F021D">
        <w:rPr>
          <w:rFonts w:ascii="Garamond" w:hAnsi="Garamond"/>
          <w:sz w:val="24"/>
          <w:szCs w:val="24"/>
        </w:rPr>
        <w:t>how that work should be undertaken</w:t>
      </w:r>
      <w:r w:rsidR="006374B2" w:rsidRPr="001F021D">
        <w:rPr>
          <w:rFonts w:ascii="Garamond" w:hAnsi="Garamond"/>
          <w:sz w:val="24"/>
          <w:szCs w:val="24"/>
        </w:rPr>
        <w:t>.</w:t>
      </w:r>
      <w:r w:rsidR="00A60DA8" w:rsidRPr="001F021D">
        <w:rPr>
          <w:rFonts w:ascii="Garamond" w:hAnsi="Garamond"/>
          <w:sz w:val="24"/>
          <w:szCs w:val="24"/>
        </w:rPr>
        <w:t xml:space="preserve">  Whilst associates may also be subject to policies and procedures developed by their actual employer </w:t>
      </w:r>
      <w:r w:rsidR="0078130B" w:rsidRPr="001F021D">
        <w:rPr>
          <w:rFonts w:ascii="Garamond" w:hAnsi="Garamond"/>
          <w:sz w:val="24"/>
          <w:szCs w:val="24"/>
        </w:rPr>
        <w:t>that does not alter the fact that judicial officers also exercise some level of control.</w:t>
      </w:r>
      <w:r w:rsidR="00FD1607" w:rsidRPr="001F021D">
        <w:rPr>
          <w:rFonts w:ascii="Garamond" w:hAnsi="Garamond"/>
          <w:sz w:val="24"/>
          <w:szCs w:val="24"/>
        </w:rPr>
        <w:t xml:space="preserve">  In my view, it is not materially different to a situation where a </w:t>
      </w:r>
      <w:proofErr w:type="gramStart"/>
      <w:r w:rsidR="00FD1607" w:rsidRPr="001F021D">
        <w:rPr>
          <w:rFonts w:ascii="Garamond" w:hAnsi="Garamond"/>
          <w:sz w:val="24"/>
          <w:szCs w:val="24"/>
        </w:rPr>
        <w:t>third party</w:t>
      </w:r>
      <w:proofErr w:type="gramEnd"/>
      <w:r w:rsidR="00FD1607" w:rsidRPr="001F021D">
        <w:rPr>
          <w:rFonts w:ascii="Garamond" w:hAnsi="Garamond"/>
          <w:sz w:val="24"/>
          <w:szCs w:val="24"/>
        </w:rPr>
        <w:t xml:space="preserve"> contractor may be subjected to requirements of its employer</w:t>
      </w:r>
      <w:r w:rsidR="004F7570" w:rsidRPr="001F021D">
        <w:rPr>
          <w:rFonts w:ascii="Garamond" w:hAnsi="Garamond"/>
          <w:sz w:val="24"/>
          <w:szCs w:val="24"/>
        </w:rPr>
        <w:t xml:space="preserve"> </w:t>
      </w:r>
      <w:r w:rsidR="00BF333C" w:rsidRPr="001F021D">
        <w:rPr>
          <w:rFonts w:ascii="Garamond" w:hAnsi="Garamond"/>
          <w:sz w:val="24"/>
          <w:szCs w:val="24"/>
        </w:rPr>
        <w:t xml:space="preserve">and </w:t>
      </w:r>
      <w:r w:rsidR="004F7570" w:rsidRPr="001F021D">
        <w:rPr>
          <w:rFonts w:ascii="Garamond" w:hAnsi="Garamond"/>
          <w:sz w:val="24"/>
          <w:szCs w:val="24"/>
        </w:rPr>
        <w:t>a head contractor.</w:t>
      </w:r>
      <w:r w:rsidR="002C01CF" w:rsidRPr="001F021D">
        <w:rPr>
          <w:rFonts w:ascii="Garamond" w:hAnsi="Garamond"/>
          <w:sz w:val="24"/>
          <w:szCs w:val="24"/>
        </w:rPr>
        <w:t xml:space="preserve">  Both will be exercising a level of control over the contractor.</w:t>
      </w:r>
    </w:p>
    <w:p w14:paraId="494EE55E" w14:textId="77777777" w:rsidR="00BE44A5" w:rsidRPr="001F021D" w:rsidRDefault="00BE44A5" w:rsidP="00BE44A5">
      <w:pPr>
        <w:pStyle w:val="ListParagraph"/>
        <w:ind w:left="360"/>
        <w:jc w:val="both"/>
        <w:rPr>
          <w:rFonts w:ascii="Garamond" w:hAnsi="Garamond"/>
          <w:sz w:val="24"/>
          <w:szCs w:val="24"/>
        </w:rPr>
      </w:pPr>
    </w:p>
    <w:p w14:paraId="72C21479" w14:textId="77777777" w:rsidR="0015227C" w:rsidRPr="001F021D" w:rsidRDefault="005A6E27"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Again, </w:t>
      </w:r>
      <w:r w:rsidR="00FD77AB" w:rsidRPr="001F021D">
        <w:rPr>
          <w:rFonts w:ascii="Garamond" w:hAnsi="Garamond"/>
          <w:sz w:val="24"/>
          <w:szCs w:val="24"/>
        </w:rPr>
        <w:t xml:space="preserve">conduct that occurs during </w:t>
      </w:r>
      <w:r w:rsidR="007A28CC" w:rsidRPr="001F021D">
        <w:rPr>
          <w:rFonts w:ascii="Garamond" w:hAnsi="Garamond"/>
          <w:iCs/>
          <w:sz w:val="24"/>
          <w:szCs w:val="24"/>
        </w:rPr>
        <w:t xml:space="preserve">the exercise of a judicial </w:t>
      </w:r>
      <w:r w:rsidR="004F7570" w:rsidRPr="001F021D">
        <w:rPr>
          <w:rFonts w:ascii="Garamond" w:hAnsi="Garamond"/>
          <w:iCs/>
          <w:sz w:val="24"/>
          <w:szCs w:val="24"/>
        </w:rPr>
        <w:t xml:space="preserve">duties and </w:t>
      </w:r>
      <w:r w:rsidR="007A28CC" w:rsidRPr="001F021D">
        <w:rPr>
          <w:rFonts w:ascii="Garamond" w:hAnsi="Garamond"/>
          <w:iCs/>
          <w:sz w:val="24"/>
          <w:szCs w:val="24"/>
        </w:rPr>
        <w:t>function</w:t>
      </w:r>
      <w:r w:rsidR="004F7570" w:rsidRPr="001F021D">
        <w:rPr>
          <w:rFonts w:ascii="Garamond" w:hAnsi="Garamond"/>
          <w:iCs/>
          <w:sz w:val="24"/>
          <w:szCs w:val="24"/>
        </w:rPr>
        <w:t>s</w:t>
      </w:r>
      <w:r w:rsidR="007A28CC" w:rsidRPr="001F021D">
        <w:rPr>
          <w:rFonts w:ascii="Garamond" w:hAnsi="Garamond"/>
          <w:iCs/>
          <w:sz w:val="24"/>
          <w:szCs w:val="24"/>
        </w:rPr>
        <w:t xml:space="preserve"> </w:t>
      </w:r>
      <w:r w:rsidR="0015227C" w:rsidRPr="001F021D">
        <w:rPr>
          <w:rFonts w:ascii="Garamond" w:hAnsi="Garamond"/>
          <w:iCs/>
          <w:sz w:val="24"/>
          <w:szCs w:val="24"/>
        </w:rPr>
        <w:t>may</w:t>
      </w:r>
      <w:r w:rsidR="002647A1" w:rsidRPr="001F021D">
        <w:rPr>
          <w:rFonts w:ascii="Garamond" w:hAnsi="Garamond"/>
          <w:iCs/>
          <w:sz w:val="24"/>
          <w:szCs w:val="24"/>
        </w:rPr>
        <w:t xml:space="preserve"> </w:t>
      </w:r>
      <w:r w:rsidR="00B16348" w:rsidRPr="001F021D">
        <w:rPr>
          <w:rFonts w:ascii="Garamond" w:hAnsi="Garamond"/>
          <w:iCs/>
          <w:sz w:val="24"/>
          <w:szCs w:val="24"/>
        </w:rPr>
        <w:t xml:space="preserve">attract </w:t>
      </w:r>
      <w:r w:rsidR="0015227C" w:rsidRPr="001F021D">
        <w:rPr>
          <w:rFonts w:ascii="Garamond" w:hAnsi="Garamond"/>
          <w:iCs/>
          <w:sz w:val="24"/>
          <w:szCs w:val="24"/>
        </w:rPr>
        <w:t xml:space="preserve">claims to </w:t>
      </w:r>
      <w:r w:rsidR="00B16348" w:rsidRPr="001F021D">
        <w:rPr>
          <w:rFonts w:ascii="Garamond" w:hAnsi="Garamond"/>
          <w:iCs/>
          <w:sz w:val="24"/>
          <w:szCs w:val="24"/>
        </w:rPr>
        <w:t>the protections of</w:t>
      </w:r>
      <w:r w:rsidR="002647A1" w:rsidRPr="001F021D">
        <w:rPr>
          <w:rFonts w:ascii="Garamond" w:hAnsi="Garamond"/>
          <w:iCs/>
          <w:sz w:val="24"/>
          <w:szCs w:val="24"/>
        </w:rPr>
        <w:t xml:space="preserve"> </w:t>
      </w:r>
      <w:r w:rsidR="004F7570" w:rsidRPr="001F021D">
        <w:rPr>
          <w:rFonts w:ascii="Garamond" w:hAnsi="Garamond"/>
          <w:iCs/>
          <w:sz w:val="24"/>
          <w:szCs w:val="24"/>
        </w:rPr>
        <w:t>judicial</w:t>
      </w:r>
      <w:r w:rsidR="002647A1" w:rsidRPr="001F021D">
        <w:rPr>
          <w:rFonts w:ascii="Garamond" w:hAnsi="Garamond"/>
          <w:iCs/>
          <w:sz w:val="24"/>
          <w:szCs w:val="24"/>
        </w:rPr>
        <w:t xml:space="preserve"> immunity, whereas</w:t>
      </w:r>
      <w:r w:rsidR="007A28CC" w:rsidRPr="001F021D">
        <w:rPr>
          <w:rFonts w:ascii="Garamond" w:hAnsi="Garamond"/>
          <w:iCs/>
          <w:sz w:val="24"/>
          <w:szCs w:val="24"/>
        </w:rPr>
        <w:t xml:space="preserve"> behaviour </w:t>
      </w:r>
      <w:r w:rsidR="00A86FC3" w:rsidRPr="001F021D">
        <w:rPr>
          <w:rFonts w:ascii="Garamond" w:hAnsi="Garamond"/>
          <w:iCs/>
          <w:sz w:val="24"/>
          <w:szCs w:val="24"/>
        </w:rPr>
        <w:t xml:space="preserve">which </w:t>
      </w:r>
      <w:r w:rsidR="007A28CC" w:rsidRPr="001F021D">
        <w:rPr>
          <w:rFonts w:ascii="Garamond" w:hAnsi="Garamond"/>
          <w:iCs/>
          <w:sz w:val="24"/>
          <w:szCs w:val="24"/>
        </w:rPr>
        <w:t xml:space="preserve">occurs outside of formal court hearings or in private, and not in the course of exercising a judicial function, </w:t>
      </w:r>
      <w:r w:rsidR="00EC194B" w:rsidRPr="001F021D">
        <w:rPr>
          <w:rFonts w:ascii="Garamond" w:hAnsi="Garamond"/>
          <w:iCs/>
          <w:sz w:val="24"/>
          <w:szCs w:val="24"/>
        </w:rPr>
        <w:t>are</w:t>
      </w:r>
      <w:r w:rsidR="007A28CC" w:rsidRPr="001F021D">
        <w:rPr>
          <w:rFonts w:ascii="Garamond" w:hAnsi="Garamond"/>
          <w:iCs/>
          <w:sz w:val="24"/>
          <w:szCs w:val="24"/>
        </w:rPr>
        <w:t xml:space="preserve"> less likely </w:t>
      </w:r>
      <w:r w:rsidR="00A86FC3" w:rsidRPr="001F021D">
        <w:rPr>
          <w:rFonts w:ascii="Garamond" w:hAnsi="Garamond"/>
          <w:iCs/>
          <w:sz w:val="24"/>
          <w:szCs w:val="24"/>
        </w:rPr>
        <w:t xml:space="preserve">to attract </w:t>
      </w:r>
      <w:r w:rsidR="0015227C" w:rsidRPr="001F021D">
        <w:rPr>
          <w:rFonts w:ascii="Garamond" w:hAnsi="Garamond"/>
          <w:iCs/>
          <w:sz w:val="24"/>
          <w:szCs w:val="24"/>
        </w:rPr>
        <w:t xml:space="preserve">such claims. </w:t>
      </w:r>
    </w:p>
    <w:p w14:paraId="1A98512F" w14:textId="77777777" w:rsidR="0015227C" w:rsidRPr="001F021D" w:rsidRDefault="0015227C" w:rsidP="0015227C">
      <w:pPr>
        <w:pStyle w:val="ListParagraph"/>
        <w:rPr>
          <w:rFonts w:ascii="Garamond" w:hAnsi="Garamond"/>
          <w:iCs/>
          <w:sz w:val="24"/>
          <w:szCs w:val="24"/>
        </w:rPr>
      </w:pPr>
    </w:p>
    <w:p w14:paraId="606F28DA" w14:textId="77777777" w:rsidR="00BE44A5" w:rsidRPr="001F021D" w:rsidRDefault="004F7570" w:rsidP="005C350E">
      <w:pPr>
        <w:pStyle w:val="ListParagraph"/>
        <w:numPr>
          <w:ilvl w:val="0"/>
          <w:numId w:val="1"/>
        </w:numPr>
        <w:jc w:val="both"/>
        <w:rPr>
          <w:rFonts w:ascii="Garamond" w:hAnsi="Garamond"/>
          <w:sz w:val="24"/>
          <w:szCs w:val="24"/>
        </w:rPr>
      </w:pPr>
      <w:r w:rsidRPr="001F021D">
        <w:rPr>
          <w:rFonts w:ascii="Garamond" w:hAnsi="Garamond"/>
          <w:iCs/>
          <w:sz w:val="24"/>
          <w:szCs w:val="24"/>
        </w:rPr>
        <w:t>As noted above, i</w:t>
      </w:r>
      <w:r w:rsidR="0015227C" w:rsidRPr="001F021D">
        <w:rPr>
          <w:rFonts w:ascii="Garamond" w:hAnsi="Garamond"/>
          <w:iCs/>
          <w:sz w:val="24"/>
          <w:szCs w:val="24"/>
        </w:rPr>
        <w:t>n my view</w:t>
      </w:r>
      <w:r w:rsidRPr="001F021D">
        <w:rPr>
          <w:rFonts w:ascii="Garamond" w:hAnsi="Garamond"/>
          <w:iCs/>
          <w:sz w:val="24"/>
          <w:szCs w:val="24"/>
        </w:rPr>
        <w:t>,</w:t>
      </w:r>
      <w:r w:rsidR="0015227C" w:rsidRPr="001F021D">
        <w:rPr>
          <w:rFonts w:ascii="Garamond" w:hAnsi="Garamond"/>
          <w:iCs/>
          <w:sz w:val="24"/>
          <w:szCs w:val="24"/>
        </w:rPr>
        <w:t xml:space="preserve"> a judicial officer engaging in unlawful conduct would not be protected by the immunity regardless of the context of judicial activity. </w:t>
      </w:r>
    </w:p>
    <w:p w14:paraId="237F168D" w14:textId="77777777" w:rsidR="00A86124" w:rsidRPr="001F021D" w:rsidRDefault="00A86124" w:rsidP="00A86124">
      <w:pPr>
        <w:pStyle w:val="ListParagraph"/>
        <w:rPr>
          <w:rFonts w:ascii="Garamond" w:hAnsi="Garamond"/>
          <w:sz w:val="24"/>
          <w:szCs w:val="24"/>
        </w:rPr>
      </w:pPr>
    </w:p>
    <w:p w14:paraId="5D90F384" w14:textId="77777777" w:rsidR="00F00D69" w:rsidRPr="001F021D" w:rsidRDefault="0015227C" w:rsidP="005C350E">
      <w:pPr>
        <w:pStyle w:val="ListParagraph"/>
        <w:numPr>
          <w:ilvl w:val="0"/>
          <w:numId w:val="1"/>
        </w:numPr>
        <w:jc w:val="both"/>
        <w:rPr>
          <w:rFonts w:ascii="Garamond" w:hAnsi="Garamond"/>
          <w:sz w:val="24"/>
          <w:szCs w:val="24"/>
        </w:rPr>
      </w:pPr>
      <w:r w:rsidRPr="001F021D">
        <w:rPr>
          <w:rFonts w:ascii="Garamond" w:hAnsi="Garamond"/>
          <w:sz w:val="24"/>
          <w:szCs w:val="24"/>
        </w:rPr>
        <w:t>One</w:t>
      </w:r>
      <w:r w:rsidR="00A86124" w:rsidRPr="001F021D">
        <w:rPr>
          <w:rFonts w:ascii="Garamond" w:hAnsi="Garamond"/>
          <w:sz w:val="24"/>
          <w:szCs w:val="24"/>
        </w:rPr>
        <w:t xml:space="preserve"> difficulty </w:t>
      </w:r>
      <w:r w:rsidR="002D479D" w:rsidRPr="001F021D">
        <w:rPr>
          <w:rFonts w:ascii="Garamond" w:hAnsi="Garamond"/>
          <w:iCs/>
          <w:sz w:val="24"/>
          <w:szCs w:val="24"/>
        </w:rPr>
        <w:t xml:space="preserve">is that section </w:t>
      </w:r>
      <w:r w:rsidR="0005259B" w:rsidRPr="001F021D">
        <w:rPr>
          <w:rFonts w:ascii="Garamond" w:hAnsi="Garamond"/>
          <w:iCs/>
          <w:sz w:val="24"/>
          <w:szCs w:val="24"/>
        </w:rPr>
        <w:t>26 of the OHS Act</w:t>
      </w:r>
      <w:r w:rsidR="002D479D" w:rsidRPr="001F021D">
        <w:rPr>
          <w:rFonts w:ascii="Garamond" w:hAnsi="Garamond"/>
          <w:iCs/>
          <w:sz w:val="24"/>
          <w:szCs w:val="24"/>
        </w:rPr>
        <w:t xml:space="preserve"> captures conduct which occurs in a “workplace”</w:t>
      </w:r>
      <w:r w:rsidR="0005259B" w:rsidRPr="001F021D">
        <w:rPr>
          <w:rFonts w:ascii="Garamond" w:hAnsi="Garamond"/>
          <w:iCs/>
          <w:sz w:val="24"/>
          <w:szCs w:val="24"/>
        </w:rPr>
        <w:t xml:space="preserve">.  As with the EO Act, </w:t>
      </w:r>
      <w:r w:rsidR="00BB4B47" w:rsidRPr="001F021D">
        <w:rPr>
          <w:rFonts w:ascii="Garamond" w:hAnsi="Garamond"/>
          <w:iCs/>
          <w:sz w:val="24"/>
          <w:szCs w:val="24"/>
        </w:rPr>
        <w:t xml:space="preserve">the </w:t>
      </w:r>
      <w:r w:rsidR="002939B8" w:rsidRPr="001F021D">
        <w:rPr>
          <w:rFonts w:ascii="Garamond" w:hAnsi="Garamond"/>
          <w:iCs/>
          <w:sz w:val="24"/>
          <w:szCs w:val="24"/>
        </w:rPr>
        <w:t>definition of “workplace” in the OHS Act is defined to mean a “</w:t>
      </w:r>
      <w:r w:rsidR="002939B8" w:rsidRPr="001F021D">
        <w:rPr>
          <w:rFonts w:ascii="Garamond" w:hAnsi="Garamond"/>
          <w:sz w:val="24"/>
          <w:szCs w:val="24"/>
        </w:rPr>
        <w:t>place, whether or not in a building or structure, where employees or self-employed</w:t>
      </w:r>
      <w:r w:rsidR="00F00D69" w:rsidRPr="001F021D">
        <w:rPr>
          <w:rFonts w:ascii="Garamond" w:hAnsi="Garamond"/>
          <w:sz w:val="24"/>
          <w:szCs w:val="24"/>
        </w:rPr>
        <w:t xml:space="preserve"> persons work</w:t>
      </w:r>
      <w:r w:rsidR="00F00D69" w:rsidRPr="001F021D">
        <w:rPr>
          <w:rFonts w:ascii="Garamond" w:hAnsi="Garamond"/>
          <w:iCs/>
          <w:sz w:val="24"/>
          <w:szCs w:val="24"/>
        </w:rPr>
        <w:t>”.</w:t>
      </w:r>
      <w:r w:rsidR="008F6EFA" w:rsidRPr="001F021D">
        <w:rPr>
          <w:rFonts w:ascii="Garamond" w:hAnsi="Garamond"/>
          <w:iCs/>
          <w:sz w:val="24"/>
          <w:szCs w:val="24"/>
        </w:rPr>
        <w:t xml:space="preserve">  Whilst worded somewhat differ</w:t>
      </w:r>
      <w:r w:rsidR="0029595C" w:rsidRPr="001F021D">
        <w:rPr>
          <w:rFonts w:ascii="Garamond" w:hAnsi="Garamond"/>
          <w:iCs/>
          <w:sz w:val="24"/>
          <w:szCs w:val="24"/>
        </w:rPr>
        <w:t>ently</w:t>
      </w:r>
      <w:r w:rsidR="00A64055" w:rsidRPr="001F021D">
        <w:rPr>
          <w:rFonts w:ascii="Garamond" w:hAnsi="Garamond"/>
          <w:iCs/>
          <w:sz w:val="24"/>
          <w:szCs w:val="24"/>
        </w:rPr>
        <w:t xml:space="preserve"> to the provisions of the EO Act, </w:t>
      </w:r>
      <w:r w:rsidR="007A054B" w:rsidRPr="001F021D">
        <w:rPr>
          <w:rFonts w:ascii="Garamond" w:hAnsi="Garamond"/>
          <w:iCs/>
          <w:sz w:val="24"/>
          <w:szCs w:val="24"/>
        </w:rPr>
        <w:t>it still requires</w:t>
      </w:r>
      <w:r w:rsidR="00D24EF5" w:rsidRPr="001F021D">
        <w:rPr>
          <w:rFonts w:ascii="Garamond" w:hAnsi="Garamond"/>
          <w:iCs/>
          <w:sz w:val="24"/>
          <w:szCs w:val="24"/>
        </w:rPr>
        <w:t xml:space="preserve">, </w:t>
      </w:r>
      <w:r w:rsidR="007A054B" w:rsidRPr="001F021D">
        <w:rPr>
          <w:rFonts w:ascii="Garamond" w:hAnsi="Garamond"/>
          <w:iCs/>
          <w:sz w:val="24"/>
          <w:szCs w:val="24"/>
        </w:rPr>
        <w:t>in effect</w:t>
      </w:r>
      <w:r w:rsidR="00D24EF5" w:rsidRPr="001F021D">
        <w:rPr>
          <w:rFonts w:ascii="Garamond" w:hAnsi="Garamond"/>
          <w:iCs/>
          <w:sz w:val="24"/>
          <w:szCs w:val="24"/>
        </w:rPr>
        <w:t>,</w:t>
      </w:r>
      <w:r w:rsidR="007A054B" w:rsidRPr="001F021D">
        <w:rPr>
          <w:rFonts w:ascii="Garamond" w:hAnsi="Garamond"/>
          <w:iCs/>
          <w:sz w:val="24"/>
          <w:szCs w:val="24"/>
        </w:rPr>
        <w:t xml:space="preserve"> conduct to occur at the place where </w:t>
      </w:r>
      <w:r w:rsidR="00B01CEC" w:rsidRPr="001F021D">
        <w:rPr>
          <w:rFonts w:ascii="Garamond" w:hAnsi="Garamond"/>
          <w:iCs/>
          <w:sz w:val="24"/>
          <w:szCs w:val="24"/>
        </w:rPr>
        <w:t xml:space="preserve">persons work.  </w:t>
      </w:r>
      <w:r w:rsidRPr="001F021D">
        <w:rPr>
          <w:rFonts w:ascii="Garamond" w:hAnsi="Garamond"/>
          <w:iCs/>
          <w:sz w:val="24"/>
          <w:szCs w:val="24"/>
        </w:rPr>
        <w:t>Like</w:t>
      </w:r>
      <w:r w:rsidR="004C3A28" w:rsidRPr="001F021D">
        <w:rPr>
          <w:rFonts w:ascii="Garamond" w:hAnsi="Garamond"/>
          <w:iCs/>
          <w:sz w:val="24"/>
          <w:szCs w:val="24"/>
        </w:rPr>
        <w:t xml:space="preserve"> the EO Act, it </w:t>
      </w:r>
      <w:r w:rsidR="00B01CEC" w:rsidRPr="001F021D">
        <w:rPr>
          <w:rFonts w:ascii="Garamond" w:hAnsi="Garamond"/>
          <w:iCs/>
          <w:sz w:val="24"/>
          <w:szCs w:val="24"/>
        </w:rPr>
        <w:t xml:space="preserve">does not contemplate </w:t>
      </w:r>
      <w:r w:rsidR="00C52467" w:rsidRPr="001F021D">
        <w:rPr>
          <w:rFonts w:ascii="Garamond" w:hAnsi="Garamond"/>
          <w:iCs/>
          <w:sz w:val="24"/>
          <w:szCs w:val="24"/>
        </w:rPr>
        <w:t>non-work environments.</w:t>
      </w:r>
    </w:p>
    <w:p w14:paraId="1CDAF60F" w14:textId="77777777" w:rsidR="00F00D69" w:rsidRPr="001F021D" w:rsidRDefault="00F00D69" w:rsidP="00F00D69">
      <w:pPr>
        <w:pStyle w:val="ListParagraph"/>
        <w:rPr>
          <w:rFonts w:ascii="Garamond" w:hAnsi="Garamond"/>
          <w:iCs/>
          <w:sz w:val="24"/>
          <w:szCs w:val="24"/>
        </w:rPr>
      </w:pPr>
    </w:p>
    <w:p w14:paraId="171E4E88" w14:textId="77777777" w:rsidR="002D479D" w:rsidRPr="001F021D" w:rsidRDefault="00F00D69" w:rsidP="005C350E">
      <w:pPr>
        <w:pStyle w:val="ListParagraph"/>
        <w:numPr>
          <w:ilvl w:val="0"/>
          <w:numId w:val="1"/>
        </w:numPr>
        <w:jc w:val="both"/>
        <w:rPr>
          <w:rFonts w:ascii="Garamond" w:hAnsi="Garamond"/>
          <w:sz w:val="24"/>
          <w:szCs w:val="24"/>
        </w:rPr>
      </w:pPr>
      <w:r w:rsidRPr="001F021D">
        <w:rPr>
          <w:rFonts w:ascii="Garamond" w:hAnsi="Garamond"/>
          <w:iCs/>
          <w:sz w:val="24"/>
          <w:szCs w:val="24"/>
        </w:rPr>
        <w:t xml:space="preserve">Thus, </w:t>
      </w:r>
      <w:r w:rsidR="002D479D" w:rsidRPr="001F021D">
        <w:rPr>
          <w:rFonts w:ascii="Garamond" w:hAnsi="Garamond"/>
          <w:iCs/>
          <w:sz w:val="24"/>
          <w:szCs w:val="24"/>
        </w:rPr>
        <w:t xml:space="preserve">whilst the immunity </w:t>
      </w:r>
      <w:r w:rsidR="00F42E93" w:rsidRPr="001F021D">
        <w:rPr>
          <w:rFonts w:ascii="Garamond" w:hAnsi="Garamond"/>
          <w:iCs/>
          <w:sz w:val="24"/>
          <w:szCs w:val="24"/>
        </w:rPr>
        <w:t xml:space="preserve">may </w:t>
      </w:r>
      <w:r w:rsidR="002D479D" w:rsidRPr="001F021D">
        <w:rPr>
          <w:rFonts w:ascii="Garamond" w:hAnsi="Garamond"/>
          <w:iCs/>
          <w:sz w:val="24"/>
          <w:szCs w:val="24"/>
        </w:rPr>
        <w:t>not protect a judicial officer from the consequences of conduct</w:t>
      </w:r>
      <w:r w:rsidR="00F42E93" w:rsidRPr="001F021D">
        <w:rPr>
          <w:rFonts w:ascii="Garamond" w:hAnsi="Garamond"/>
          <w:iCs/>
          <w:sz w:val="24"/>
          <w:szCs w:val="24"/>
        </w:rPr>
        <w:t xml:space="preserve"> that occurs outside of their judicial functions</w:t>
      </w:r>
      <w:r w:rsidR="002D479D" w:rsidRPr="001F021D">
        <w:rPr>
          <w:rFonts w:ascii="Garamond" w:hAnsi="Garamond"/>
          <w:iCs/>
          <w:sz w:val="24"/>
          <w:szCs w:val="24"/>
        </w:rPr>
        <w:t xml:space="preserve">, the conduct itself </w:t>
      </w:r>
      <w:r w:rsidR="00B01CEC" w:rsidRPr="001F021D">
        <w:rPr>
          <w:rFonts w:ascii="Garamond" w:hAnsi="Garamond"/>
          <w:iCs/>
          <w:sz w:val="24"/>
          <w:szCs w:val="24"/>
        </w:rPr>
        <w:t>may also not amount to a</w:t>
      </w:r>
      <w:r w:rsidR="002D479D" w:rsidRPr="001F021D">
        <w:rPr>
          <w:rFonts w:ascii="Garamond" w:hAnsi="Garamond"/>
          <w:iCs/>
          <w:sz w:val="24"/>
          <w:szCs w:val="24"/>
        </w:rPr>
        <w:t xml:space="preserve"> contravention of the </w:t>
      </w:r>
      <w:r w:rsidR="00F42E93" w:rsidRPr="001F021D">
        <w:rPr>
          <w:rFonts w:ascii="Garamond" w:hAnsi="Garamond"/>
          <w:iCs/>
          <w:sz w:val="24"/>
          <w:szCs w:val="24"/>
        </w:rPr>
        <w:t>OHS Act</w:t>
      </w:r>
      <w:r w:rsidR="00B01CEC" w:rsidRPr="001F021D">
        <w:rPr>
          <w:rFonts w:ascii="Garamond" w:hAnsi="Garamond"/>
          <w:iCs/>
          <w:sz w:val="24"/>
          <w:szCs w:val="24"/>
        </w:rPr>
        <w:t xml:space="preserve"> in any event</w:t>
      </w:r>
      <w:r w:rsidR="002D479D" w:rsidRPr="001F021D">
        <w:rPr>
          <w:rFonts w:ascii="Garamond" w:hAnsi="Garamond"/>
          <w:iCs/>
          <w:sz w:val="24"/>
          <w:szCs w:val="24"/>
        </w:rPr>
        <w:t>.</w:t>
      </w:r>
    </w:p>
    <w:p w14:paraId="00B769EA" w14:textId="77777777" w:rsidR="002D479D" w:rsidRPr="001F021D" w:rsidRDefault="002D479D" w:rsidP="006F0971">
      <w:pPr>
        <w:pStyle w:val="ListParagraph"/>
        <w:ind w:left="360"/>
        <w:jc w:val="both"/>
        <w:rPr>
          <w:rFonts w:ascii="Garamond" w:hAnsi="Garamond"/>
          <w:sz w:val="24"/>
          <w:szCs w:val="24"/>
        </w:rPr>
      </w:pPr>
    </w:p>
    <w:p w14:paraId="1766D375" w14:textId="77777777" w:rsidR="002D479D" w:rsidRPr="001F021D" w:rsidRDefault="005429DD"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As with a breach of the EO Act, a breach of the OHS by a judicial officer or conduct of a judicial officer exposing an employer to a complaint of breach of OHS duties may, of itself, found a complaint to the JCV. </w:t>
      </w:r>
    </w:p>
    <w:p w14:paraId="5ECAF1BD" w14:textId="77777777" w:rsidR="001550AB" w:rsidRPr="001F021D" w:rsidRDefault="001550AB" w:rsidP="00BF333C">
      <w:pPr>
        <w:pStyle w:val="ListParagraph"/>
        <w:rPr>
          <w:rFonts w:ascii="Garamond" w:hAnsi="Garamond"/>
          <w:sz w:val="24"/>
          <w:szCs w:val="24"/>
        </w:rPr>
      </w:pPr>
    </w:p>
    <w:p w14:paraId="2AA8DAE2" w14:textId="77777777" w:rsidR="00BC2522" w:rsidRPr="001F021D" w:rsidRDefault="00BF2F09"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Irrespective of whether or not a judicial officer will owe a duty under section 26 of the OHS Act, </w:t>
      </w:r>
      <w:r w:rsidR="008C5E95" w:rsidRPr="001F021D">
        <w:rPr>
          <w:rFonts w:ascii="Garamond" w:hAnsi="Garamond"/>
          <w:sz w:val="24"/>
          <w:szCs w:val="24"/>
        </w:rPr>
        <w:t>the employer will still owe duties to employees (including contractors), who might be affected by the conduct of a judicial officer.</w:t>
      </w:r>
      <w:r w:rsidR="00581DB9" w:rsidRPr="001F021D">
        <w:rPr>
          <w:rStyle w:val="FootnoteReference"/>
          <w:rFonts w:ascii="Garamond" w:hAnsi="Garamond"/>
          <w:sz w:val="24"/>
          <w:szCs w:val="24"/>
        </w:rPr>
        <w:footnoteReference w:id="25"/>
      </w:r>
      <w:r w:rsidR="00593B39" w:rsidRPr="001F021D">
        <w:rPr>
          <w:rFonts w:ascii="Garamond" w:hAnsi="Garamond"/>
          <w:sz w:val="24"/>
          <w:szCs w:val="24"/>
        </w:rPr>
        <w:t xml:space="preserve">  As such, employers will have obligations to the other users of the Court to ensure their health and safety so far as is reasonably practicable</w:t>
      </w:r>
      <w:r w:rsidR="00BE44A5" w:rsidRPr="001F021D">
        <w:rPr>
          <w:rFonts w:ascii="Garamond" w:hAnsi="Garamond"/>
          <w:sz w:val="24"/>
          <w:szCs w:val="24"/>
        </w:rPr>
        <w:t>, including by ensuring workplaces are free from discrimination and harassment.</w:t>
      </w:r>
      <w:r w:rsidR="00BC2522" w:rsidRPr="001F021D">
        <w:rPr>
          <w:rFonts w:ascii="Garamond" w:hAnsi="Garamond"/>
          <w:sz w:val="24"/>
          <w:szCs w:val="24"/>
        </w:rPr>
        <w:t xml:space="preserve">  </w:t>
      </w:r>
    </w:p>
    <w:p w14:paraId="2AE1CB99" w14:textId="77777777" w:rsidR="0015227C" w:rsidRPr="001F021D" w:rsidRDefault="0015227C" w:rsidP="0015227C">
      <w:pPr>
        <w:pStyle w:val="ListParagraph"/>
        <w:rPr>
          <w:rFonts w:ascii="Garamond" w:hAnsi="Garamond"/>
          <w:sz w:val="24"/>
          <w:szCs w:val="24"/>
        </w:rPr>
      </w:pPr>
    </w:p>
    <w:p w14:paraId="334C689A" w14:textId="77777777" w:rsidR="0015227C" w:rsidRPr="001F021D" w:rsidRDefault="0015227C" w:rsidP="005C350E">
      <w:pPr>
        <w:pStyle w:val="ListParagraph"/>
        <w:numPr>
          <w:ilvl w:val="0"/>
          <w:numId w:val="1"/>
        </w:numPr>
        <w:jc w:val="both"/>
        <w:rPr>
          <w:rFonts w:ascii="Garamond" w:hAnsi="Garamond"/>
          <w:sz w:val="24"/>
          <w:szCs w:val="24"/>
        </w:rPr>
      </w:pPr>
      <w:r w:rsidRPr="001F021D">
        <w:rPr>
          <w:rFonts w:ascii="Garamond" w:hAnsi="Garamond"/>
          <w:sz w:val="24"/>
          <w:szCs w:val="24"/>
        </w:rPr>
        <w:t xml:space="preserve">With this in mind, I have drafted a proposed amendment to the OHS Act to specifically conduct by a judicial officer set out in Attachment A. I note </w:t>
      </w:r>
      <w:r w:rsidR="00294ABC" w:rsidRPr="001F021D">
        <w:rPr>
          <w:rFonts w:ascii="Garamond" w:hAnsi="Garamond"/>
          <w:sz w:val="24"/>
          <w:szCs w:val="24"/>
        </w:rPr>
        <w:t xml:space="preserve">however </w:t>
      </w:r>
      <w:r w:rsidRPr="001F021D">
        <w:rPr>
          <w:rFonts w:ascii="Garamond" w:hAnsi="Garamond"/>
          <w:sz w:val="24"/>
          <w:szCs w:val="24"/>
        </w:rPr>
        <w:t xml:space="preserve">that this </w:t>
      </w:r>
      <w:r w:rsidR="00294ABC" w:rsidRPr="001F021D">
        <w:rPr>
          <w:rFonts w:ascii="Garamond" w:hAnsi="Garamond"/>
          <w:sz w:val="24"/>
          <w:szCs w:val="24"/>
        </w:rPr>
        <w:t xml:space="preserve">amendment </w:t>
      </w:r>
      <w:r w:rsidRPr="001F021D">
        <w:rPr>
          <w:rFonts w:ascii="Garamond" w:hAnsi="Garamond"/>
          <w:sz w:val="24"/>
          <w:szCs w:val="24"/>
        </w:rPr>
        <w:t>would represent a departure from the otherwise generalised operation of the OHS Act and would thus be inconsistent with general drafting principles</w:t>
      </w:r>
      <w:r w:rsidR="00294ABC" w:rsidRPr="001F021D">
        <w:rPr>
          <w:rFonts w:ascii="Garamond" w:hAnsi="Garamond"/>
          <w:sz w:val="24"/>
          <w:szCs w:val="24"/>
        </w:rPr>
        <w:t xml:space="preserve"> and the scheme of the OHS Act. </w:t>
      </w:r>
    </w:p>
    <w:p w14:paraId="1555A261" w14:textId="77777777" w:rsidR="0015227C" w:rsidRPr="001F021D" w:rsidRDefault="0015227C" w:rsidP="0015227C">
      <w:pPr>
        <w:pStyle w:val="ListParagraph"/>
        <w:rPr>
          <w:rFonts w:ascii="Garamond" w:hAnsi="Garamond"/>
          <w:sz w:val="24"/>
          <w:szCs w:val="24"/>
        </w:rPr>
      </w:pPr>
    </w:p>
    <w:p w14:paraId="11433331" w14:textId="77777777" w:rsidR="00F2614B" w:rsidRPr="001F021D" w:rsidRDefault="0015227C" w:rsidP="005C350E">
      <w:pPr>
        <w:pStyle w:val="ListParagraph"/>
        <w:numPr>
          <w:ilvl w:val="0"/>
          <w:numId w:val="1"/>
        </w:numPr>
        <w:jc w:val="both"/>
        <w:rPr>
          <w:rFonts w:ascii="Garamond" w:hAnsi="Garamond"/>
          <w:sz w:val="24"/>
          <w:szCs w:val="24"/>
        </w:rPr>
      </w:pPr>
      <w:r w:rsidRPr="001F021D">
        <w:rPr>
          <w:rFonts w:ascii="Garamond" w:hAnsi="Garamond"/>
          <w:sz w:val="24"/>
          <w:szCs w:val="24"/>
        </w:rPr>
        <w:t>For this reason, my recommendation would be not to amend the OHS Act but</w:t>
      </w:r>
      <w:r w:rsidR="00294ABC" w:rsidRPr="001F021D">
        <w:rPr>
          <w:rFonts w:ascii="Garamond" w:hAnsi="Garamond"/>
          <w:sz w:val="24"/>
          <w:szCs w:val="24"/>
        </w:rPr>
        <w:t xml:space="preserve">, if it was thought desirable to harness the enforcement machinery of the OHS Act, </w:t>
      </w:r>
      <w:r w:rsidRPr="001F021D">
        <w:rPr>
          <w:rFonts w:ascii="Garamond" w:hAnsi="Garamond"/>
          <w:sz w:val="24"/>
          <w:szCs w:val="24"/>
        </w:rPr>
        <w:t xml:space="preserve">to consider </w:t>
      </w:r>
      <w:r w:rsidR="00294ABC" w:rsidRPr="001F021D">
        <w:rPr>
          <w:rFonts w:ascii="Garamond" w:hAnsi="Garamond"/>
          <w:sz w:val="24"/>
          <w:szCs w:val="24"/>
        </w:rPr>
        <w:t xml:space="preserve">instead </w:t>
      </w:r>
      <w:r w:rsidRPr="001F021D">
        <w:rPr>
          <w:rFonts w:ascii="Garamond" w:hAnsi="Garamond"/>
          <w:sz w:val="24"/>
          <w:szCs w:val="24"/>
        </w:rPr>
        <w:t xml:space="preserve">introducing a </w:t>
      </w:r>
      <w:r w:rsidR="00294ABC" w:rsidRPr="001F021D">
        <w:rPr>
          <w:rFonts w:ascii="Garamond" w:hAnsi="Garamond"/>
          <w:sz w:val="24"/>
          <w:szCs w:val="24"/>
        </w:rPr>
        <w:t xml:space="preserve">new Chapter into the OHS regulations addressing </w:t>
      </w:r>
      <w:r w:rsidR="004B446C" w:rsidRPr="001F021D">
        <w:rPr>
          <w:rFonts w:ascii="Garamond" w:hAnsi="Garamond"/>
          <w:sz w:val="24"/>
          <w:szCs w:val="24"/>
        </w:rPr>
        <w:t>sexual harassment</w:t>
      </w:r>
      <w:r w:rsidR="00757F1A" w:rsidRPr="001F021D">
        <w:rPr>
          <w:rFonts w:ascii="Garamond" w:hAnsi="Garamond"/>
          <w:sz w:val="24"/>
          <w:szCs w:val="24"/>
        </w:rPr>
        <w:t xml:space="preserve">. </w:t>
      </w:r>
    </w:p>
    <w:p w14:paraId="5A0F8B02" w14:textId="77777777" w:rsidR="00F2614B" w:rsidRPr="001F021D" w:rsidRDefault="00F2614B" w:rsidP="00F2614B">
      <w:pPr>
        <w:jc w:val="both"/>
        <w:rPr>
          <w:rFonts w:ascii="Garamond" w:hAnsi="Garamond"/>
          <w:sz w:val="24"/>
          <w:szCs w:val="24"/>
        </w:rPr>
      </w:pPr>
    </w:p>
    <w:p w14:paraId="2154AC03" w14:textId="77777777" w:rsidR="001E11A9" w:rsidRDefault="001E11A9" w:rsidP="001E11A9">
      <w:pPr>
        <w:jc w:val="both"/>
        <w:rPr>
          <w:rFonts w:ascii="Garamond" w:hAnsi="Garamond"/>
          <w:sz w:val="24"/>
          <w:szCs w:val="24"/>
        </w:rPr>
      </w:pPr>
    </w:p>
    <w:p w14:paraId="4857B23A" w14:textId="77777777" w:rsidR="00BB6094" w:rsidRDefault="00BB6094" w:rsidP="001E11A9">
      <w:pPr>
        <w:jc w:val="both"/>
        <w:rPr>
          <w:rFonts w:ascii="Garamond" w:hAnsi="Garamond"/>
          <w:sz w:val="24"/>
          <w:szCs w:val="24"/>
        </w:rPr>
      </w:pPr>
    </w:p>
    <w:p w14:paraId="675D2B51" w14:textId="77777777" w:rsidR="00BB6094" w:rsidRDefault="00BB6094" w:rsidP="001E11A9">
      <w:pPr>
        <w:jc w:val="both"/>
        <w:rPr>
          <w:rFonts w:ascii="Garamond" w:hAnsi="Garamond"/>
          <w:sz w:val="24"/>
          <w:szCs w:val="24"/>
        </w:rPr>
      </w:pPr>
    </w:p>
    <w:p w14:paraId="7C53B0DE" w14:textId="77777777" w:rsidR="00BB6094" w:rsidRDefault="00BB6094" w:rsidP="001E11A9">
      <w:pPr>
        <w:jc w:val="both"/>
        <w:rPr>
          <w:rFonts w:ascii="Garamond" w:hAnsi="Garamond"/>
          <w:sz w:val="24"/>
          <w:szCs w:val="24"/>
        </w:rPr>
      </w:pPr>
    </w:p>
    <w:p w14:paraId="31B52AD0" w14:textId="77777777" w:rsidR="00BB6094" w:rsidRPr="001F021D" w:rsidRDefault="00BB6094" w:rsidP="001E11A9">
      <w:pPr>
        <w:jc w:val="both"/>
        <w:rPr>
          <w:rFonts w:ascii="Garamond" w:hAnsi="Garamond"/>
          <w:sz w:val="24"/>
          <w:szCs w:val="24"/>
        </w:rPr>
      </w:pPr>
    </w:p>
    <w:p w14:paraId="0E383246" w14:textId="77777777" w:rsidR="006A4D2B" w:rsidRPr="001F021D" w:rsidRDefault="005033CC" w:rsidP="005033CC">
      <w:pPr>
        <w:pStyle w:val="ListParagraph"/>
        <w:ind w:left="6480" w:firstLine="720"/>
        <w:rPr>
          <w:rFonts w:ascii="Garamond" w:hAnsi="Garamond"/>
          <w:sz w:val="24"/>
          <w:szCs w:val="24"/>
        </w:rPr>
      </w:pPr>
      <w:r w:rsidRPr="0099769F">
        <w:rPr>
          <w:noProof/>
          <w:lang w:val="en-US"/>
        </w:rPr>
        <w:drawing>
          <wp:inline distT="0" distB="0" distL="0" distR="0" wp14:anchorId="6F2E2AAC" wp14:editId="5928011E">
            <wp:extent cx="1456055" cy="514819"/>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19990" cy="537425"/>
                    </a:xfrm>
                    <a:prstGeom prst="rect">
                      <a:avLst/>
                    </a:prstGeom>
                  </pic:spPr>
                </pic:pic>
              </a:graphicData>
            </a:graphic>
          </wp:inline>
        </w:drawing>
      </w:r>
    </w:p>
    <w:p w14:paraId="1CED7090" w14:textId="77777777" w:rsidR="00DF4F7D" w:rsidRPr="001F021D" w:rsidRDefault="00DF4F7D" w:rsidP="00DF4F7D">
      <w:pPr>
        <w:jc w:val="both"/>
        <w:rPr>
          <w:rFonts w:ascii="Garamond" w:hAnsi="Garamond"/>
          <w:sz w:val="24"/>
          <w:szCs w:val="24"/>
        </w:rPr>
      </w:pPr>
    </w:p>
    <w:p w14:paraId="5C040294" w14:textId="77777777" w:rsidR="00DF4F7D" w:rsidRPr="001F021D" w:rsidRDefault="00DC5A40" w:rsidP="00DF4F7D">
      <w:pPr>
        <w:jc w:val="both"/>
        <w:rPr>
          <w:rFonts w:ascii="Garamond" w:hAnsi="Garamond"/>
          <w:sz w:val="24"/>
          <w:szCs w:val="24"/>
        </w:rPr>
      </w:pPr>
      <w:r w:rsidRPr="001F021D">
        <w:rPr>
          <w:rFonts w:ascii="Garamond" w:hAnsi="Garamond"/>
          <w:sz w:val="24"/>
          <w:szCs w:val="24"/>
        </w:rPr>
        <w:t>1</w:t>
      </w:r>
      <w:r w:rsidR="00294ABC" w:rsidRPr="001F021D">
        <w:rPr>
          <w:rFonts w:ascii="Garamond" w:hAnsi="Garamond"/>
          <w:sz w:val="24"/>
          <w:szCs w:val="24"/>
        </w:rPr>
        <w:t>8</w:t>
      </w:r>
      <w:r w:rsidR="00DF4F7D" w:rsidRPr="001F021D">
        <w:rPr>
          <w:rFonts w:ascii="Garamond" w:hAnsi="Garamond"/>
          <w:sz w:val="24"/>
          <w:szCs w:val="24"/>
        </w:rPr>
        <w:t xml:space="preserve"> December 2020</w:t>
      </w:r>
    </w:p>
    <w:p w14:paraId="20E3BF6F" w14:textId="77777777" w:rsidR="00DF4F7D" w:rsidRPr="001F021D" w:rsidRDefault="00DF4F7D" w:rsidP="00DF4F7D">
      <w:pPr>
        <w:jc w:val="right"/>
        <w:rPr>
          <w:rFonts w:ascii="Garamond" w:hAnsi="Garamond"/>
          <w:sz w:val="24"/>
          <w:szCs w:val="24"/>
        </w:rPr>
      </w:pPr>
      <w:r w:rsidRPr="001F021D">
        <w:rPr>
          <w:rFonts w:ascii="Garamond" w:hAnsi="Garamond"/>
          <w:sz w:val="24"/>
          <w:szCs w:val="24"/>
        </w:rPr>
        <w:t xml:space="preserve">F McLeod </w:t>
      </w:r>
      <w:r w:rsidR="00E3199E" w:rsidRPr="001F021D">
        <w:rPr>
          <w:rFonts w:ascii="Garamond" w:hAnsi="Garamond"/>
          <w:sz w:val="24"/>
          <w:szCs w:val="24"/>
        </w:rPr>
        <w:t xml:space="preserve">AO </w:t>
      </w:r>
      <w:r w:rsidRPr="001F021D">
        <w:rPr>
          <w:rFonts w:ascii="Garamond" w:hAnsi="Garamond"/>
          <w:sz w:val="24"/>
          <w:szCs w:val="24"/>
        </w:rPr>
        <w:t>SC</w:t>
      </w:r>
    </w:p>
    <w:p w14:paraId="5C33CCBB" w14:textId="77777777" w:rsidR="00DC73CD" w:rsidRPr="001F021D" w:rsidRDefault="00DC73CD" w:rsidP="00DF4F7D">
      <w:pPr>
        <w:jc w:val="right"/>
        <w:rPr>
          <w:rFonts w:ascii="Garamond" w:hAnsi="Garamond"/>
          <w:sz w:val="24"/>
          <w:szCs w:val="24"/>
        </w:rPr>
      </w:pPr>
    </w:p>
    <w:p w14:paraId="4A41FFBE" w14:textId="77777777" w:rsidR="00BB6094" w:rsidRDefault="00BB6094" w:rsidP="00DF4F7D">
      <w:pPr>
        <w:jc w:val="right"/>
        <w:rPr>
          <w:rFonts w:ascii="Garamond" w:hAnsi="Garamond"/>
          <w:i/>
          <w:iCs/>
          <w:sz w:val="24"/>
          <w:szCs w:val="24"/>
        </w:rPr>
      </w:pPr>
    </w:p>
    <w:p w14:paraId="60FD05BF" w14:textId="77777777" w:rsidR="00BB6094" w:rsidRDefault="00BB6094" w:rsidP="00DF4F7D">
      <w:pPr>
        <w:jc w:val="right"/>
        <w:rPr>
          <w:rFonts w:ascii="Garamond" w:hAnsi="Garamond"/>
          <w:i/>
          <w:iCs/>
          <w:sz w:val="24"/>
          <w:szCs w:val="24"/>
        </w:rPr>
      </w:pPr>
    </w:p>
    <w:p w14:paraId="65D2558A" w14:textId="77777777" w:rsidR="00BB6094" w:rsidRDefault="00BB6094" w:rsidP="00DF4F7D">
      <w:pPr>
        <w:jc w:val="right"/>
        <w:rPr>
          <w:rFonts w:ascii="Garamond" w:hAnsi="Garamond"/>
          <w:i/>
          <w:iCs/>
          <w:sz w:val="24"/>
          <w:szCs w:val="24"/>
        </w:rPr>
      </w:pPr>
    </w:p>
    <w:p w14:paraId="51287137" w14:textId="77777777" w:rsidR="00BB6094" w:rsidRDefault="00BB6094" w:rsidP="00DF4F7D">
      <w:pPr>
        <w:jc w:val="right"/>
        <w:rPr>
          <w:rFonts w:ascii="Garamond" w:hAnsi="Garamond"/>
          <w:i/>
          <w:iCs/>
          <w:sz w:val="24"/>
          <w:szCs w:val="24"/>
        </w:rPr>
      </w:pPr>
    </w:p>
    <w:p w14:paraId="178C1BE8" w14:textId="77777777" w:rsidR="00BB6094" w:rsidRDefault="00DF4F7D" w:rsidP="00DF4F7D">
      <w:pPr>
        <w:jc w:val="right"/>
        <w:rPr>
          <w:rFonts w:ascii="Garamond" w:hAnsi="Garamond"/>
          <w:i/>
          <w:iCs/>
          <w:color w:val="7F7F7F" w:themeColor="text1" w:themeTint="80"/>
          <w:sz w:val="24"/>
          <w:szCs w:val="24"/>
        </w:rPr>
      </w:pPr>
      <w:r w:rsidRPr="00BB6094">
        <w:rPr>
          <w:rFonts w:ascii="Garamond" w:hAnsi="Garamond"/>
          <w:i/>
          <w:iCs/>
          <w:color w:val="7F7F7F" w:themeColor="text1" w:themeTint="80"/>
          <w:sz w:val="24"/>
          <w:szCs w:val="24"/>
        </w:rPr>
        <w:t xml:space="preserve">Liability limited </w:t>
      </w:r>
      <w:r w:rsidR="00582784" w:rsidRPr="00BB6094">
        <w:rPr>
          <w:rFonts w:ascii="Garamond" w:hAnsi="Garamond"/>
          <w:i/>
          <w:iCs/>
          <w:color w:val="7F7F7F" w:themeColor="text1" w:themeTint="80"/>
          <w:sz w:val="24"/>
          <w:szCs w:val="24"/>
        </w:rPr>
        <w:t>by a scheme approved under Professional Standards Legislation</w:t>
      </w:r>
    </w:p>
    <w:p w14:paraId="75174D59" w14:textId="77777777" w:rsidR="00BB6094" w:rsidRDefault="00BB6094">
      <w:pPr>
        <w:rPr>
          <w:rFonts w:ascii="Garamond" w:hAnsi="Garamond"/>
          <w:i/>
          <w:iCs/>
          <w:color w:val="7F7F7F" w:themeColor="text1" w:themeTint="80"/>
          <w:sz w:val="24"/>
          <w:szCs w:val="24"/>
        </w:rPr>
      </w:pPr>
      <w:r>
        <w:rPr>
          <w:rFonts w:ascii="Garamond" w:hAnsi="Garamond"/>
          <w:i/>
          <w:iCs/>
          <w:color w:val="7F7F7F" w:themeColor="text1" w:themeTint="80"/>
          <w:sz w:val="24"/>
          <w:szCs w:val="24"/>
        </w:rPr>
        <w:br w:type="page"/>
      </w:r>
    </w:p>
    <w:p w14:paraId="19FF46C5" w14:textId="77777777" w:rsidR="00D14B37" w:rsidRPr="001F021D" w:rsidRDefault="00D14B37">
      <w:pPr>
        <w:rPr>
          <w:rFonts w:ascii="Garamond" w:hAnsi="Garamond"/>
          <w:sz w:val="24"/>
          <w:szCs w:val="24"/>
        </w:rPr>
      </w:pPr>
    </w:p>
    <w:p w14:paraId="714ABBB8" w14:textId="77777777" w:rsidR="00D14B37" w:rsidRPr="001F021D" w:rsidRDefault="00D14B37" w:rsidP="00D14B37">
      <w:pPr>
        <w:jc w:val="center"/>
        <w:rPr>
          <w:rFonts w:ascii="Garamond" w:hAnsi="Garamond"/>
          <w:b/>
          <w:sz w:val="24"/>
          <w:szCs w:val="24"/>
        </w:rPr>
      </w:pPr>
      <w:r w:rsidRPr="001F021D">
        <w:rPr>
          <w:rFonts w:ascii="Garamond" w:hAnsi="Garamond"/>
          <w:b/>
          <w:sz w:val="24"/>
          <w:szCs w:val="24"/>
        </w:rPr>
        <w:t>ATTACHMENT A</w:t>
      </w:r>
    </w:p>
    <w:p w14:paraId="5B107EF9" w14:textId="77777777" w:rsidR="00D14B37" w:rsidRPr="001F021D" w:rsidRDefault="00D14B37" w:rsidP="00D14B37">
      <w:pPr>
        <w:jc w:val="center"/>
        <w:rPr>
          <w:rFonts w:ascii="Garamond" w:hAnsi="Garamond"/>
          <w:b/>
          <w:sz w:val="24"/>
          <w:szCs w:val="24"/>
        </w:rPr>
      </w:pPr>
    </w:p>
    <w:p w14:paraId="22E3FD7C" w14:textId="77777777" w:rsidR="00D14B37" w:rsidRPr="001F021D" w:rsidRDefault="00D14B37" w:rsidP="00D14B37">
      <w:pPr>
        <w:jc w:val="center"/>
        <w:rPr>
          <w:rFonts w:ascii="Garamond" w:hAnsi="Garamond"/>
          <w:b/>
          <w:sz w:val="24"/>
          <w:szCs w:val="24"/>
        </w:rPr>
      </w:pPr>
      <w:r w:rsidRPr="001F021D">
        <w:rPr>
          <w:rFonts w:ascii="Garamond" w:hAnsi="Garamond"/>
          <w:b/>
          <w:sz w:val="24"/>
          <w:szCs w:val="24"/>
        </w:rPr>
        <w:t>Proposed Amendments</w:t>
      </w:r>
    </w:p>
    <w:p w14:paraId="1F804E86" w14:textId="77777777" w:rsidR="00D14B37" w:rsidRPr="001F021D" w:rsidRDefault="00D14B37" w:rsidP="00D14B37">
      <w:pPr>
        <w:jc w:val="center"/>
        <w:rPr>
          <w:rFonts w:ascii="Garamond" w:hAnsi="Garamond"/>
          <w:b/>
          <w:sz w:val="24"/>
          <w:szCs w:val="24"/>
        </w:rPr>
      </w:pPr>
    </w:p>
    <w:p w14:paraId="1851214E" w14:textId="77777777" w:rsidR="00D14B37" w:rsidRPr="001F021D" w:rsidRDefault="00D14B37" w:rsidP="00D14B37">
      <w:pPr>
        <w:rPr>
          <w:rFonts w:ascii="Garamond" w:hAnsi="Garamond"/>
          <w:b/>
          <w:sz w:val="24"/>
          <w:szCs w:val="24"/>
        </w:rPr>
      </w:pPr>
    </w:p>
    <w:p w14:paraId="7B7770C5" w14:textId="77777777" w:rsidR="00D14B37" w:rsidRPr="001F021D" w:rsidRDefault="00D14B37" w:rsidP="00503C34">
      <w:pPr>
        <w:rPr>
          <w:rFonts w:ascii="Garamond" w:hAnsi="Garamond"/>
          <w:sz w:val="24"/>
          <w:szCs w:val="24"/>
        </w:rPr>
      </w:pPr>
      <w:r w:rsidRPr="001F021D">
        <w:rPr>
          <w:rFonts w:ascii="Garamond" w:hAnsi="Garamond"/>
          <w:sz w:val="24"/>
          <w:szCs w:val="24"/>
        </w:rPr>
        <w:t xml:space="preserve">Amend the </w:t>
      </w:r>
      <w:r w:rsidRPr="00BB6094">
        <w:rPr>
          <w:rFonts w:ascii="Garamond" w:hAnsi="Garamond"/>
          <w:b/>
          <w:sz w:val="24"/>
          <w:szCs w:val="24"/>
        </w:rPr>
        <w:t>Equal Opportunity Act 2010 (Vic)</w:t>
      </w:r>
      <w:r w:rsidRPr="001F021D">
        <w:rPr>
          <w:rFonts w:ascii="Garamond" w:hAnsi="Garamond"/>
          <w:sz w:val="24"/>
          <w:szCs w:val="24"/>
        </w:rPr>
        <w:t xml:space="preserve"> by inserting:</w:t>
      </w:r>
    </w:p>
    <w:p w14:paraId="302E21B0" w14:textId="77777777" w:rsidR="00D14B37" w:rsidRPr="001F021D" w:rsidRDefault="00D14B37" w:rsidP="00D14B37">
      <w:pPr>
        <w:rPr>
          <w:rFonts w:ascii="Garamond" w:hAnsi="Garamond"/>
          <w:b/>
          <w:sz w:val="24"/>
          <w:szCs w:val="24"/>
        </w:rPr>
      </w:pPr>
    </w:p>
    <w:p w14:paraId="74CF3AF8" w14:textId="77777777" w:rsidR="00D14B37" w:rsidRPr="00BB6094" w:rsidRDefault="00D14B37" w:rsidP="00503C34">
      <w:pPr>
        <w:ind w:left="709"/>
        <w:rPr>
          <w:rFonts w:ascii="Garamond" w:hAnsi="Garamond"/>
          <w:b/>
        </w:rPr>
      </w:pPr>
      <w:r w:rsidRPr="00BB6094">
        <w:rPr>
          <w:rFonts w:ascii="Garamond" w:hAnsi="Garamond"/>
          <w:b/>
        </w:rPr>
        <w:t xml:space="preserve">102A. Harassment </w:t>
      </w:r>
      <w:r w:rsidR="00372310" w:rsidRPr="00BB6094">
        <w:rPr>
          <w:rFonts w:ascii="Garamond" w:hAnsi="Garamond"/>
          <w:b/>
        </w:rPr>
        <w:t>by a judicial officer</w:t>
      </w:r>
    </w:p>
    <w:p w14:paraId="4D163AB9" w14:textId="77777777" w:rsidR="00D14B37" w:rsidRPr="00BB6094" w:rsidRDefault="00D14B37" w:rsidP="00D14B37">
      <w:pPr>
        <w:rPr>
          <w:rFonts w:ascii="Garamond" w:hAnsi="Garamond"/>
          <w:color w:val="000000"/>
        </w:rPr>
      </w:pPr>
      <w:r w:rsidRPr="00BB6094">
        <w:rPr>
          <w:rFonts w:ascii="Garamond" w:hAnsi="Garamond"/>
          <w:color w:val="000000"/>
        </w:rPr>
        <w:t> </w:t>
      </w:r>
    </w:p>
    <w:p w14:paraId="68D7A425" w14:textId="77777777" w:rsidR="00D14B37" w:rsidRPr="00BB6094" w:rsidRDefault="00D14B37" w:rsidP="005B1459">
      <w:pPr>
        <w:shd w:val="clear" w:color="auto" w:fill="FFFFFF"/>
        <w:spacing w:after="180"/>
        <w:ind w:left="1418" w:hanging="709"/>
        <w:rPr>
          <w:rFonts w:ascii="Garamond" w:hAnsi="Garamond"/>
          <w:color w:val="000000" w:themeColor="text1"/>
        </w:rPr>
      </w:pPr>
      <w:r w:rsidRPr="00BB6094">
        <w:rPr>
          <w:rFonts w:ascii="Garamond" w:hAnsi="Garamond" w:cs="Arial"/>
          <w:color w:val="333333"/>
        </w:rPr>
        <w:t>(1)        </w:t>
      </w:r>
      <w:r w:rsidR="00372310" w:rsidRPr="00BB6094">
        <w:rPr>
          <w:rFonts w:ascii="Garamond" w:hAnsi="Garamond" w:cs="Arial"/>
          <w:color w:val="333333"/>
        </w:rPr>
        <w:t>I</w:t>
      </w:r>
      <w:r w:rsidRPr="00BB6094">
        <w:rPr>
          <w:rFonts w:ascii="Garamond" w:hAnsi="Garamond" w:cs="Arial"/>
          <w:color w:val="333333"/>
        </w:rPr>
        <w:t xml:space="preserve">t is unlawful for </w:t>
      </w:r>
      <w:r w:rsidRPr="00BB6094">
        <w:rPr>
          <w:rFonts w:ascii="Garamond" w:hAnsi="Garamond" w:cs="Arial"/>
          <w:color w:val="000000" w:themeColor="text1"/>
        </w:rPr>
        <w:t>a judicial officer to subject to sexual harassment a judicial or non-judicial officer, or a member of the staff, of a </w:t>
      </w:r>
      <w:hyperlink r:id="rId27" w:history="1">
        <w:r w:rsidRPr="00BB6094">
          <w:rPr>
            <w:rStyle w:val="Hyperlink"/>
            <w:rFonts w:ascii="Garamond" w:hAnsi="Garamond" w:cs="Arial"/>
            <w:color w:val="000000" w:themeColor="text1"/>
            <w:u w:val="none"/>
          </w:rPr>
          <w:t>court</w:t>
        </w:r>
      </w:hyperlink>
      <w:r w:rsidRPr="00BB6094">
        <w:rPr>
          <w:rFonts w:ascii="Garamond" w:hAnsi="Garamond" w:cs="Arial"/>
          <w:color w:val="000000" w:themeColor="text1"/>
        </w:rPr>
        <w:t> of which the </w:t>
      </w:r>
      <w:hyperlink r:id="rId28" w:history="1">
        <w:r w:rsidRPr="00BB6094">
          <w:rPr>
            <w:rStyle w:val="Hyperlink"/>
            <w:rFonts w:ascii="Garamond" w:hAnsi="Garamond" w:cs="Arial"/>
            <w:color w:val="000000" w:themeColor="text1"/>
            <w:u w:val="none"/>
          </w:rPr>
          <w:t>judicial</w:t>
        </w:r>
      </w:hyperlink>
      <w:r w:rsidRPr="00BB6094">
        <w:rPr>
          <w:rFonts w:ascii="Garamond" w:hAnsi="Garamond" w:cs="Arial"/>
          <w:color w:val="000000" w:themeColor="text1"/>
        </w:rPr>
        <w:t> </w:t>
      </w:r>
      <w:hyperlink r:id="rId29" w:history="1">
        <w:r w:rsidRPr="00BB6094">
          <w:rPr>
            <w:rStyle w:val="Hyperlink"/>
            <w:rFonts w:ascii="Garamond" w:hAnsi="Garamond" w:cs="Arial"/>
            <w:color w:val="000000" w:themeColor="text1"/>
            <w:u w:val="none"/>
          </w:rPr>
          <w:t>officer</w:t>
        </w:r>
      </w:hyperlink>
      <w:r w:rsidRPr="00BB6094">
        <w:rPr>
          <w:rFonts w:ascii="Garamond" w:hAnsi="Garamond" w:cs="Arial"/>
          <w:color w:val="000000" w:themeColor="text1"/>
        </w:rPr>
        <w:t> is a member.</w:t>
      </w:r>
    </w:p>
    <w:p w14:paraId="33C11096" w14:textId="77777777" w:rsidR="00D14B37" w:rsidRPr="00BB6094" w:rsidRDefault="00D14B37" w:rsidP="00D14B37">
      <w:pPr>
        <w:pStyle w:val="ListParagraph"/>
        <w:numPr>
          <w:ilvl w:val="0"/>
          <w:numId w:val="10"/>
        </w:numPr>
        <w:shd w:val="clear" w:color="auto" w:fill="FFFFFF"/>
        <w:spacing w:after="180"/>
        <w:rPr>
          <w:rFonts w:ascii="Garamond" w:hAnsi="Garamond" w:cs="Arial"/>
          <w:color w:val="333333"/>
        </w:rPr>
      </w:pPr>
      <w:r w:rsidRPr="00BB6094">
        <w:rPr>
          <w:rFonts w:ascii="Garamond" w:hAnsi="Garamond" w:cs="Arial"/>
          <w:color w:val="000000" w:themeColor="text1"/>
        </w:rPr>
        <w:t>Subsection (1) does not apply in relation to anything said or done by a </w:t>
      </w:r>
      <w:hyperlink r:id="rId30" w:history="1">
        <w:r w:rsidRPr="00BB6094">
          <w:rPr>
            <w:rStyle w:val="Hyperlink"/>
            <w:rFonts w:ascii="Garamond" w:hAnsi="Garamond" w:cs="Arial"/>
            <w:color w:val="000000" w:themeColor="text1"/>
            <w:u w:val="none"/>
          </w:rPr>
          <w:t>judicial officer</w:t>
        </w:r>
      </w:hyperlink>
      <w:r w:rsidRPr="00BB6094">
        <w:rPr>
          <w:rFonts w:ascii="Garamond" w:hAnsi="Garamond" w:cs="Arial"/>
          <w:color w:val="000000" w:themeColor="text1"/>
        </w:rPr>
        <w:t> in </w:t>
      </w:r>
      <w:hyperlink r:id="rId31" w:history="1">
        <w:r w:rsidRPr="00BB6094">
          <w:rPr>
            <w:rStyle w:val="Hyperlink"/>
            <w:rFonts w:ascii="Garamond" w:hAnsi="Garamond" w:cs="Arial"/>
            <w:color w:val="000000" w:themeColor="text1"/>
            <w:u w:val="none"/>
          </w:rPr>
          <w:t>court</w:t>
        </w:r>
      </w:hyperlink>
      <w:r w:rsidRPr="00BB6094">
        <w:rPr>
          <w:rFonts w:ascii="Garamond" w:hAnsi="Garamond" w:cs="Arial"/>
          <w:color w:val="000000" w:themeColor="text1"/>
        </w:rPr>
        <w:t xml:space="preserve"> or in chambers in the exercise, or purported exercise, of judicial powers or functions or in the discharge, or purported </w:t>
      </w:r>
      <w:r w:rsidRPr="00BB6094">
        <w:rPr>
          <w:rFonts w:ascii="Garamond" w:hAnsi="Garamond" w:cs="Arial"/>
          <w:color w:val="333333"/>
        </w:rPr>
        <w:t>discharge, of judicial duties (but conduct occurring in such circumstances may be the subject of a complaint under the </w:t>
      </w:r>
      <w:r w:rsidR="00372310" w:rsidRPr="00BB6094">
        <w:rPr>
          <w:rFonts w:ascii="Garamond" w:hAnsi="Garamond" w:cs="Arial"/>
          <w:i/>
          <w:iCs/>
          <w:color w:val="333333"/>
        </w:rPr>
        <w:t xml:space="preserve">Judicial Commission Act of Victoria (2016). </w:t>
      </w:r>
    </w:p>
    <w:p w14:paraId="10A6089C" w14:textId="77777777" w:rsidR="00372310" w:rsidRPr="001F021D" w:rsidRDefault="00372310" w:rsidP="00503C34">
      <w:pPr>
        <w:shd w:val="clear" w:color="auto" w:fill="FFFFFF"/>
        <w:spacing w:after="180"/>
        <w:ind w:left="720"/>
        <w:rPr>
          <w:rFonts w:ascii="Garamond" w:hAnsi="Garamond" w:cs="Arial"/>
          <w:color w:val="333333"/>
          <w:sz w:val="24"/>
          <w:szCs w:val="24"/>
        </w:rPr>
      </w:pPr>
    </w:p>
    <w:p w14:paraId="4CA51267" w14:textId="77777777" w:rsidR="00D14B37" w:rsidRPr="001F021D" w:rsidRDefault="00372310" w:rsidP="00503C34">
      <w:pPr>
        <w:shd w:val="clear" w:color="auto" w:fill="FFFFFF"/>
        <w:spacing w:after="180"/>
        <w:ind w:left="720"/>
        <w:rPr>
          <w:rFonts w:ascii="Garamond" w:hAnsi="Garamond" w:cs="Arial"/>
          <w:b/>
          <w:color w:val="333333"/>
          <w:sz w:val="24"/>
          <w:szCs w:val="24"/>
        </w:rPr>
      </w:pPr>
      <w:r w:rsidRPr="001F021D">
        <w:rPr>
          <w:rFonts w:ascii="Garamond" w:hAnsi="Garamond" w:cs="Arial"/>
          <w:b/>
          <w:color w:val="333333"/>
          <w:sz w:val="24"/>
          <w:szCs w:val="24"/>
        </w:rPr>
        <w:t>Into s 4</w:t>
      </w:r>
    </w:p>
    <w:p w14:paraId="73BFC910" w14:textId="77777777" w:rsidR="00372310" w:rsidRPr="00BB6094" w:rsidRDefault="00372310" w:rsidP="00372310">
      <w:pPr>
        <w:shd w:val="clear" w:color="auto" w:fill="FFFFFF"/>
        <w:spacing w:after="180"/>
        <w:ind w:left="1440"/>
        <w:rPr>
          <w:rFonts w:ascii="Garamond" w:hAnsi="Garamond" w:cs="Arial"/>
          <w:color w:val="333333"/>
        </w:rPr>
      </w:pPr>
      <w:r w:rsidRPr="00BB6094">
        <w:rPr>
          <w:rFonts w:ascii="Garamond" w:hAnsi="Garamond" w:cs="Arial"/>
          <w:color w:val="333333"/>
        </w:rPr>
        <w:t>“court” includes a tribunal</w:t>
      </w:r>
    </w:p>
    <w:p w14:paraId="1F916E3D" w14:textId="77777777" w:rsidR="00D14B37" w:rsidRPr="00BB6094" w:rsidRDefault="00372310" w:rsidP="00BB05DE">
      <w:pPr>
        <w:shd w:val="clear" w:color="auto" w:fill="FFFFFF"/>
        <w:spacing w:after="180"/>
        <w:ind w:left="1440"/>
        <w:rPr>
          <w:rFonts w:ascii="Garamond" w:hAnsi="Garamond" w:cs="Arial"/>
          <w:color w:val="333333"/>
        </w:rPr>
      </w:pPr>
      <w:r w:rsidRPr="00BB6094">
        <w:rPr>
          <w:rFonts w:ascii="Garamond" w:hAnsi="Garamond" w:cs="Arial"/>
          <w:color w:val="333333"/>
        </w:rPr>
        <w:t>“judicial officer” means a member of a court or tribunal</w:t>
      </w:r>
    </w:p>
    <w:p w14:paraId="293EE4B7" w14:textId="77777777" w:rsidR="00BB05DE" w:rsidRPr="001F021D" w:rsidRDefault="00BB05DE" w:rsidP="00BB05DE">
      <w:pPr>
        <w:shd w:val="clear" w:color="auto" w:fill="FFFFFF"/>
        <w:spacing w:after="180"/>
        <w:ind w:left="1440"/>
        <w:rPr>
          <w:rFonts w:ascii="Garamond" w:hAnsi="Garamond" w:cs="Arial"/>
          <w:color w:val="333333"/>
          <w:sz w:val="24"/>
          <w:szCs w:val="24"/>
        </w:rPr>
      </w:pPr>
    </w:p>
    <w:p w14:paraId="6CD9100D" w14:textId="77777777" w:rsidR="002060BA" w:rsidRPr="001F021D" w:rsidRDefault="00372310" w:rsidP="00D14B37">
      <w:pPr>
        <w:shd w:val="clear" w:color="auto" w:fill="FFFFFF"/>
        <w:spacing w:after="180"/>
        <w:rPr>
          <w:rFonts w:ascii="Garamond" w:hAnsi="Garamond"/>
          <w:color w:val="000000"/>
          <w:sz w:val="24"/>
          <w:szCs w:val="24"/>
        </w:rPr>
      </w:pPr>
      <w:r w:rsidRPr="001F021D">
        <w:rPr>
          <w:rFonts w:ascii="Garamond" w:hAnsi="Garamond"/>
          <w:color w:val="000000"/>
          <w:sz w:val="24"/>
          <w:szCs w:val="24"/>
        </w:rPr>
        <w:t>Alternatively, by inserting</w:t>
      </w:r>
      <w:r w:rsidR="002060BA" w:rsidRPr="001F021D">
        <w:rPr>
          <w:rFonts w:ascii="Garamond" w:hAnsi="Garamond"/>
          <w:color w:val="000000"/>
          <w:sz w:val="24"/>
          <w:szCs w:val="24"/>
        </w:rPr>
        <w:t>:</w:t>
      </w:r>
    </w:p>
    <w:p w14:paraId="5E49BF2D" w14:textId="77777777" w:rsidR="005B1459" w:rsidRPr="00BB6094" w:rsidRDefault="002060BA" w:rsidP="00503C34">
      <w:pPr>
        <w:shd w:val="clear" w:color="auto" w:fill="FFFFFF"/>
        <w:spacing w:after="180"/>
        <w:ind w:left="720"/>
        <w:rPr>
          <w:rFonts w:ascii="Garamond" w:hAnsi="Garamond"/>
          <w:b/>
          <w:color w:val="000000"/>
        </w:rPr>
      </w:pPr>
      <w:r w:rsidRPr="00BB6094">
        <w:rPr>
          <w:rFonts w:ascii="Garamond" w:hAnsi="Garamond"/>
          <w:b/>
          <w:color w:val="000000"/>
        </w:rPr>
        <w:t>92A</w:t>
      </w:r>
      <w:r w:rsidR="005B1459" w:rsidRPr="00BB6094">
        <w:rPr>
          <w:rFonts w:ascii="Garamond" w:hAnsi="Garamond"/>
          <w:b/>
          <w:color w:val="000000"/>
        </w:rPr>
        <w:t xml:space="preserve"> Sexual Harassment </w:t>
      </w:r>
    </w:p>
    <w:p w14:paraId="4E38164F" w14:textId="77777777" w:rsidR="002060BA" w:rsidRPr="00BB6094" w:rsidRDefault="002060BA" w:rsidP="00503C34">
      <w:pPr>
        <w:shd w:val="clear" w:color="auto" w:fill="FFFFFF"/>
        <w:spacing w:after="180"/>
        <w:ind w:left="720" w:firstLine="720"/>
        <w:rPr>
          <w:rFonts w:ascii="Garamond" w:hAnsi="Garamond"/>
          <w:color w:val="000000"/>
        </w:rPr>
      </w:pPr>
      <w:r w:rsidRPr="00BB6094">
        <w:rPr>
          <w:rFonts w:ascii="Garamond" w:hAnsi="Garamond"/>
          <w:color w:val="000000"/>
        </w:rPr>
        <w:t xml:space="preserve">A person must not sexually harass another person. </w:t>
      </w:r>
    </w:p>
    <w:p w14:paraId="58BCC34B" w14:textId="77777777" w:rsidR="00D14B37" w:rsidRPr="001F021D" w:rsidRDefault="002060BA" w:rsidP="00503C34">
      <w:pPr>
        <w:shd w:val="clear" w:color="auto" w:fill="FFFFFF"/>
        <w:spacing w:after="180"/>
        <w:ind w:left="720"/>
        <w:rPr>
          <w:rFonts w:ascii="Garamond" w:hAnsi="Garamond"/>
          <w:color w:val="000000"/>
          <w:sz w:val="24"/>
          <w:szCs w:val="24"/>
        </w:rPr>
      </w:pPr>
      <w:r w:rsidRPr="001F021D">
        <w:rPr>
          <w:rFonts w:ascii="Garamond" w:hAnsi="Garamond"/>
          <w:color w:val="000000"/>
          <w:sz w:val="24"/>
          <w:szCs w:val="24"/>
        </w:rPr>
        <w:t>And deleting ss93-</w:t>
      </w:r>
      <w:r w:rsidR="005B1459" w:rsidRPr="001F021D">
        <w:rPr>
          <w:rFonts w:ascii="Garamond" w:hAnsi="Garamond"/>
          <w:color w:val="000000"/>
          <w:sz w:val="24"/>
          <w:szCs w:val="24"/>
        </w:rPr>
        <w:t xml:space="preserve">102. </w:t>
      </w:r>
    </w:p>
    <w:p w14:paraId="5C9CF1FB" w14:textId="77777777" w:rsidR="00D14B37" w:rsidRPr="001F021D" w:rsidRDefault="00D14B37" w:rsidP="00D14B37">
      <w:pPr>
        <w:shd w:val="clear" w:color="auto" w:fill="FFFFFF"/>
        <w:spacing w:after="180"/>
        <w:rPr>
          <w:rFonts w:ascii="Garamond" w:hAnsi="Garamond"/>
          <w:color w:val="000000"/>
          <w:sz w:val="24"/>
          <w:szCs w:val="24"/>
        </w:rPr>
      </w:pPr>
    </w:p>
    <w:p w14:paraId="0BFC0CF1" w14:textId="77777777" w:rsidR="00D14B37" w:rsidRPr="001F021D" w:rsidRDefault="005B1459" w:rsidP="00503C34">
      <w:pPr>
        <w:rPr>
          <w:rFonts w:ascii="Garamond" w:hAnsi="Garamond"/>
          <w:sz w:val="24"/>
          <w:szCs w:val="24"/>
        </w:rPr>
      </w:pPr>
      <w:r w:rsidRPr="001F021D">
        <w:rPr>
          <w:rFonts w:ascii="Garamond" w:hAnsi="Garamond"/>
          <w:sz w:val="24"/>
          <w:szCs w:val="24"/>
        </w:rPr>
        <w:t xml:space="preserve">Amend s26 of the </w:t>
      </w:r>
      <w:r w:rsidRPr="00BB6094">
        <w:rPr>
          <w:rFonts w:ascii="Garamond" w:hAnsi="Garamond"/>
          <w:b/>
          <w:iCs/>
          <w:sz w:val="24"/>
          <w:szCs w:val="24"/>
        </w:rPr>
        <w:t>Occupational Health and Safety Act 2004</w:t>
      </w:r>
      <w:r w:rsidRPr="001F021D">
        <w:rPr>
          <w:rFonts w:ascii="Garamond" w:hAnsi="Garamond"/>
          <w:sz w:val="24"/>
          <w:szCs w:val="24"/>
        </w:rPr>
        <w:t xml:space="preserve"> (Vic)</w:t>
      </w:r>
      <w:r w:rsidR="00914BDD" w:rsidRPr="001F021D">
        <w:rPr>
          <w:rFonts w:ascii="Garamond" w:hAnsi="Garamond"/>
          <w:sz w:val="24"/>
          <w:szCs w:val="24"/>
        </w:rPr>
        <w:t xml:space="preserve"> by inserting</w:t>
      </w:r>
      <w:r w:rsidRPr="001F021D">
        <w:rPr>
          <w:rFonts w:ascii="Garamond" w:hAnsi="Garamond"/>
          <w:sz w:val="24"/>
          <w:szCs w:val="24"/>
        </w:rPr>
        <w:t>:</w:t>
      </w:r>
    </w:p>
    <w:p w14:paraId="5F893C76" w14:textId="77777777" w:rsidR="005B1459" w:rsidRPr="001F021D" w:rsidRDefault="005B1459" w:rsidP="005B1459">
      <w:pPr>
        <w:rPr>
          <w:rFonts w:ascii="Garamond" w:hAnsi="Garamond"/>
          <w:sz w:val="24"/>
          <w:szCs w:val="24"/>
        </w:rPr>
      </w:pPr>
    </w:p>
    <w:p w14:paraId="2EE15C93" w14:textId="77777777" w:rsidR="005B1459" w:rsidRPr="00BB6094" w:rsidRDefault="005B1459" w:rsidP="00503C34">
      <w:pPr>
        <w:ind w:left="709"/>
        <w:rPr>
          <w:rFonts w:ascii="Garamond" w:hAnsi="Garamond" w:cs="Arial"/>
          <w:b/>
          <w:color w:val="000000" w:themeColor="text1"/>
        </w:rPr>
      </w:pPr>
      <w:proofErr w:type="gramStart"/>
      <w:r w:rsidRPr="00BB6094">
        <w:rPr>
          <w:rFonts w:ascii="Garamond" w:hAnsi="Garamond" w:cs="Arial"/>
          <w:b/>
          <w:color w:val="000000" w:themeColor="text1"/>
        </w:rPr>
        <w:t>26  Duties</w:t>
      </w:r>
      <w:proofErr w:type="gramEnd"/>
      <w:r w:rsidRPr="00BB6094">
        <w:rPr>
          <w:rFonts w:ascii="Garamond" w:hAnsi="Garamond" w:cs="Arial"/>
          <w:b/>
          <w:color w:val="000000" w:themeColor="text1"/>
        </w:rPr>
        <w:t xml:space="preserve"> of persons who manage or control workplaces</w:t>
      </w:r>
    </w:p>
    <w:p w14:paraId="16A947D9" w14:textId="77777777" w:rsidR="005B1459" w:rsidRPr="00BB6094" w:rsidRDefault="005B1459" w:rsidP="005B1459">
      <w:pPr>
        <w:rPr>
          <w:rFonts w:ascii="Garamond" w:hAnsi="Garamond" w:cs="Arial"/>
          <w:color w:val="000000" w:themeColor="text1"/>
        </w:rPr>
      </w:pPr>
    </w:p>
    <w:p w14:paraId="77361E81" w14:textId="77777777" w:rsidR="005B1459" w:rsidRPr="00BB6094" w:rsidRDefault="005B1459" w:rsidP="00914BDD">
      <w:pPr>
        <w:ind w:left="1418" w:hanging="709"/>
        <w:rPr>
          <w:rFonts w:ascii="Garamond" w:hAnsi="Garamond" w:cs="Arial"/>
          <w:color w:val="000000" w:themeColor="text1"/>
        </w:rPr>
      </w:pPr>
      <w:r w:rsidRPr="00BB6094">
        <w:rPr>
          <w:rFonts w:ascii="Garamond" w:hAnsi="Garamond" w:cs="Arial"/>
          <w:color w:val="000000" w:themeColor="text1"/>
        </w:rPr>
        <w:t>(2</w:t>
      </w:r>
      <w:proofErr w:type="gramStart"/>
      <w:r w:rsidRPr="00BB6094">
        <w:rPr>
          <w:rFonts w:ascii="Garamond" w:hAnsi="Garamond" w:cs="Arial"/>
          <w:color w:val="000000" w:themeColor="text1"/>
        </w:rPr>
        <w:t xml:space="preserve">A)  </w:t>
      </w:r>
      <w:r w:rsidR="00914BDD" w:rsidRPr="00BB6094">
        <w:rPr>
          <w:rFonts w:ascii="Garamond" w:hAnsi="Garamond" w:cs="Arial"/>
          <w:color w:val="000000" w:themeColor="text1"/>
        </w:rPr>
        <w:tab/>
      </w:r>
      <w:proofErr w:type="gramEnd"/>
      <w:r w:rsidRPr="00BB6094">
        <w:rPr>
          <w:rFonts w:ascii="Garamond" w:hAnsi="Garamond" w:cs="Arial"/>
          <w:color w:val="000000" w:themeColor="text1"/>
        </w:rPr>
        <w:t xml:space="preserve">A judicial officer may exercise management and control of a </w:t>
      </w:r>
      <w:r w:rsidR="00914BDD" w:rsidRPr="00BB6094">
        <w:rPr>
          <w:rFonts w:ascii="Garamond" w:hAnsi="Garamond" w:cs="Arial"/>
          <w:color w:val="000000" w:themeColor="text1"/>
        </w:rPr>
        <w:t>non judicial officer, or a member of staff, of a court of which the judicial officer in a member</w:t>
      </w:r>
      <w:r w:rsidR="00BB05DE" w:rsidRPr="00BB6094">
        <w:rPr>
          <w:rFonts w:ascii="Garamond" w:hAnsi="Garamond" w:cs="Arial"/>
          <w:color w:val="000000" w:themeColor="text1"/>
        </w:rPr>
        <w:t>.</w:t>
      </w:r>
    </w:p>
    <w:p w14:paraId="723D306C" w14:textId="77777777" w:rsidR="00BB05DE" w:rsidRPr="00BB6094" w:rsidRDefault="00BB05DE" w:rsidP="00914BDD">
      <w:pPr>
        <w:ind w:left="1418" w:hanging="709"/>
        <w:rPr>
          <w:rFonts w:ascii="Garamond" w:hAnsi="Garamond" w:cs="Arial"/>
          <w:color w:val="000000" w:themeColor="text1"/>
        </w:rPr>
      </w:pPr>
    </w:p>
    <w:p w14:paraId="30779F4A" w14:textId="77777777" w:rsidR="00BB05DE" w:rsidRPr="00BB6094" w:rsidRDefault="00BB05DE" w:rsidP="00BB05DE">
      <w:pPr>
        <w:shd w:val="clear" w:color="auto" w:fill="FFFFFF"/>
        <w:spacing w:after="180"/>
        <w:ind w:left="1418" w:hanging="709"/>
        <w:rPr>
          <w:rFonts w:ascii="Garamond" w:hAnsi="Garamond" w:cs="Arial"/>
          <w:color w:val="333333"/>
        </w:rPr>
      </w:pPr>
      <w:r w:rsidRPr="00BB6094">
        <w:rPr>
          <w:rFonts w:ascii="Garamond" w:hAnsi="Garamond" w:cs="Arial"/>
          <w:color w:val="000000" w:themeColor="text1"/>
        </w:rPr>
        <w:t>(2B)</w:t>
      </w:r>
      <w:r w:rsidRPr="00BB6094">
        <w:rPr>
          <w:rFonts w:ascii="Garamond" w:hAnsi="Garamond" w:cs="Arial"/>
          <w:color w:val="000000" w:themeColor="text1"/>
        </w:rPr>
        <w:tab/>
        <w:t>Subsection (2A) does not apply in relation to anything said or done by a </w:t>
      </w:r>
      <w:hyperlink r:id="rId32" w:history="1">
        <w:r w:rsidRPr="00BB6094">
          <w:rPr>
            <w:rStyle w:val="Hyperlink"/>
            <w:rFonts w:ascii="Garamond" w:hAnsi="Garamond" w:cs="Arial"/>
            <w:color w:val="000000" w:themeColor="text1"/>
            <w:u w:val="none"/>
          </w:rPr>
          <w:t>judicial officer</w:t>
        </w:r>
      </w:hyperlink>
      <w:r w:rsidRPr="00BB6094">
        <w:rPr>
          <w:rFonts w:ascii="Garamond" w:hAnsi="Garamond" w:cs="Arial"/>
          <w:color w:val="000000" w:themeColor="text1"/>
        </w:rPr>
        <w:t> in </w:t>
      </w:r>
      <w:hyperlink r:id="rId33" w:history="1">
        <w:r w:rsidRPr="00BB6094">
          <w:rPr>
            <w:rStyle w:val="Hyperlink"/>
            <w:rFonts w:ascii="Garamond" w:hAnsi="Garamond" w:cs="Arial"/>
            <w:color w:val="000000" w:themeColor="text1"/>
            <w:u w:val="none"/>
          </w:rPr>
          <w:t>court</w:t>
        </w:r>
      </w:hyperlink>
      <w:r w:rsidRPr="00BB6094">
        <w:rPr>
          <w:rFonts w:ascii="Garamond" w:hAnsi="Garamond" w:cs="Arial"/>
          <w:color w:val="000000" w:themeColor="text1"/>
        </w:rPr>
        <w:t xml:space="preserve"> or in chambers in the exercise, or purported exercise, of judicial powers or functions or in the discharge, or purported </w:t>
      </w:r>
      <w:r w:rsidRPr="00BB6094">
        <w:rPr>
          <w:rFonts w:ascii="Garamond" w:hAnsi="Garamond" w:cs="Arial"/>
          <w:color w:val="333333"/>
        </w:rPr>
        <w:t>discharge, of judicial duties (but conduct occurring in such circumstances may be the subject of a complaint under the </w:t>
      </w:r>
      <w:r w:rsidRPr="00BB6094">
        <w:rPr>
          <w:rFonts w:ascii="Garamond" w:hAnsi="Garamond" w:cs="Arial"/>
          <w:i/>
          <w:iCs/>
          <w:color w:val="333333"/>
        </w:rPr>
        <w:t xml:space="preserve">Judicial Commission Act of Victoria (2016). </w:t>
      </w:r>
    </w:p>
    <w:p w14:paraId="78269DB1" w14:textId="77777777" w:rsidR="00914BDD" w:rsidRPr="001F021D" w:rsidRDefault="00914BDD" w:rsidP="00503C34">
      <w:pPr>
        <w:ind w:left="709"/>
        <w:rPr>
          <w:rFonts w:ascii="Garamond" w:hAnsi="Garamond"/>
          <w:b/>
          <w:sz w:val="24"/>
          <w:szCs w:val="24"/>
        </w:rPr>
      </w:pPr>
      <w:r w:rsidRPr="001F021D">
        <w:rPr>
          <w:rFonts w:ascii="Garamond" w:hAnsi="Garamond"/>
          <w:b/>
          <w:sz w:val="24"/>
          <w:szCs w:val="24"/>
        </w:rPr>
        <w:t xml:space="preserve">Into s5 </w:t>
      </w:r>
      <w:r w:rsidRPr="001F021D">
        <w:rPr>
          <w:rFonts w:ascii="Garamond" w:hAnsi="Garamond"/>
          <w:b/>
          <w:sz w:val="24"/>
          <w:szCs w:val="24"/>
        </w:rPr>
        <w:tab/>
        <w:t xml:space="preserve"> </w:t>
      </w:r>
    </w:p>
    <w:p w14:paraId="7C7C77E6" w14:textId="77777777" w:rsidR="00914BDD" w:rsidRPr="00BB6094" w:rsidRDefault="00914BDD" w:rsidP="00914BDD">
      <w:pPr>
        <w:shd w:val="clear" w:color="auto" w:fill="FFFFFF"/>
        <w:spacing w:after="180"/>
        <w:ind w:left="1440"/>
        <w:rPr>
          <w:rFonts w:ascii="Garamond" w:hAnsi="Garamond" w:cs="Arial"/>
          <w:color w:val="333333"/>
        </w:rPr>
      </w:pPr>
      <w:r w:rsidRPr="00BB6094">
        <w:rPr>
          <w:rFonts w:ascii="Garamond" w:hAnsi="Garamond" w:cs="Arial"/>
          <w:color w:val="333333"/>
        </w:rPr>
        <w:t>“court” includes a tribunal</w:t>
      </w:r>
    </w:p>
    <w:p w14:paraId="4E10A246" w14:textId="77777777" w:rsidR="00D14B37" w:rsidRPr="00BB6094" w:rsidRDefault="00914BDD" w:rsidP="00BB6094">
      <w:pPr>
        <w:shd w:val="clear" w:color="auto" w:fill="FFFFFF"/>
        <w:spacing w:after="180"/>
        <w:ind w:left="1440"/>
        <w:rPr>
          <w:rFonts w:ascii="Garamond" w:hAnsi="Garamond" w:cs="Arial"/>
          <w:color w:val="333333"/>
        </w:rPr>
      </w:pPr>
      <w:r w:rsidRPr="00BB6094">
        <w:rPr>
          <w:rFonts w:ascii="Garamond" w:hAnsi="Garamond" w:cs="Arial"/>
          <w:color w:val="333333"/>
        </w:rPr>
        <w:t>“judicial officer” means a member of a court or tribunal</w:t>
      </w:r>
    </w:p>
    <w:sectPr w:rsidR="00D14B37" w:rsidRPr="00BB6094" w:rsidSect="00DF484F">
      <w:footerReference w:type="even" r:id="rId34"/>
      <w:footerReference w:type="default" r:id="rId35"/>
      <w:headerReference w:type="first" r:id="rId3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D507" w14:textId="77777777" w:rsidR="00D81EF2" w:rsidRDefault="00D81EF2" w:rsidP="0061304C">
      <w:r>
        <w:separator/>
      </w:r>
    </w:p>
  </w:endnote>
  <w:endnote w:type="continuationSeparator" w:id="0">
    <w:p w14:paraId="31D81C83" w14:textId="77777777" w:rsidR="00D81EF2" w:rsidRDefault="00D81EF2" w:rsidP="0061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Dubai">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9694598"/>
      <w:docPartObj>
        <w:docPartGallery w:val="Page Numbers (Bottom of Page)"/>
        <w:docPartUnique/>
      </w:docPartObj>
    </w:sdtPr>
    <w:sdtEndPr>
      <w:rPr>
        <w:rStyle w:val="PageNumber"/>
      </w:rPr>
    </w:sdtEndPr>
    <w:sdtContent>
      <w:p w14:paraId="758B538C" w14:textId="77777777" w:rsidR="00FF5AE6" w:rsidRDefault="009D683A" w:rsidP="005B1459">
        <w:pPr>
          <w:pStyle w:val="Footer"/>
          <w:framePr w:wrap="none" w:vAnchor="text" w:hAnchor="margin" w:xAlign="right" w:y="1"/>
          <w:rPr>
            <w:rStyle w:val="PageNumber"/>
          </w:rPr>
        </w:pPr>
      </w:p>
    </w:sdtContent>
  </w:sdt>
  <w:p w14:paraId="7D1111E0" w14:textId="77777777" w:rsidR="00FF5AE6" w:rsidRDefault="00FF5AE6" w:rsidP="00DF48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244131"/>
      <w:docPartObj>
        <w:docPartGallery w:val="Page Numbers (Bottom of Page)"/>
        <w:docPartUnique/>
      </w:docPartObj>
    </w:sdtPr>
    <w:sdtEndPr>
      <w:rPr>
        <w:rStyle w:val="PageNumber"/>
        <w:rFonts w:ascii="Garamond" w:hAnsi="Garamond"/>
        <w:sz w:val="20"/>
        <w:szCs w:val="20"/>
      </w:rPr>
    </w:sdtEndPr>
    <w:sdtContent>
      <w:p w14:paraId="5CF7A2FF" w14:textId="77777777" w:rsidR="00FF5AE6" w:rsidRPr="00DF484F" w:rsidRDefault="00FF5AE6" w:rsidP="005B1459">
        <w:pPr>
          <w:pStyle w:val="Footer"/>
          <w:framePr w:wrap="none" w:vAnchor="text" w:hAnchor="margin" w:xAlign="right" w:y="1"/>
          <w:rPr>
            <w:rStyle w:val="PageNumber"/>
            <w:rFonts w:ascii="Garamond" w:hAnsi="Garamond"/>
            <w:sz w:val="20"/>
            <w:szCs w:val="20"/>
          </w:rPr>
        </w:pPr>
        <w:r w:rsidRPr="00DF484F">
          <w:rPr>
            <w:rStyle w:val="PageNumber"/>
            <w:rFonts w:ascii="Garamond" w:hAnsi="Garamond"/>
            <w:noProof/>
            <w:sz w:val="20"/>
            <w:szCs w:val="20"/>
          </w:rPr>
          <w:t>2</w:t>
        </w:r>
      </w:p>
    </w:sdtContent>
  </w:sdt>
  <w:p w14:paraId="233503E1" w14:textId="77777777" w:rsidR="00FF5AE6" w:rsidRDefault="00FF5AE6" w:rsidP="00DF48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71243" w14:textId="77777777" w:rsidR="00D81EF2" w:rsidRDefault="00D81EF2" w:rsidP="0061304C">
      <w:r>
        <w:separator/>
      </w:r>
    </w:p>
  </w:footnote>
  <w:footnote w:type="continuationSeparator" w:id="0">
    <w:p w14:paraId="7B3597BE" w14:textId="77777777" w:rsidR="00D81EF2" w:rsidRDefault="00D81EF2" w:rsidP="0061304C">
      <w:r>
        <w:continuationSeparator/>
      </w:r>
    </w:p>
  </w:footnote>
  <w:footnote w:id="1">
    <w:p w14:paraId="3E67EC37" w14:textId="77777777" w:rsidR="007B4368" w:rsidRPr="009E09B0" w:rsidRDefault="007B4368" w:rsidP="009E09B0">
      <w:pPr>
        <w:pStyle w:val="FootnoteText"/>
        <w:tabs>
          <w:tab w:val="left" w:pos="426"/>
        </w:tabs>
        <w:ind w:left="426" w:hanging="426"/>
        <w:rPr>
          <w:rFonts w:ascii="Garamond" w:hAnsi="Garamond"/>
        </w:rPr>
      </w:pPr>
      <w:r w:rsidRPr="007B4368">
        <w:rPr>
          <w:rFonts w:ascii="Garamond" w:hAnsi="Garamond"/>
          <w:vertAlign w:val="superscript"/>
        </w:rPr>
        <w:footnoteRef/>
      </w:r>
      <w:r w:rsidRPr="007B4368">
        <w:rPr>
          <w:rFonts w:ascii="Garamond" w:hAnsi="Garamond"/>
          <w:vertAlign w:val="superscript"/>
        </w:rPr>
        <w:t xml:space="preserve"> </w:t>
      </w:r>
      <w:r w:rsidRPr="007B4368">
        <w:rPr>
          <w:rFonts w:ascii="Garamond" w:hAnsi="Garamond"/>
        </w:rPr>
        <w:tab/>
        <w:t xml:space="preserve">Law Council of Australia, </w:t>
      </w:r>
      <w:r w:rsidRPr="007B4368">
        <w:rPr>
          <w:rFonts w:ascii="Garamond" w:hAnsi="Garamond"/>
          <w:i/>
        </w:rPr>
        <w:t>National Attrition and Re-engagement Study</w:t>
      </w:r>
      <w:r w:rsidRPr="007B4368">
        <w:rPr>
          <w:rFonts w:ascii="Garamond" w:hAnsi="Garamond"/>
        </w:rPr>
        <w:t xml:space="preserve"> 2014</w:t>
      </w:r>
      <w:r w:rsidR="009E09B0">
        <w:rPr>
          <w:rFonts w:ascii="Garamond" w:hAnsi="Garamond"/>
        </w:rPr>
        <w:t xml:space="preserve">; VEOHRC </w:t>
      </w:r>
      <w:r w:rsidR="009E09B0">
        <w:rPr>
          <w:rFonts w:ascii="Garamond" w:hAnsi="Garamond"/>
          <w:i/>
        </w:rPr>
        <w:t xml:space="preserve">Changing the rules: the experiences of female lawyers in Victoria </w:t>
      </w:r>
      <w:r w:rsidR="009E09B0" w:rsidRPr="009E09B0">
        <w:rPr>
          <w:rFonts w:ascii="Garamond" w:hAnsi="Garamond"/>
        </w:rPr>
        <w:t>2012</w:t>
      </w:r>
      <w:r w:rsidR="009E09B0">
        <w:rPr>
          <w:rFonts w:ascii="Garamond" w:hAnsi="Garamond"/>
          <w:i/>
        </w:rPr>
        <w:t xml:space="preserve">; </w:t>
      </w:r>
      <w:r w:rsidR="009E09B0" w:rsidRPr="009E09B0">
        <w:rPr>
          <w:rFonts w:ascii="Garamond" w:hAnsi="Garamond"/>
        </w:rPr>
        <w:t>International Bar Association</w:t>
      </w:r>
      <w:r w:rsidR="009E09B0">
        <w:rPr>
          <w:rFonts w:ascii="Garamond" w:hAnsi="Garamond"/>
          <w:i/>
        </w:rPr>
        <w:t xml:space="preserve"> Us Too? Bullying and Harassment in the Legal Profession </w:t>
      </w:r>
      <w:r w:rsidR="009E09B0" w:rsidRPr="009E09B0">
        <w:rPr>
          <w:rFonts w:ascii="Garamond" w:hAnsi="Garamond"/>
        </w:rPr>
        <w:t>2019</w:t>
      </w:r>
      <w:r w:rsidR="009E09B0">
        <w:rPr>
          <w:rFonts w:ascii="Garamond" w:hAnsi="Garamond"/>
        </w:rPr>
        <w:t xml:space="preserve">; Victorian </w:t>
      </w:r>
      <w:r w:rsidR="005C350E">
        <w:rPr>
          <w:rFonts w:ascii="Garamond" w:hAnsi="Garamond"/>
        </w:rPr>
        <w:t>L</w:t>
      </w:r>
      <w:r w:rsidR="009E09B0">
        <w:rPr>
          <w:rFonts w:ascii="Garamond" w:hAnsi="Garamond"/>
        </w:rPr>
        <w:t xml:space="preserve">egal Services Commissioner </w:t>
      </w:r>
      <w:r w:rsidR="009E09B0">
        <w:rPr>
          <w:rFonts w:ascii="Garamond" w:hAnsi="Garamond"/>
          <w:i/>
        </w:rPr>
        <w:t xml:space="preserve">Sexual </w:t>
      </w:r>
      <w:r w:rsidR="005C350E">
        <w:rPr>
          <w:rFonts w:ascii="Garamond" w:hAnsi="Garamond"/>
          <w:i/>
        </w:rPr>
        <w:t>H</w:t>
      </w:r>
      <w:r w:rsidR="009E09B0">
        <w:rPr>
          <w:rFonts w:ascii="Garamond" w:hAnsi="Garamond"/>
          <w:i/>
        </w:rPr>
        <w:t xml:space="preserve">arassment in the Victorian Legal Sector 2019 study of legal professional and legal entities </w:t>
      </w:r>
      <w:r w:rsidR="009E09B0">
        <w:rPr>
          <w:rFonts w:ascii="Garamond" w:hAnsi="Garamond"/>
        </w:rPr>
        <w:t xml:space="preserve">2020. </w:t>
      </w:r>
    </w:p>
  </w:footnote>
  <w:footnote w:id="2">
    <w:p w14:paraId="33DDE282" w14:textId="77777777" w:rsidR="00FF5AE6" w:rsidRPr="00951E73" w:rsidRDefault="00FF5AE6" w:rsidP="008B3295">
      <w:pPr>
        <w:pStyle w:val="FootnoteText"/>
        <w:ind w:left="426" w:hanging="426"/>
        <w:rPr>
          <w:rFonts w:ascii="Garamond" w:hAnsi="Garamond"/>
          <w:iCs/>
          <w:lang w:val="en-US"/>
        </w:rPr>
      </w:pPr>
      <w:r w:rsidRPr="00E3199E">
        <w:rPr>
          <w:rStyle w:val="FootnoteReference"/>
          <w:rFonts w:ascii="Garamond" w:hAnsi="Garamond"/>
        </w:rPr>
        <w:footnoteRef/>
      </w:r>
      <w:r w:rsidRPr="00E3199E">
        <w:rPr>
          <w:rFonts w:ascii="Garamond" w:hAnsi="Garamond"/>
        </w:rPr>
        <w:t xml:space="preserve"> </w:t>
      </w:r>
      <w:r w:rsidRPr="00E3199E">
        <w:rPr>
          <w:rFonts w:ascii="Garamond" w:hAnsi="Garamond"/>
          <w:lang w:val="en-US"/>
        </w:rPr>
        <w:tab/>
      </w:r>
      <w:r w:rsidRPr="00E3199E">
        <w:rPr>
          <w:rFonts w:ascii="Garamond" w:hAnsi="Garamond" w:cs="Dubai"/>
          <w:i/>
          <w:lang w:val="en-US"/>
        </w:rPr>
        <w:t xml:space="preserve">Kable v Director Public Prosecutions (NSW) </w:t>
      </w:r>
      <w:r w:rsidRPr="00E3199E">
        <w:rPr>
          <w:rFonts w:ascii="Garamond" w:hAnsi="Garamond" w:cs="Dubai"/>
          <w:lang w:val="en-US"/>
        </w:rPr>
        <w:t>(1966) 189 CLR 51</w:t>
      </w:r>
      <w:r w:rsidRPr="00E3199E">
        <w:rPr>
          <w:rFonts w:ascii="Garamond" w:hAnsi="Garamond" w:cs="Dubai"/>
          <w:i/>
          <w:lang w:val="en-US"/>
        </w:rPr>
        <w:t xml:space="preserve">; </w:t>
      </w:r>
      <w:r w:rsidRPr="00E3199E">
        <w:rPr>
          <w:rFonts w:ascii="Garamond" w:hAnsi="Garamond" w:cs="Dubai"/>
          <w:i/>
          <w:lang w:val="en-GB"/>
        </w:rPr>
        <w:t xml:space="preserve">North Australian Aboriginal Legal Aid Service Inc v Bradley </w:t>
      </w:r>
      <w:r w:rsidRPr="00E3199E">
        <w:rPr>
          <w:rFonts w:ascii="Garamond" w:hAnsi="Garamond" w:cs="Dubai"/>
          <w:lang w:val="en-GB"/>
        </w:rPr>
        <w:t xml:space="preserve">(2004) 218 CLR 146, 163; </w:t>
      </w:r>
      <w:r w:rsidRPr="00E3199E">
        <w:rPr>
          <w:rFonts w:ascii="Garamond" w:hAnsi="Garamond" w:cs="Dubai"/>
          <w:i/>
          <w:lang w:val="en-GB"/>
        </w:rPr>
        <w:t xml:space="preserve">Cornack v Fingelton </w:t>
      </w:r>
      <w:r w:rsidRPr="00E3199E">
        <w:rPr>
          <w:rFonts w:ascii="Garamond" w:hAnsi="Garamond" w:cs="Dubai"/>
          <w:lang w:val="en-GB"/>
        </w:rPr>
        <w:t>[2002] QSC 391 [34]</w:t>
      </w:r>
      <w:r w:rsidRPr="00E3199E">
        <w:rPr>
          <w:rFonts w:ascii="Garamond" w:hAnsi="Garamond" w:cs="Dubai"/>
          <w:i/>
          <w:lang w:val="en-GB"/>
        </w:rPr>
        <w:t xml:space="preserve">; Carmody v Information Commissioner </w:t>
      </w:r>
      <w:r>
        <w:rPr>
          <w:rFonts w:ascii="Garamond" w:hAnsi="Garamond" w:cs="Dubai"/>
          <w:iCs/>
          <w:lang w:val="en-GB"/>
        </w:rPr>
        <w:t>[2018] QCATA 14 [47]-[[48]].</w:t>
      </w:r>
    </w:p>
  </w:footnote>
  <w:footnote w:id="3">
    <w:p w14:paraId="6247579C" w14:textId="77777777" w:rsidR="00485406" w:rsidRPr="008B3295" w:rsidRDefault="00485406" w:rsidP="00485406">
      <w:pPr>
        <w:pStyle w:val="FootnoteText"/>
        <w:ind w:left="284" w:hanging="284"/>
        <w:rPr>
          <w:lang w:val="en-US"/>
        </w:rPr>
      </w:pPr>
      <w:r w:rsidRPr="008B3295">
        <w:rPr>
          <w:rStyle w:val="FootnoteReference"/>
          <w:rFonts w:ascii="Garamond" w:hAnsi="Garamond"/>
        </w:rPr>
        <w:footnoteRef/>
      </w:r>
      <w:r>
        <w:t xml:space="preserve">        </w:t>
      </w:r>
      <w:r>
        <w:rPr>
          <w:rFonts w:ascii="Garamond" w:hAnsi="Garamond"/>
        </w:rPr>
        <w:t>s87AAL Constitution.</w:t>
      </w:r>
    </w:p>
  </w:footnote>
  <w:footnote w:id="4">
    <w:p w14:paraId="65F8F953" w14:textId="77777777" w:rsidR="00485406" w:rsidRPr="008E3D89" w:rsidRDefault="00485406" w:rsidP="00485406">
      <w:pPr>
        <w:pStyle w:val="FootnoteText"/>
        <w:tabs>
          <w:tab w:val="left" w:pos="426"/>
        </w:tabs>
        <w:rPr>
          <w:lang w:val="en-US"/>
        </w:rPr>
      </w:pPr>
      <w:r w:rsidRPr="008E3D89">
        <w:rPr>
          <w:rStyle w:val="FootnoteReference"/>
          <w:rFonts w:ascii="Garamond" w:hAnsi="Garamond"/>
        </w:rPr>
        <w:footnoteRef/>
      </w:r>
      <w:r w:rsidRPr="008E3D89">
        <w:rPr>
          <w:rFonts w:ascii="Garamond" w:hAnsi="Garamond"/>
        </w:rPr>
        <w:t xml:space="preserve"> </w:t>
      </w:r>
      <w:r>
        <w:tab/>
      </w:r>
      <w:r>
        <w:rPr>
          <w:rFonts w:ascii="Garamond" w:hAnsi="Garamond"/>
        </w:rPr>
        <w:t xml:space="preserve">s16(3) JCV Act.  </w:t>
      </w:r>
    </w:p>
  </w:footnote>
  <w:footnote w:id="5">
    <w:p w14:paraId="1B81D672" w14:textId="77777777" w:rsidR="00485406" w:rsidRPr="00E3199E" w:rsidRDefault="00485406" w:rsidP="00485406">
      <w:pPr>
        <w:pStyle w:val="FootnoteText"/>
        <w:ind w:left="426" w:hanging="426"/>
        <w:rPr>
          <w:rFonts w:ascii="Garamond" w:hAnsi="Garamond"/>
          <w:lang w:val="en-US"/>
        </w:rPr>
      </w:pPr>
      <w:r w:rsidRPr="008B3295">
        <w:rPr>
          <w:rFonts w:ascii="Garamond" w:hAnsi="Garamond"/>
          <w:vertAlign w:val="superscript"/>
          <w:lang w:val="en-US"/>
        </w:rPr>
        <w:footnoteRef/>
      </w:r>
      <w:r w:rsidRPr="008B3295">
        <w:rPr>
          <w:rFonts w:ascii="Garamond" w:hAnsi="Garamond"/>
          <w:vertAlign w:val="superscript"/>
          <w:lang w:val="en-US"/>
        </w:rPr>
        <w:t xml:space="preserve"> </w:t>
      </w:r>
      <w:r w:rsidRPr="00E3199E">
        <w:rPr>
          <w:rFonts w:ascii="Garamond" w:hAnsi="Garamond"/>
          <w:lang w:val="en-US"/>
        </w:rPr>
        <w:tab/>
        <w:t xml:space="preserve">S115 </w:t>
      </w:r>
      <w:r w:rsidRPr="00E3199E">
        <w:rPr>
          <w:rFonts w:ascii="Garamond" w:hAnsi="Garamond"/>
          <w:i/>
          <w:lang w:val="en-US"/>
        </w:rPr>
        <w:t>Judicial Commission of Victoria Act.</w:t>
      </w:r>
    </w:p>
  </w:footnote>
  <w:footnote w:id="6">
    <w:p w14:paraId="5F0C9F77" w14:textId="77777777" w:rsidR="001E6D72" w:rsidRPr="001E6D72" w:rsidRDefault="001E6D72" w:rsidP="001E6D72">
      <w:pPr>
        <w:pStyle w:val="FootnoteText"/>
        <w:tabs>
          <w:tab w:val="left" w:pos="426"/>
        </w:tabs>
        <w:rPr>
          <w:rFonts w:ascii="Garamond" w:hAnsi="Garamond"/>
        </w:rPr>
      </w:pPr>
      <w:r w:rsidRPr="001E6D72">
        <w:rPr>
          <w:rFonts w:ascii="Garamond" w:hAnsi="Garamond"/>
        </w:rPr>
        <w:footnoteRef/>
      </w:r>
      <w:r w:rsidRPr="001E6D72">
        <w:rPr>
          <w:rFonts w:ascii="Garamond" w:hAnsi="Garamond"/>
        </w:rPr>
        <w:t xml:space="preserve"> </w:t>
      </w:r>
      <w:r w:rsidRPr="001E6D72">
        <w:rPr>
          <w:rFonts w:ascii="Garamond" w:hAnsi="Garamond"/>
        </w:rPr>
        <w:tab/>
        <w:t xml:space="preserve">S92 of the </w:t>
      </w:r>
      <w:r w:rsidRPr="001E6D72">
        <w:rPr>
          <w:rFonts w:ascii="Garamond" w:hAnsi="Garamond"/>
          <w:i/>
        </w:rPr>
        <w:t>Equal Opportunity Act</w:t>
      </w:r>
      <w:r w:rsidRPr="001E6D72">
        <w:rPr>
          <w:rFonts w:ascii="Garamond" w:hAnsi="Garamond"/>
        </w:rPr>
        <w:t>.</w:t>
      </w:r>
    </w:p>
  </w:footnote>
  <w:footnote w:id="7">
    <w:p w14:paraId="024E8016" w14:textId="77777777" w:rsidR="00FF5AE6" w:rsidRPr="00E3199E" w:rsidRDefault="00FF5AE6" w:rsidP="00E3199E">
      <w:pPr>
        <w:pStyle w:val="FootnoteText"/>
        <w:ind w:left="426" w:hanging="426"/>
        <w:rPr>
          <w:rFonts w:ascii="Garamond" w:hAnsi="Garamond"/>
          <w:lang w:val="en-US"/>
        </w:rPr>
      </w:pPr>
      <w:r w:rsidRPr="00E3199E">
        <w:rPr>
          <w:rStyle w:val="FootnoteReference"/>
          <w:rFonts w:ascii="Garamond" w:hAnsi="Garamond"/>
        </w:rPr>
        <w:footnoteRef/>
      </w:r>
      <w:r w:rsidRPr="00E3199E">
        <w:rPr>
          <w:rFonts w:ascii="Garamond" w:hAnsi="Garamond"/>
        </w:rPr>
        <w:t xml:space="preserve"> </w:t>
      </w:r>
      <w:r w:rsidRPr="00E3199E">
        <w:rPr>
          <w:rFonts w:ascii="Garamond" w:hAnsi="Garamond"/>
          <w:lang w:val="en-US"/>
        </w:rPr>
        <w:tab/>
      </w:r>
      <w:r w:rsidRPr="00E3199E">
        <w:rPr>
          <w:rFonts w:ascii="Garamond" w:hAnsi="Garamond"/>
          <w:i/>
          <w:lang w:val="en-US"/>
        </w:rPr>
        <w:t>Supreme Court Act</w:t>
      </w:r>
      <w:r w:rsidRPr="00E3199E">
        <w:rPr>
          <w:rFonts w:ascii="Garamond" w:hAnsi="Garamond"/>
          <w:lang w:val="en-US"/>
        </w:rPr>
        <w:t xml:space="preserve"> s28AAA. </w:t>
      </w:r>
    </w:p>
  </w:footnote>
  <w:footnote w:id="8">
    <w:p w14:paraId="18947608" w14:textId="77777777" w:rsidR="00FF5AE6" w:rsidRPr="00E3199E" w:rsidRDefault="00FF5AE6" w:rsidP="00E3199E">
      <w:pPr>
        <w:pStyle w:val="FootnoteText"/>
        <w:ind w:left="426" w:hanging="426"/>
        <w:rPr>
          <w:rFonts w:ascii="Garamond" w:hAnsi="Garamond"/>
          <w:lang w:val="en-US"/>
        </w:rPr>
      </w:pPr>
      <w:r w:rsidRPr="00E3199E">
        <w:rPr>
          <w:rStyle w:val="FootnoteReference"/>
          <w:rFonts w:ascii="Garamond" w:hAnsi="Garamond"/>
        </w:rPr>
        <w:footnoteRef/>
      </w:r>
      <w:r w:rsidRPr="00E3199E">
        <w:rPr>
          <w:rFonts w:ascii="Garamond" w:hAnsi="Garamond"/>
        </w:rPr>
        <w:t xml:space="preserve">  </w:t>
      </w:r>
      <w:r w:rsidRPr="00E3199E">
        <w:rPr>
          <w:rFonts w:ascii="Garamond" w:hAnsi="Garamond"/>
        </w:rPr>
        <w:tab/>
      </w:r>
      <w:r w:rsidRPr="00E3199E">
        <w:rPr>
          <w:rFonts w:ascii="Garamond" w:hAnsi="Garamond"/>
          <w:i/>
          <w:lang w:val="en-US"/>
        </w:rPr>
        <w:t>County Court Act</w:t>
      </w:r>
      <w:r w:rsidRPr="00E3199E">
        <w:rPr>
          <w:rFonts w:ascii="Garamond" w:hAnsi="Garamond"/>
          <w:lang w:val="en-US"/>
        </w:rPr>
        <w:t xml:space="preserve"> s8E, </w:t>
      </w:r>
      <w:r w:rsidRPr="00E3199E">
        <w:rPr>
          <w:rFonts w:ascii="Garamond" w:hAnsi="Garamond"/>
          <w:i/>
          <w:lang w:val="en-US"/>
        </w:rPr>
        <w:t>Magistrates Court Act</w:t>
      </w:r>
      <w:r w:rsidRPr="00E3199E">
        <w:rPr>
          <w:rFonts w:ascii="Garamond" w:hAnsi="Garamond"/>
          <w:lang w:val="en-US"/>
        </w:rPr>
        <w:t xml:space="preserve"> s12A, </w:t>
      </w:r>
      <w:r w:rsidRPr="00E3199E">
        <w:rPr>
          <w:rFonts w:ascii="Garamond" w:hAnsi="Garamond"/>
          <w:i/>
          <w:lang w:val="en-US"/>
        </w:rPr>
        <w:t>Coroners Court Act</w:t>
      </w:r>
      <w:r w:rsidRPr="00E3199E">
        <w:rPr>
          <w:rFonts w:ascii="Garamond" w:hAnsi="Garamond"/>
          <w:lang w:val="en-US"/>
        </w:rPr>
        <w:t xml:space="preserve"> s95A, </w:t>
      </w:r>
      <w:r w:rsidRPr="00E3199E">
        <w:rPr>
          <w:rFonts w:ascii="Garamond" w:hAnsi="Garamond"/>
          <w:i/>
          <w:lang w:val="en-US"/>
        </w:rPr>
        <w:t>VCAT Act</w:t>
      </w:r>
      <w:r w:rsidRPr="00E3199E">
        <w:rPr>
          <w:rFonts w:ascii="Garamond" w:hAnsi="Garamond"/>
          <w:lang w:val="en-US"/>
        </w:rPr>
        <w:t xml:space="preserve"> s 30 noting broader powers for the Chief Magistrate and President of VCAT. The head of jurisdiction may, however, direct judicial officers participate in professional development or education: </w:t>
      </w:r>
      <w:r w:rsidRPr="00E3199E">
        <w:rPr>
          <w:rFonts w:ascii="Garamond" w:hAnsi="Garamond"/>
        </w:rPr>
        <w:t xml:space="preserve">s28A </w:t>
      </w:r>
      <w:r w:rsidRPr="00E3199E">
        <w:rPr>
          <w:rFonts w:ascii="Garamond" w:hAnsi="Garamond"/>
          <w:i/>
          <w:iCs/>
        </w:rPr>
        <w:t>Supreme Court Act 1986</w:t>
      </w:r>
      <w:r w:rsidRPr="00E3199E">
        <w:rPr>
          <w:rFonts w:ascii="Garamond" w:hAnsi="Garamond"/>
        </w:rPr>
        <w:t xml:space="preserve">; s17AAA </w:t>
      </w:r>
      <w:r w:rsidRPr="00E3199E">
        <w:rPr>
          <w:rFonts w:ascii="Garamond" w:hAnsi="Garamond"/>
          <w:i/>
          <w:iCs/>
        </w:rPr>
        <w:t>County Court Act 1958</w:t>
      </w:r>
      <w:r w:rsidRPr="00E3199E">
        <w:rPr>
          <w:rFonts w:ascii="Garamond" w:hAnsi="Garamond"/>
        </w:rPr>
        <w:t xml:space="preserve">; s13B </w:t>
      </w:r>
      <w:r w:rsidRPr="00E3199E">
        <w:rPr>
          <w:rFonts w:ascii="Garamond" w:hAnsi="Garamond"/>
          <w:i/>
          <w:iCs/>
        </w:rPr>
        <w:t>Magistrates’ Court Act 1989</w:t>
      </w:r>
      <w:r w:rsidRPr="00E3199E">
        <w:rPr>
          <w:rFonts w:ascii="Garamond" w:hAnsi="Garamond"/>
        </w:rPr>
        <w:t xml:space="preserve">; s108 </w:t>
      </w:r>
      <w:r w:rsidRPr="00E3199E">
        <w:rPr>
          <w:rFonts w:ascii="Garamond" w:hAnsi="Garamond"/>
          <w:i/>
          <w:iCs/>
        </w:rPr>
        <w:t>Coroners Act 2008</w:t>
      </w:r>
      <w:r w:rsidRPr="00E3199E">
        <w:rPr>
          <w:rFonts w:ascii="Garamond" w:hAnsi="Garamond"/>
        </w:rPr>
        <w:t xml:space="preserve"> and s38A </w:t>
      </w:r>
      <w:r w:rsidRPr="00E3199E">
        <w:rPr>
          <w:rFonts w:ascii="Garamond" w:hAnsi="Garamond"/>
          <w:i/>
          <w:iCs/>
        </w:rPr>
        <w:t>VCAT Act 1998</w:t>
      </w:r>
      <w:r w:rsidRPr="00E3199E">
        <w:rPr>
          <w:rFonts w:ascii="Garamond" w:hAnsi="Garamond"/>
        </w:rPr>
        <w:t>.</w:t>
      </w:r>
    </w:p>
  </w:footnote>
  <w:footnote w:id="9">
    <w:p w14:paraId="1280C091" w14:textId="77777777" w:rsidR="00FF5AE6" w:rsidRPr="008E3D89" w:rsidRDefault="00FF5AE6" w:rsidP="008E3D89">
      <w:pPr>
        <w:ind w:left="426" w:hanging="426"/>
        <w:jc w:val="both"/>
        <w:rPr>
          <w:rFonts w:ascii="Garamond" w:hAnsi="Garamond"/>
        </w:rPr>
      </w:pPr>
      <w:r w:rsidRPr="00672842">
        <w:rPr>
          <w:rStyle w:val="FootnoteReference"/>
          <w:rFonts w:ascii="Garamond" w:hAnsi="Garamond"/>
        </w:rPr>
        <w:footnoteRef/>
      </w:r>
      <w:r>
        <w:t xml:space="preserve"> </w:t>
      </w:r>
      <w:r w:rsidRPr="008E3D89">
        <w:rPr>
          <w:sz w:val="20"/>
          <w:szCs w:val="20"/>
        </w:rPr>
        <w:tab/>
      </w:r>
      <w:r w:rsidRPr="008E3D89">
        <w:rPr>
          <w:rFonts w:ascii="Garamond" w:hAnsi="Garamond"/>
          <w:sz w:val="20"/>
          <w:szCs w:val="20"/>
        </w:rPr>
        <w:t>The Council of Chief Justices of Australia and New Zealand have established a Guide to Judicial Behaviour. The guidelines urge judicial officers to observe standards of integrity and personal behaviour and offers guidance, but they are not enforceable.</w:t>
      </w:r>
      <w:r w:rsidRPr="008E3D89">
        <w:rPr>
          <w:rFonts w:ascii="Garamond" w:hAnsi="Garamond"/>
        </w:rPr>
        <w:t xml:space="preserve"> </w:t>
      </w:r>
    </w:p>
  </w:footnote>
  <w:footnote w:id="10">
    <w:p w14:paraId="706832DF" w14:textId="77777777" w:rsidR="00485406" w:rsidRPr="00E3199E" w:rsidRDefault="00485406" w:rsidP="00485406">
      <w:pPr>
        <w:pStyle w:val="FootnoteText"/>
        <w:ind w:left="426" w:hanging="426"/>
        <w:rPr>
          <w:rFonts w:ascii="Garamond" w:hAnsi="Garamond"/>
          <w:lang w:val="en-US"/>
        </w:rPr>
      </w:pPr>
      <w:r w:rsidRPr="00E3199E">
        <w:rPr>
          <w:rStyle w:val="FootnoteReference"/>
          <w:rFonts w:ascii="Garamond" w:hAnsi="Garamond"/>
        </w:rPr>
        <w:footnoteRef/>
      </w:r>
      <w:r w:rsidRPr="00E3199E">
        <w:rPr>
          <w:rFonts w:ascii="Garamond" w:hAnsi="Garamond"/>
        </w:rPr>
        <w:t xml:space="preserve"> </w:t>
      </w:r>
      <w:r w:rsidRPr="00E3199E">
        <w:rPr>
          <w:rFonts w:ascii="Garamond" w:hAnsi="Garamond"/>
          <w:lang w:val="en-US"/>
        </w:rPr>
        <w:tab/>
        <w:t xml:space="preserve">As to limitations of the immunity and vicarious liability for the conduct of judicial officers see </w:t>
      </w:r>
      <w:r w:rsidRPr="00E3199E">
        <w:rPr>
          <w:rFonts w:ascii="Garamond" w:hAnsi="Garamond"/>
          <w:i/>
          <w:lang w:val="en-US"/>
        </w:rPr>
        <w:t>Towie v State of Victoria</w:t>
      </w:r>
      <w:r w:rsidRPr="00E3199E">
        <w:rPr>
          <w:rFonts w:ascii="Garamond" w:hAnsi="Garamond"/>
          <w:lang w:val="en-US"/>
        </w:rPr>
        <w:t xml:space="preserve"> (2008) 19 VR 640</w:t>
      </w:r>
      <w:r>
        <w:rPr>
          <w:rFonts w:ascii="Garamond" w:hAnsi="Garamond"/>
          <w:lang w:val="en-US"/>
        </w:rPr>
        <w:t xml:space="preserve"> (</w:t>
      </w:r>
      <w:r>
        <w:rPr>
          <w:rFonts w:ascii="Garamond" w:hAnsi="Garamond"/>
          <w:b/>
          <w:bCs/>
          <w:i/>
          <w:iCs/>
          <w:lang w:val="en-US"/>
        </w:rPr>
        <w:t>Towie</w:t>
      </w:r>
      <w:r>
        <w:rPr>
          <w:rFonts w:ascii="Garamond" w:hAnsi="Garamond"/>
          <w:lang w:val="en-US"/>
        </w:rPr>
        <w:t>).</w:t>
      </w:r>
      <w:r w:rsidRPr="00E3199E">
        <w:rPr>
          <w:rFonts w:ascii="Garamond" w:hAnsi="Garamond"/>
          <w:lang w:val="en-US"/>
        </w:rPr>
        <w:t xml:space="preserve"> </w:t>
      </w:r>
    </w:p>
  </w:footnote>
  <w:footnote w:id="11">
    <w:p w14:paraId="687477B1" w14:textId="77777777" w:rsidR="006877B3" w:rsidRPr="00E60D03" w:rsidRDefault="006877B3" w:rsidP="006877B3">
      <w:pPr>
        <w:pStyle w:val="FootnoteText"/>
        <w:tabs>
          <w:tab w:val="left" w:pos="426"/>
        </w:tabs>
        <w:rPr>
          <w:rFonts w:ascii="Garamond" w:hAnsi="Garamond"/>
        </w:rPr>
      </w:pPr>
      <w:r w:rsidRPr="00E60D03">
        <w:rPr>
          <w:rFonts w:ascii="Garamond" w:hAnsi="Garamond"/>
          <w:vertAlign w:val="superscript"/>
        </w:rPr>
        <w:footnoteRef/>
      </w:r>
      <w:r w:rsidRPr="00E60D03">
        <w:rPr>
          <w:rFonts w:ascii="Garamond" w:hAnsi="Garamond"/>
          <w:vertAlign w:val="superscript"/>
        </w:rPr>
        <w:t xml:space="preserve"> </w:t>
      </w:r>
      <w:r>
        <w:rPr>
          <w:rFonts w:ascii="Garamond" w:hAnsi="Garamond"/>
        </w:rPr>
        <w:tab/>
      </w:r>
      <w:r w:rsidRPr="00E60D03">
        <w:rPr>
          <w:rFonts w:ascii="Garamond" w:hAnsi="Garamond"/>
        </w:rPr>
        <w:t>S28B(7) of the Sex Discrimination Act</w:t>
      </w:r>
      <w:r>
        <w:rPr>
          <w:rFonts w:ascii="Garamond" w:hAnsi="Garamond"/>
        </w:rPr>
        <w:t xml:space="preserve">. </w:t>
      </w:r>
    </w:p>
  </w:footnote>
  <w:footnote w:id="12">
    <w:p w14:paraId="5720A3AE" w14:textId="77777777" w:rsidR="006877B3" w:rsidRPr="006877B3" w:rsidRDefault="006877B3" w:rsidP="006877B3">
      <w:pPr>
        <w:pStyle w:val="FootnoteText"/>
        <w:tabs>
          <w:tab w:val="left" w:pos="426"/>
        </w:tabs>
        <w:rPr>
          <w:rFonts w:ascii="Garamond" w:hAnsi="Garamond"/>
        </w:rPr>
      </w:pPr>
      <w:r w:rsidRPr="006877B3">
        <w:rPr>
          <w:rFonts w:ascii="Garamond" w:hAnsi="Garamond"/>
          <w:vertAlign w:val="superscript"/>
        </w:rPr>
        <w:footnoteRef/>
      </w:r>
      <w:r w:rsidRPr="006877B3">
        <w:rPr>
          <w:rFonts w:ascii="Garamond" w:hAnsi="Garamond"/>
          <w:vertAlign w:val="superscript"/>
        </w:rPr>
        <w:t xml:space="preserve"> </w:t>
      </w:r>
      <w:r>
        <w:rPr>
          <w:rFonts w:ascii="Garamond" w:hAnsi="Garamond"/>
          <w:vertAlign w:val="superscript"/>
        </w:rPr>
        <w:tab/>
      </w:r>
      <w:r w:rsidRPr="006877B3">
        <w:rPr>
          <w:rFonts w:ascii="Garamond" w:hAnsi="Garamond"/>
          <w:i/>
        </w:rPr>
        <w:t>Erwin v Vergara</w:t>
      </w:r>
      <w:r w:rsidRPr="006877B3">
        <w:rPr>
          <w:rFonts w:ascii="Garamond" w:hAnsi="Garamond"/>
        </w:rPr>
        <w:t xml:space="preserve"> (no 3)</w:t>
      </w:r>
      <w:r>
        <w:rPr>
          <w:rFonts w:ascii="Garamond" w:hAnsi="Garamond"/>
          <w:vertAlign w:val="superscript"/>
        </w:rPr>
        <w:t xml:space="preserve"> </w:t>
      </w:r>
      <w:r>
        <w:rPr>
          <w:rFonts w:ascii="Garamond" w:hAnsi="Garamond"/>
        </w:rPr>
        <w:t xml:space="preserve">[2013] FCA 1311; [2013]238 IR 118 </w:t>
      </w:r>
    </w:p>
  </w:footnote>
  <w:footnote w:id="13">
    <w:p w14:paraId="1A343702" w14:textId="77777777" w:rsidR="006877B3" w:rsidRPr="006877B3" w:rsidRDefault="006877B3" w:rsidP="006877B3">
      <w:pPr>
        <w:pStyle w:val="FootnoteText"/>
        <w:ind w:left="567" w:hanging="567"/>
        <w:rPr>
          <w:rStyle w:val="FootnoteReference"/>
          <w:rFonts w:ascii="Garamond" w:hAnsi="Garamond"/>
        </w:rPr>
      </w:pPr>
      <w:r w:rsidRPr="006877B3">
        <w:rPr>
          <w:rStyle w:val="FootnoteReference"/>
          <w:rFonts w:ascii="Garamond" w:hAnsi="Garamond"/>
        </w:rPr>
        <w:footnoteRef/>
      </w:r>
      <w:r w:rsidRPr="006877B3">
        <w:rPr>
          <w:rStyle w:val="FootnoteReference"/>
          <w:rFonts w:ascii="Garamond" w:hAnsi="Garamond"/>
        </w:rPr>
        <w:t xml:space="preserve"> </w:t>
      </w:r>
      <w:r>
        <w:rPr>
          <w:rFonts w:ascii="Garamond" w:hAnsi="Garamond"/>
        </w:rPr>
        <w:tab/>
        <w:t>At 129-130.</w:t>
      </w:r>
    </w:p>
  </w:footnote>
  <w:footnote w:id="14">
    <w:p w14:paraId="602F17AC" w14:textId="77777777" w:rsidR="0025514F" w:rsidRPr="006877B3" w:rsidRDefault="0025514F" w:rsidP="0025514F">
      <w:pPr>
        <w:pStyle w:val="FootnoteText"/>
        <w:ind w:left="567" w:hanging="567"/>
        <w:rPr>
          <w:rStyle w:val="FootnoteReference"/>
          <w:rFonts w:ascii="Garamond" w:hAnsi="Garamond"/>
        </w:rPr>
      </w:pPr>
      <w:r w:rsidRPr="006877B3">
        <w:rPr>
          <w:rStyle w:val="FootnoteReference"/>
          <w:rFonts w:ascii="Garamond" w:hAnsi="Garamond"/>
        </w:rPr>
        <w:footnoteRef/>
      </w:r>
      <w:r w:rsidRPr="006877B3">
        <w:rPr>
          <w:rStyle w:val="FootnoteReference"/>
          <w:rFonts w:ascii="Garamond" w:hAnsi="Garamond"/>
        </w:rPr>
        <w:t xml:space="preserve"> </w:t>
      </w:r>
      <w:r>
        <w:rPr>
          <w:rFonts w:ascii="Garamond" w:hAnsi="Garamond"/>
        </w:rPr>
        <w:tab/>
      </w:r>
      <w:r w:rsidRPr="006877B3">
        <w:rPr>
          <w:rFonts w:ascii="Garamond" w:hAnsi="Garamond"/>
          <w:i/>
        </w:rPr>
        <w:t>Erwin v Vergara</w:t>
      </w:r>
      <w:r w:rsidRPr="006877B3">
        <w:rPr>
          <w:rFonts w:ascii="Garamond" w:hAnsi="Garamond"/>
        </w:rPr>
        <w:t xml:space="preserve"> (no 3)</w:t>
      </w:r>
      <w:r>
        <w:rPr>
          <w:rFonts w:ascii="Garamond" w:hAnsi="Garamond"/>
        </w:rPr>
        <w:t xml:space="preserve"> above n11; </w:t>
      </w:r>
      <w:r w:rsidRPr="00D24EF5">
        <w:rPr>
          <w:rFonts w:ascii="Garamond" w:hAnsi="Garamond"/>
          <w:i/>
        </w:rPr>
        <w:t>South Pacific Resort Hotels Pty Ltd v Trainor</w:t>
      </w:r>
      <w:r>
        <w:rPr>
          <w:rFonts w:ascii="Garamond" w:hAnsi="Garamond"/>
        </w:rPr>
        <w:t xml:space="preserve"> (2005) 144 FCR 402; </w:t>
      </w:r>
      <w:r w:rsidRPr="00D24EF5">
        <w:rPr>
          <w:rFonts w:ascii="Garamond" w:hAnsi="Garamond"/>
          <w:i/>
        </w:rPr>
        <w:t xml:space="preserve">Cross v Hughes </w:t>
      </w:r>
      <w:r>
        <w:rPr>
          <w:rFonts w:ascii="Garamond" w:hAnsi="Garamond"/>
        </w:rPr>
        <w:t>(2006) 233 ALR 108.</w:t>
      </w:r>
    </w:p>
  </w:footnote>
  <w:footnote w:id="15">
    <w:p w14:paraId="09AC1A6C" w14:textId="77777777" w:rsidR="00D93DC2" w:rsidRDefault="00D93DC2" w:rsidP="00D93DC2">
      <w:pPr>
        <w:pStyle w:val="FootnoteText"/>
        <w:ind w:left="-709" w:firstLine="709"/>
      </w:pPr>
      <w:r w:rsidRPr="003057DC">
        <w:rPr>
          <w:rStyle w:val="FootnoteReference"/>
          <w:rFonts w:ascii="Garamond" w:hAnsi="Garamond" w:cstheme="minorHAnsi"/>
        </w:rPr>
        <w:footnoteRef/>
      </w:r>
      <w:r w:rsidRPr="003057DC">
        <w:rPr>
          <w:rFonts w:ascii="Garamond" w:hAnsi="Garamond"/>
        </w:rPr>
        <w:t xml:space="preserve">         </w:t>
      </w:r>
      <w:r w:rsidRPr="003057DC">
        <w:rPr>
          <w:rFonts w:ascii="Garamond" w:hAnsi="Garamond"/>
          <w:i/>
          <w:iCs/>
        </w:rPr>
        <w:t xml:space="preserve">Comcare v PVYW </w:t>
      </w:r>
      <w:r w:rsidRPr="003057DC">
        <w:rPr>
          <w:rFonts w:ascii="Garamond" w:hAnsi="Garamond"/>
        </w:rPr>
        <w:t>[2013] HCA 41</w:t>
      </w:r>
      <w:r>
        <w:rPr>
          <w:rFonts w:ascii="Garamond" w:hAnsi="Garamond"/>
        </w:rPr>
        <w:t xml:space="preserve"> at [35]</w:t>
      </w:r>
      <w:r w:rsidRPr="003057DC">
        <w:rPr>
          <w:rFonts w:ascii="Garamond" w:hAnsi="Garamond"/>
        </w:rPr>
        <w:t xml:space="preserve">.  </w:t>
      </w:r>
    </w:p>
  </w:footnote>
  <w:footnote w:id="16">
    <w:p w14:paraId="2A7E5B28" w14:textId="77777777" w:rsidR="00FF5AE6" w:rsidRPr="00672842" w:rsidRDefault="00FF5AE6" w:rsidP="00672842">
      <w:pPr>
        <w:pStyle w:val="FootnoteText"/>
        <w:ind w:left="567" w:hanging="567"/>
        <w:rPr>
          <w:rFonts w:ascii="Garamond" w:hAnsi="Garamond"/>
          <w:lang w:val="en-US"/>
        </w:rPr>
      </w:pPr>
      <w:r w:rsidRPr="00672842">
        <w:rPr>
          <w:rStyle w:val="FootnoteReference"/>
          <w:rFonts w:ascii="Garamond" w:hAnsi="Garamond"/>
        </w:rPr>
        <w:footnoteRef/>
      </w:r>
      <w:r w:rsidRPr="00672842">
        <w:rPr>
          <w:rFonts w:ascii="Garamond" w:hAnsi="Garamond"/>
        </w:rPr>
        <w:t xml:space="preserve"> </w:t>
      </w:r>
      <w:r w:rsidRPr="00672842">
        <w:rPr>
          <w:rFonts w:ascii="Garamond" w:hAnsi="Garamond"/>
          <w:lang w:val="en-US"/>
        </w:rPr>
        <w:tab/>
      </w:r>
      <w:r w:rsidRPr="00672842">
        <w:rPr>
          <w:rFonts w:ascii="Garamond" w:hAnsi="Garamond"/>
        </w:rPr>
        <w:t>(1997) 191 CLR 1.</w:t>
      </w:r>
    </w:p>
  </w:footnote>
  <w:footnote w:id="17">
    <w:p w14:paraId="4C7BD0AB" w14:textId="77777777" w:rsidR="00FF5AE6" w:rsidRPr="00E3199E" w:rsidRDefault="00FF5AE6" w:rsidP="00E3199E">
      <w:pPr>
        <w:pStyle w:val="FootnoteText"/>
        <w:ind w:left="426" w:hanging="426"/>
        <w:rPr>
          <w:rFonts w:ascii="Garamond" w:hAnsi="Garamond"/>
        </w:rPr>
      </w:pPr>
      <w:r w:rsidRPr="00E3199E">
        <w:rPr>
          <w:rStyle w:val="FootnoteReference"/>
          <w:rFonts w:ascii="Garamond" w:hAnsi="Garamond"/>
        </w:rPr>
        <w:footnoteRef/>
      </w:r>
      <w:r w:rsidRPr="00E3199E">
        <w:rPr>
          <w:rFonts w:ascii="Garamond" w:hAnsi="Garamond"/>
        </w:rPr>
        <w:t xml:space="preserve"> </w:t>
      </w:r>
      <w:r>
        <w:rPr>
          <w:rFonts w:ascii="Garamond" w:hAnsi="Garamond"/>
        </w:rPr>
        <w:tab/>
        <w:t xml:space="preserve">I am unaware of any binding authority on the operation of s105, however, I note the decisions of Deputy Presidents of VCAT and the Victorian Anti-Discrimination Tribunal consistent with this interpretation as </w:t>
      </w:r>
      <w:r w:rsidRPr="00E3199E">
        <w:rPr>
          <w:rFonts w:ascii="Garamond" w:hAnsi="Garamond"/>
        </w:rPr>
        <w:t xml:space="preserve">detailed by my instructors in </w:t>
      </w:r>
      <w:r>
        <w:rPr>
          <w:rFonts w:ascii="Garamond" w:hAnsi="Garamond"/>
        </w:rPr>
        <w:t>my</w:t>
      </w:r>
      <w:r w:rsidRPr="00E3199E">
        <w:rPr>
          <w:rFonts w:ascii="Garamond" w:hAnsi="Garamond"/>
        </w:rPr>
        <w:t xml:space="preserve"> Brief.</w:t>
      </w:r>
    </w:p>
  </w:footnote>
  <w:footnote w:id="18">
    <w:p w14:paraId="4501005F" w14:textId="77777777" w:rsidR="00FF5AE6" w:rsidRPr="00E3199E" w:rsidRDefault="00FF5AE6" w:rsidP="00E3199E">
      <w:pPr>
        <w:pStyle w:val="FootnoteText"/>
        <w:ind w:left="426" w:hanging="426"/>
        <w:rPr>
          <w:rFonts w:ascii="Garamond" w:hAnsi="Garamond"/>
        </w:rPr>
      </w:pPr>
      <w:r w:rsidRPr="00E3199E">
        <w:rPr>
          <w:rStyle w:val="FootnoteReference"/>
          <w:rFonts w:ascii="Garamond" w:hAnsi="Garamond"/>
        </w:rPr>
        <w:footnoteRef/>
      </w:r>
      <w:r w:rsidRPr="00E3199E">
        <w:rPr>
          <w:rFonts w:ascii="Garamond" w:hAnsi="Garamond"/>
        </w:rPr>
        <w:t xml:space="preserve"> </w:t>
      </w:r>
      <w:r>
        <w:rPr>
          <w:rFonts w:ascii="Garamond" w:hAnsi="Garamond"/>
        </w:rPr>
        <w:tab/>
      </w:r>
      <w:r w:rsidRPr="00E3199E">
        <w:rPr>
          <w:rFonts w:ascii="Garamond" w:hAnsi="Garamond"/>
        </w:rPr>
        <w:t xml:space="preserve">See </w:t>
      </w:r>
      <w:r w:rsidRPr="00E3199E">
        <w:rPr>
          <w:rFonts w:ascii="Garamond" w:hAnsi="Garamond"/>
          <w:i/>
          <w:iCs/>
        </w:rPr>
        <w:t>Weber v Deakin University</w:t>
      </w:r>
      <w:r w:rsidRPr="00E3199E">
        <w:rPr>
          <w:rFonts w:ascii="Garamond" w:hAnsi="Garamond"/>
        </w:rPr>
        <w:t xml:space="preserve"> [2014] VCAT 1440; </w:t>
      </w:r>
      <w:r w:rsidRPr="00E3199E">
        <w:rPr>
          <w:rFonts w:ascii="Garamond" w:hAnsi="Garamond"/>
          <w:i/>
          <w:iCs/>
        </w:rPr>
        <w:t>Djime v Kearns (No 2)</w:t>
      </w:r>
      <w:r w:rsidRPr="00E3199E">
        <w:rPr>
          <w:rFonts w:ascii="Garamond" w:hAnsi="Garamond"/>
        </w:rPr>
        <w:t xml:space="preserve"> [2015] VCAT 2055; </w:t>
      </w:r>
      <w:r w:rsidRPr="00E3199E">
        <w:rPr>
          <w:rFonts w:ascii="Garamond" w:hAnsi="Garamond"/>
          <w:i/>
          <w:iCs/>
        </w:rPr>
        <w:t>Cobaw</w:t>
      </w:r>
      <w:r w:rsidRPr="00E3199E">
        <w:rPr>
          <w:rFonts w:ascii="Garamond" w:hAnsi="Garamond"/>
        </w:rPr>
        <w:t xml:space="preserve"> [2014] VSCA 75.</w:t>
      </w:r>
    </w:p>
  </w:footnote>
  <w:footnote w:id="19">
    <w:p w14:paraId="52780498" w14:textId="77777777" w:rsidR="00A21E40" w:rsidRPr="004F376E" w:rsidRDefault="00A21E40" w:rsidP="00A21E40">
      <w:pPr>
        <w:pStyle w:val="FootnoteText"/>
        <w:ind w:left="426" w:hanging="426"/>
        <w:rPr>
          <w:rFonts w:ascii="Garamond" w:hAnsi="Garamond"/>
          <w:lang w:val="en-US"/>
        </w:rPr>
      </w:pPr>
      <w:r w:rsidRPr="004F376E">
        <w:rPr>
          <w:rStyle w:val="FootnoteReference"/>
          <w:rFonts w:ascii="Garamond" w:hAnsi="Garamond"/>
        </w:rPr>
        <w:footnoteRef/>
      </w:r>
      <w:r w:rsidRPr="004F376E">
        <w:rPr>
          <w:rFonts w:ascii="Garamond" w:hAnsi="Garamond"/>
        </w:rPr>
        <w:t xml:space="preserve"> </w:t>
      </w:r>
      <w:r>
        <w:rPr>
          <w:rFonts w:ascii="Garamond" w:hAnsi="Garamond"/>
        </w:rPr>
        <w:t xml:space="preserve"> </w:t>
      </w:r>
      <w:r>
        <w:rPr>
          <w:rFonts w:ascii="Garamond" w:hAnsi="Garamond"/>
        </w:rPr>
        <w:tab/>
        <w:t xml:space="preserve">Recommendations of Australian Law Reform Commission 1994 </w:t>
      </w:r>
      <w:r w:rsidRPr="004F376E">
        <w:rPr>
          <w:rFonts w:ascii="Garamond" w:hAnsi="Garamond"/>
          <w:i/>
        </w:rPr>
        <w:t>Equality Before the Law Part 1</w:t>
      </w:r>
      <w:r>
        <w:rPr>
          <w:rFonts w:ascii="Garamond" w:hAnsi="Garamond"/>
          <w:i/>
        </w:rPr>
        <w:t xml:space="preserve"> </w:t>
      </w:r>
      <w:r>
        <w:rPr>
          <w:rFonts w:ascii="Garamond" w:hAnsi="Garamond"/>
        </w:rPr>
        <w:t xml:space="preserve">Recommendations 3.3 to 3.5; Law Council of Australia </w:t>
      </w:r>
      <w:r w:rsidRPr="00D24EF5">
        <w:rPr>
          <w:rFonts w:ascii="Garamond" w:hAnsi="Garamond"/>
          <w:i/>
        </w:rPr>
        <w:t>Submission to the Senate Standing Committee on legal and Constitutional Affairs Inquiry into the Effectiveness of the Commonwealth Sex Discrimination Act 1984 in Eliminating Discrimination and Promoting Gender Equity</w:t>
      </w:r>
      <w:r>
        <w:rPr>
          <w:rFonts w:ascii="Garamond" w:hAnsi="Garamond"/>
        </w:rPr>
        <w:t xml:space="preserve"> 15 August 2008; </w:t>
      </w:r>
      <w:r w:rsidRPr="00FE5E3E">
        <w:rPr>
          <w:rFonts w:ascii="Garamond" w:hAnsi="Garamond"/>
          <w:i/>
        </w:rPr>
        <w:t xml:space="preserve">Respect@Work,: Sexual Harassment National Inquiry Report </w:t>
      </w:r>
      <w:r>
        <w:rPr>
          <w:rFonts w:ascii="Garamond" w:hAnsi="Garamond"/>
        </w:rPr>
        <w:t xml:space="preserve">Australian Human Rights Commission 2020 </w:t>
      </w:r>
      <w:r w:rsidR="00A162EB">
        <w:rPr>
          <w:rFonts w:ascii="Garamond" w:hAnsi="Garamond"/>
        </w:rPr>
        <w:t>R</w:t>
      </w:r>
      <w:r>
        <w:rPr>
          <w:rFonts w:ascii="Garamond" w:hAnsi="Garamond"/>
        </w:rPr>
        <w:t xml:space="preserve">ecommendation 19. </w:t>
      </w:r>
    </w:p>
  </w:footnote>
  <w:footnote w:id="20">
    <w:p w14:paraId="61550B04" w14:textId="77777777" w:rsidR="00FF5AE6" w:rsidRPr="00E3199E" w:rsidRDefault="00FF5AE6" w:rsidP="00E3199E">
      <w:pPr>
        <w:pStyle w:val="FootnoteText"/>
        <w:ind w:left="426" w:hanging="426"/>
        <w:rPr>
          <w:rFonts w:ascii="Garamond" w:hAnsi="Garamond"/>
        </w:rPr>
      </w:pPr>
      <w:r w:rsidRPr="00E3199E">
        <w:rPr>
          <w:rStyle w:val="FootnoteReference"/>
          <w:rFonts w:ascii="Garamond" w:hAnsi="Garamond"/>
        </w:rPr>
        <w:footnoteRef/>
      </w:r>
      <w:r w:rsidRPr="00E3199E">
        <w:rPr>
          <w:rFonts w:ascii="Garamond" w:hAnsi="Garamond"/>
        </w:rPr>
        <w:t xml:space="preserve"> </w:t>
      </w:r>
      <w:r>
        <w:rPr>
          <w:rFonts w:ascii="Garamond" w:hAnsi="Garamond"/>
        </w:rPr>
        <w:tab/>
      </w:r>
      <w:r w:rsidRPr="00E3199E">
        <w:rPr>
          <w:rFonts w:ascii="Garamond" w:hAnsi="Garamond"/>
        </w:rPr>
        <w:t>And in particular, in cases where an independent contractor has been injured whilst undertaking work at a third party site, and a prosecution is brought against the third party, rather than the independent contractor itself.</w:t>
      </w:r>
    </w:p>
  </w:footnote>
  <w:footnote w:id="21">
    <w:p w14:paraId="16948374" w14:textId="77777777" w:rsidR="00FF5AE6" w:rsidRPr="00E3199E" w:rsidRDefault="00FF5AE6" w:rsidP="00E3199E">
      <w:pPr>
        <w:pStyle w:val="FootnoteText"/>
        <w:ind w:left="426" w:hanging="426"/>
        <w:rPr>
          <w:rFonts w:ascii="Garamond" w:hAnsi="Garamond"/>
        </w:rPr>
      </w:pPr>
      <w:r w:rsidRPr="00E3199E">
        <w:rPr>
          <w:rStyle w:val="FootnoteReference"/>
          <w:rFonts w:ascii="Garamond" w:hAnsi="Garamond"/>
        </w:rPr>
        <w:footnoteRef/>
      </w:r>
      <w:r w:rsidRPr="00E3199E">
        <w:rPr>
          <w:rFonts w:ascii="Garamond" w:hAnsi="Garamond"/>
        </w:rPr>
        <w:t xml:space="preserve"> </w:t>
      </w:r>
      <w:r>
        <w:rPr>
          <w:rFonts w:ascii="Garamond" w:hAnsi="Garamond"/>
        </w:rPr>
        <w:tab/>
      </w:r>
      <w:r w:rsidRPr="00E3199E">
        <w:rPr>
          <w:rFonts w:ascii="Garamond" w:hAnsi="Garamond"/>
        </w:rPr>
        <w:t xml:space="preserve">See for example, </w:t>
      </w:r>
      <w:r w:rsidRPr="00E3199E">
        <w:rPr>
          <w:rFonts w:ascii="Garamond" w:hAnsi="Garamond"/>
          <w:i/>
          <w:iCs/>
        </w:rPr>
        <w:t xml:space="preserve">Keillor Melton Quarries v The Queen </w:t>
      </w:r>
      <w:r w:rsidRPr="00E3199E">
        <w:rPr>
          <w:rFonts w:ascii="Garamond" w:hAnsi="Garamond"/>
        </w:rPr>
        <w:t xml:space="preserve">[2020] VSCA 169; </w:t>
      </w:r>
      <w:r w:rsidRPr="00E3199E">
        <w:rPr>
          <w:rFonts w:ascii="Garamond" w:hAnsi="Garamond"/>
          <w:i/>
          <w:iCs/>
        </w:rPr>
        <w:t>Baiada Poultry v the Queen</w:t>
      </w:r>
      <w:r w:rsidRPr="00E3199E">
        <w:rPr>
          <w:rFonts w:ascii="Garamond" w:hAnsi="Garamond"/>
        </w:rPr>
        <w:t xml:space="preserve"> </w:t>
      </w:r>
      <w:r w:rsidR="00D24EF5">
        <w:rPr>
          <w:rFonts w:ascii="Garamond" w:hAnsi="Garamond"/>
        </w:rPr>
        <w:t xml:space="preserve">[2012] HCA 14, 246 CLR 92 </w:t>
      </w:r>
      <w:r w:rsidRPr="00E3199E">
        <w:rPr>
          <w:rFonts w:ascii="Garamond" w:hAnsi="Garamond"/>
        </w:rPr>
        <w:t xml:space="preserve">and </w:t>
      </w:r>
      <w:r w:rsidRPr="00E3199E">
        <w:rPr>
          <w:rFonts w:ascii="Garamond" w:hAnsi="Garamond"/>
          <w:i/>
          <w:iCs/>
        </w:rPr>
        <w:t>Reilly v Devcon Australia Pty Ltd</w:t>
      </w:r>
      <w:r w:rsidRPr="00E3199E">
        <w:rPr>
          <w:rFonts w:ascii="Garamond" w:hAnsi="Garamond"/>
        </w:rPr>
        <w:t>.</w:t>
      </w:r>
      <w:r w:rsidR="00D24EF5">
        <w:rPr>
          <w:rFonts w:ascii="Garamond" w:hAnsi="Garamond"/>
        </w:rPr>
        <w:t xml:space="preserve"> [2008] WASCA 84; 36 WAR 492.</w:t>
      </w:r>
    </w:p>
  </w:footnote>
  <w:footnote w:id="22">
    <w:p w14:paraId="5A83BB4D" w14:textId="77777777" w:rsidR="00FF5AE6" w:rsidRPr="00E3199E" w:rsidRDefault="00FF5AE6" w:rsidP="00E3199E">
      <w:pPr>
        <w:pStyle w:val="FootnoteText"/>
        <w:ind w:left="426" w:hanging="426"/>
        <w:rPr>
          <w:rFonts w:ascii="Garamond" w:hAnsi="Garamond"/>
          <w:i/>
          <w:iCs/>
        </w:rPr>
      </w:pPr>
      <w:r w:rsidRPr="00E3199E">
        <w:rPr>
          <w:rStyle w:val="FootnoteReference"/>
          <w:rFonts w:ascii="Garamond" w:hAnsi="Garamond"/>
        </w:rPr>
        <w:footnoteRef/>
      </w:r>
      <w:r w:rsidRPr="00E3199E">
        <w:rPr>
          <w:rFonts w:ascii="Garamond" w:hAnsi="Garamond"/>
        </w:rPr>
        <w:t xml:space="preserve"> </w:t>
      </w:r>
      <w:r>
        <w:rPr>
          <w:rFonts w:ascii="Garamond" w:hAnsi="Garamond"/>
        </w:rPr>
        <w:tab/>
      </w:r>
      <w:r w:rsidRPr="00E3199E">
        <w:rPr>
          <w:rFonts w:ascii="Garamond" w:hAnsi="Garamond"/>
          <w:i/>
          <w:iCs/>
        </w:rPr>
        <w:t>Reilly v Devcon Australia Pty Ltd.</w:t>
      </w:r>
    </w:p>
  </w:footnote>
  <w:footnote w:id="23">
    <w:p w14:paraId="0AB561BA" w14:textId="77777777" w:rsidR="00FF5AE6" w:rsidRPr="00E3199E" w:rsidRDefault="00FF5AE6" w:rsidP="00E3199E">
      <w:pPr>
        <w:pStyle w:val="FootnoteText"/>
        <w:ind w:left="426" w:hanging="426"/>
        <w:rPr>
          <w:rFonts w:ascii="Garamond" w:hAnsi="Garamond"/>
        </w:rPr>
      </w:pPr>
      <w:r w:rsidRPr="00E3199E">
        <w:rPr>
          <w:rStyle w:val="FootnoteReference"/>
          <w:rFonts w:ascii="Garamond" w:hAnsi="Garamond"/>
        </w:rPr>
        <w:footnoteRef/>
      </w:r>
      <w:r w:rsidRPr="00E3199E">
        <w:rPr>
          <w:rFonts w:ascii="Garamond" w:hAnsi="Garamond"/>
        </w:rPr>
        <w:t xml:space="preserve"> </w:t>
      </w:r>
      <w:r>
        <w:rPr>
          <w:rFonts w:ascii="Garamond" w:hAnsi="Garamond"/>
        </w:rPr>
        <w:tab/>
      </w:r>
      <w:r w:rsidRPr="00E3199E">
        <w:rPr>
          <w:rFonts w:ascii="Garamond" w:hAnsi="Garamond"/>
        </w:rPr>
        <w:t>Ibid.</w:t>
      </w:r>
    </w:p>
  </w:footnote>
  <w:footnote w:id="24">
    <w:p w14:paraId="6B72CD7F" w14:textId="77777777" w:rsidR="00FF5AE6" w:rsidRPr="00E3199E" w:rsidRDefault="00FF5AE6" w:rsidP="00E3199E">
      <w:pPr>
        <w:pStyle w:val="FootnoteText"/>
        <w:ind w:left="426" w:hanging="426"/>
        <w:rPr>
          <w:rFonts w:ascii="Garamond" w:hAnsi="Garamond"/>
        </w:rPr>
      </w:pPr>
      <w:r w:rsidRPr="00E3199E">
        <w:rPr>
          <w:rStyle w:val="FootnoteReference"/>
          <w:rFonts w:ascii="Garamond" w:hAnsi="Garamond"/>
        </w:rPr>
        <w:footnoteRef/>
      </w:r>
      <w:r w:rsidRPr="00E3199E">
        <w:rPr>
          <w:rFonts w:ascii="Garamond" w:hAnsi="Garamond"/>
        </w:rPr>
        <w:t xml:space="preserve"> </w:t>
      </w:r>
      <w:r>
        <w:rPr>
          <w:rFonts w:ascii="Garamond" w:hAnsi="Garamond"/>
        </w:rPr>
        <w:tab/>
      </w:r>
      <w:r w:rsidRPr="00E3199E">
        <w:rPr>
          <w:rFonts w:ascii="Garamond" w:hAnsi="Garamond"/>
          <w:i/>
          <w:iCs/>
        </w:rPr>
        <w:t>Baiada.</w:t>
      </w:r>
    </w:p>
  </w:footnote>
  <w:footnote w:id="25">
    <w:p w14:paraId="2E42726E" w14:textId="77777777" w:rsidR="00FF5AE6" w:rsidRPr="00E3199E" w:rsidRDefault="00FF5AE6" w:rsidP="00E3199E">
      <w:pPr>
        <w:pStyle w:val="FootnoteText"/>
        <w:ind w:left="426" w:hanging="426"/>
        <w:rPr>
          <w:rFonts w:ascii="Garamond" w:hAnsi="Garamond"/>
        </w:rPr>
      </w:pPr>
      <w:r w:rsidRPr="00E3199E">
        <w:rPr>
          <w:rStyle w:val="FootnoteReference"/>
          <w:rFonts w:ascii="Garamond" w:hAnsi="Garamond"/>
        </w:rPr>
        <w:footnoteRef/>
      </w:r>
      <w:r w:rsidRPr="00E3199E">
        <w:rPr>
          <w:rFonts w:ascii="Garamond" w:hAnsi="Garamond"/>
        </w:rPr>
        <w:t xml:space="preserve"> </w:t>
      </w:r>
      <w:r>
        <w:rPr>
          <w:rFonts w:ascii="Garamond" w:hAnsi="Garamond"/>
        </w:rPr>
        <w:t xml:space="preserve"> </w:t>
      </w:r>
      <w:r>
        <w:rPr>
          <w:rFonts w:ascii="Garamond" w:hAnsi="Garamond"/>
        </w:rPr>
        <w:tab/>
      </w:r>
      <w:r w:rsidRPr="00E3199E">
        <w:rPr>
          <w:rFonts w:ascii="Garamond" w:hAnsi="Garamond"/>
        </w:rPr>
        <w:t>See for examples sections 21 and 23 of the OHS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F199" w14:textId="5D6F2BBC" w:rsidR="00FF5AE6" w:rsidRDefault="00EF2DBC">
    <w:pPr>
      <w:pStyle w:val="Header"/>
    </w:pPr>
    <w:r>
      <w:rPr>
        <w:noProof/>
        <w:lang w:val="en-US"/>
      </w:rPr>
      <w:drawing>
        <wp:anchor distT="0" distB="0" distL="114300" distR="114300" simplePos="0" relativeHeight="251655680" behindDoc="1" locked="0" layoutInCell="1" allowOverlap="1" wp14:anchorId="0CEDC236" wp14:editId="598E5A01">
          <wp:simplePos x="0" y="0"/>
          <wp:positionH relativeFrom="page">
            <wp:posOffset>23813</wp:posOffset>
          </wp:positionH>
          <wp:positionV relativeFrom="page">
            <wp:posOffset>25083</wp:posOffset>
          </wp:positionV>
          <wp:extent cx="7555211" cy="10678878"/>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555211" cy="1067887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1881"/>
    <w:multiLevelType w:val="hybridMultilevel"/>
    <w:tmpl w:val="7E9D0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5B7677"/>
    <w:multiLevelType w:val="hybridMultilevel"/>
    <w:tmpl w:val="A6466B76"/>
    <w:lvl w:ilvl="0" w:tplc="0C09000F">
      <w:start w:val="1"/>
      <w:numFmt w:val="decimal"/>
      <w:lvlText w:val="%1."/>
      <w:lvlJc w:val="left"/>
      <w:pPr>
        <w:ind w:left="862" w:hanging="360"/>
      </w:p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2" w15:restartNumberingAfterBreak="0">
    <w:nsid w:val="18A52000"/>
    <w:multiLevelType w:val="hybridMultilevel"/>
    <w:tmpl w:val="C09CD2EE"/>
    <w:lvl w:ilvl="0" w:tplc="08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211D4"/>
    <w:multiLevelType w:val="hybridMultilevel"/>
    <w:tmpl w:val="CE542CDE"/>
    <w:lvl w:ilvl="0" w:tplc="B5D8A5B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1D7472"/>
    <w:multiLevelType w:val="hybridMultilevel"/>
    <w:tmpl w:val="8C60D3AC"/>
    <w:lvl w:ilvl="0" w:tplc="3208B71E">
      <w:start w:val="1"/>
      <w:numFmt w:val="decimal"/>
      <w:lvlText w:val="(%1)"/>
      <w:lvlJc w:val="left"/>
      <w:pPr>
        <w:ind w:left="1440" w:hanging="50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5" w15:restartNumberingAfterBreak="0">
    <w:nsid w:val="315955E7"/>
    <w:multiLevelType w:val="hybridMultilevel"/>
    <w:tmpl w:val="A69C2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320FD3"/>
    <w:multiLevelType w:val="hybridMultilevel"/>
    <w:tmpl w:val="F4340A6A"/>
    <w:lvl w:ilvl="0" w:tplc="DC1A4A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901BA8"/>
    <w:multiLevelType w:val="hybridMultilevel"/>
    <w:tmpl w:val="76481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FF42B7"/>
    <w:multiLevelType w:val="hybridMultilevel"/>
    <w:tmpl w:val="327AECA2"/>
    <w:lvl w:ilvl="0" w:tplc="61B6EB6C">
      <w:start w:val="1"/>
      <w:numFmt w:val="decimal"/>
      <w:lvlText w:val="(%1)"/>
      <w:lvlJc w:val="left"/>
      <w:pPr>
        <w:ind w:left="1347" w:hanging="580"/>
      </w:pPr>
      <w:rPr>
        <w:rFonts w:hint="default"/>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9" w15:restartNumberingAfterBreak="0">
    <w:nsid w:val="53B1731E"/>
    <w:multiLevelType w:val="multilevel"/>
    <w:tmpl w:val="19F2E05C"/>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955892"/>
    <w:multiLevelType w:val="hybridMultilevel"/>
    <w:tmpl w:val="280A55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9F605D"/>
    <w:multiLevelType w:val="hybridMultilevel"/>
    <w:tmpl w:val="4C888A68"/>
    <w:lvl w:ilvl="0" w:tplc="FFFFFFF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BA42FE"/>
    <w:multiLevelType w:val="hybridMultilevel"/>
    <w:tmpl w:val="C5C49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A0597E"/>
    <w:multiLevelType w:val="hybridMultilevel"/>
    <w:tmpl w:val="0F64C9CA"/>
    <w:lvl w:ilvl="0" w:tplc="FFFFFFF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B61F85"/>
    <w:multiLevelType w:val="hybridMultilevel"/>
    <w:tmpl w:val="5CA81262"/>
    <w:lvl w:ilvl="0" w:tplc="8A7899D8">
      <w:start w:val="3"/>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581B7E"/>
    <w:multiLevelType w:val="hybridMultilevel"/>
    <w:tmpl w:val="F4340A6A"/>
    <w:lvl w:ilvl="0" w:tplc="DC1A4A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lvlOverride w:ilvl="0">
      <w:startOverride w:val="13"/>
    </w:lvlOverride>
  </w:num>
  <w:num w:numId="3">
    <w:abstractNumId w:val="9"/>
    <w:lvlOverride w:ilvl="0">
      <w:startOverride w:val="14"/>
    </w:lvlOverride>
  </w:num>
  <w:num w:numId="4">
    <w:abstractNumId w:val="9"/>
    <w:lvlOverride w:ilvl="0">
      <w:startOverride w:val="15"/>
    </w:lvlOverride>
  </w:num>
  <w:num w:numId="5">
    <w:abstractNumId w:val="9"/>
    <w:lvlOverride w:ilvl="0">
      <w:startOverride w:val="16"/>
    </w:lvlOverride>
  </w:num>
  <w:num w:numId="6">
    <w:abstractNumId w:val="5"/>
  </w:num>
  <w:num w:numId="7">
    <w:abstractNumId w:val="14"/>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2"/>
  </w:num>
  <w:num w:numId="13">
    <w:abstractNumId w:val="4"/>
  </w:num>
  <w:num w:numId="14">
    <w:abstractNumId w:val="15"/>
  </w:num>
  <w:num w:numId="15">
    <w:abstractNumId w:val="8"/>
  </w:num>
  <w:num w:numId="16">
    <w:abstractNumId w:val="0"/>
  </w:num>
  <w:num w:numId="17">
    <w:abstractNumId w:val="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44"/>
    <w:rsid w:val="0000188F"/>
    <w:rsid w:val="00011A9D"/>
    <w:rsid w:val="000137E5"/>
    <w:rsid w:val="0005259B"/>
    <w:rsid w:val="000631C3"/>
    <w:rsid w:val="00064267"/>
    <w:rsid w:val="0006594A"/>
    <w:rsid w:val="00067A05"/>
    <w:rsid w:val="00074CB2"/>
    <w:rsid w:val="00087727"/>
    <w:rsid w:val="00091966"/>
    <w:rsid w:val="00093629"/>
    <w:rsid w:val="000945FF"/>
    <w:rsid w:val="00095F27"/>
    <w:rsid w:val="000A03F2"/>
    <w:rsid w:val="000A5540"/>
    <w:rsid w:val="000A5E32"/>
    <w:rsid w:val="000B2DE2"/>
    <w:rsid w:val="000C79C7"/>
    <w:rsid w:val="000D1FB5"/>
    <w:rsid w:val="000E0E58"/>
    <w:rsid w:val="000E1334"/>
    <w:rsid w:val="000E3EF5"/>
    <w:rsid w:val="000F375A"/>
    <w:rsid w:val="000F5CC6"/>
    <w:rsid w:val="000F6D08"/>
    <w:rsid w:val="00106B3D"/>
    <w:rsid w:val="00125F16"/>
    <w:rsid w:val="001268BC"/>
    <w:rsid w:val="00130219"/>
    <w:rsid w:val="001332C7"/>
    <w:rsid w:val="00134380"/>
    <w:rsid w:val="0015227C"/>
    <w:rsid w:val="001550AB"/>
    <w:rsid w:val="00160C9D"/>
    <w:rsid w:val="001640EF"/>
    <w:rsid w:val="001778D5"/>
    <w:rsid w:val="00183B03"/>
    <w:rsid w:val="001931B7"/>
    <w:rsid w:val="00193D30"/>
    <w:rsid w:val="0019419F"/>
    <w:rsid w:val="00195FA8"/>
    <w:rsid w:val="001A098E"/>
    <w:rsid w:val="001A3579"/>
    <w:rsid w:val="001A38EC"/>
    <w:rsid w:val="001B0911"/>
    <w:rsid w:val="001B43DA"/>
    <w:rsid w:val="001C6974"/>
    <w:rsid w:val="001C75EC"/>
    <w:rsid w:val="001C7BED"/>
    <w:rsid w:val="001D485B"/>
    <w:rsid w:val="001D7B9C"/>
    <w:rsid w:val="001E11A9"/>
    <w:rsid w:val="001E33D1"/>
    <w:rsid w:val="001E4185"/>
    <w:rsid w:val="001E6D72"/>
    <w:rsid w:val="001F021D"/>
    <w:rsid w:val="001F29DA"/>
    <w:rsid w:val="001F534D"/>
    <w:rsid w:val="002060BA"/>
    <w:rsid w:val="00214DA0"/>
    <w:rsid w:val="002207D1"/>
    <w:rsid w:val="00221134"/>
    <w:rsid w:val="00231F4F"/>
    <w:rsid w:val="00240D5B"/>
    <w:rsid w:val="00241F9A"/>
    <w:rsid w:val="00243E5A"/>
    <w:rsid w:val="0025283E"/>
    <w:rsid w:val="00253916"/>
    <w:rsid w:val="0025514F"/>
    <w:rsid w:val="00256BC0"/>
    <w:rsid w:val="002647A1"/>
    <w:rsid w:val="00264C19"/>
    <w:rsid w:val="00267EE0"/>
    <w:rsid w:val="002718BE"/>
    <w:rsid w:val="0027799B"/>
    <w:rsid w:val="00293267"/>
    <w:rsid w:val="002939B8"/>
    <w:rsid w:val="00294ABC"/>
    <w:rsid w:val="0029550D"/>
    <w:rsid w:val="0029595C"/>
    <w:rsid w:val="002A0545"/>
    <w:rsid w:val="002B1ED5"/>
    <w:rsid w:val="002B645A"/>
    <w:rsid w:val="002B7BB1"/>
    <w:rsid w:val="002C01CF"/>
    <w:rsid w:val="002C4823"/>
    <w:rsid w:val="002C74BE"/>
    <w:rsid w:val="002D479D"/>
    <w:rsid w:val="002E05BA"/>
    <w:rsid w:val="002E1644"/>
    <w:rsid w:val="002E1FAE"/>
    <w:rsid w:val="002E3760"/>
    <w:rsid w:val="002F0431"/>
    <w:rsid w:val="003057DC"/>
    <w:rsid w:val="0031236C"/>
    <w:rsid w:val="00326D54"/>
    <w:rsid w:val="0033207C"/>
    <w:rsid w:val="00332252"/>
    <w:rsid w:val="00332E6E"/>
    <w:rsid w:val="00333DF3"/>
    <w:rsid w:val="00334CDA"/>
    <w:rsid w:val="0035440F"/>
    <w:rsid w:val="00365302"/>
    <w:rsid w:val="003721A9"/>
    <w:rsid w:val="00372310"/>
    <w:rsid w:val="0037271A"/>
    <w:rsid w:val="0037788A"/>
    <w:rsid w:val="00386FD9"/>
    <w:rsid w:val="0039598E"/>
    <w:rsid w:val="0039606A"/>
    <w:rsid w:val="003A13FB"/>
    <w:rsid w:val="003B3D80"/>
    <w:rsid w:val="003D05CB"/>
    <w:rsid w:val="003D45E7"/>
    <w:rsid w:val="003D71C7"/>
    <w:rsid w:val="003E20D8"/>
    <w:rsid w:val="003F5C72"/>
    <w:rsid w:val="004004B1"/>
    <w:rsid w:val="00400822"/>
    <w:rsid w:val="00403B9F"/>
    <w:rsid w:val="00420557"/>
    <w:rsid w:val="00425E43"/>
    <w:rsid w:val="0043291C"/>
    <w:rsid w:val="004360A4"/>
    <w:rsid w:val="004418FB"/>
    <w:rsid w:val="0044651A"/>
    <w:rsid w:val="004574A9"/>
    <w:rsid w:val="00465184"/>
    <w:rsid w:val="00482877"/>
    <w:rsid w:val="0048453D"/>
    <w:rsid w:val="00485406"/>
    <w:rsid w:val="004953B7"/>
    <w:rsid w:val="00496F63"/>
    <w:rsid w:val="004B363F"/>
    <w:rsid w:val="004B446C"/>
    <w:rsid w:val="004C3A28"/>
    <w:rsid w:val="004C6E49"/>
    <w:rsid w:val="004D420B"/>
    <w:rsid w:val="004E4D88"/>
    <w:rsid w:val="004E6338"/>
    <w:rsid w:val="004F0A74"/>
    <w:rsid w:val="004F1B77"/>
    <w:rsid w:val="004F376E"/>
    <w:rsid w:val="004F7370"/>
    <w:rsid w:val="004F7570"/>
    <w:rsid w:val="005033CC"/>
    <w:rsid w:val="005035F9"/>
    <w:rsid w:val="00503C34"/>
    <w:rsid w:val="00516B3A"/>
    <w:rsid w:val="00521984"/>
    <w:rsid w:val="0053125B"/>
    <w:rsid w:val="00532859"/>
    <w:rsid w:val="00535F0F"/>
    <w:rsid w:val="005429DD"/>
    <w:rsid w:val="005611FE"/>
    <w:rsid w:val="00567D4F"/>
    <w:rsid w:val="00574FC4"/>
    <w:rsid w:val="00581DB9"/>
    <w:rsid w:val="00582784"/>
    <w:rsid w:val="00587FF9"/>
    <w:rsid w:val="00592448"/>
    <w:rsid w:val="005925BB"/>
    <w:rsid w:val="00593B39"/>
    <w:rsid w:val="005A0BAF"/>
    <w:rsid w:val="005A6E27"/>
    <w:rsid w:val="005B1459"/>
    <w:rsid w:val="005C350E"/>
    <w:rsid w:val="005C7DAC"/>
    <w:rsid w:val="005D099E"/>
    <w:rsid w:val="005E0943"/>
    <w:rsid w:val="005E1548"/>
    <w:rsid w:val="005E4874"/>
    <w:rsid w:val="005E4F8A"/>
    <w:rsid w:val="005F5754"/>
    <w:rsid w:val="005F6009"/>
    <w:rsid w:val="00600C4D"/>
    <w:rsid w:val="00605F49"/>
    <w:rsid w:val="0061246A"/>
    <w:rsid w:val="00612FC5"/>
    <w:rsid w:val="0061304C"/>
    <w:rsid w:val="00617CC9"/>
    <w:rsid w:val="00622067"/>
    <w:rsid w:val="00625574"/>
    <w:rsid w:val="00627C6A"/>
    <w:rsid w:val="006374B2"/>
    <w:rsid w:val="00643D59"/>
    <w:rsid w:val="00643E87"/>
    <w:rsid w:val="00657DAF"/>
    <w:rsid w:val="006619F8"/>
    <w:rsid w:val="00672842"/>
    <w:rsid w:val="0068081B"/>
    <w:rsid w:val="00681B1A"/>
    <w:rsid w:val="00681C69"/>
    <w:rsid w:val="00681C71"/>
    <w:rsid w:val="006823A0"/>
    <w:rsid w:val="00684F65"/>
    <w:rsid w:val="006877B3"/>
    <w:rsid w:val="0069124D"/>
    <w:rsid w:val="006A12FD"/>
    <w:rsid w:val="006A34E8"/>
    <w:rsid w:val="006A4D2B"/>
    <w:rsid w:val="006B08B1"/>
    <w:rsid w:val="006B11D0"/>
    <w:rsid w:val="006C13F1"/>
    <w:rsid w:val="006C652B"/>
    <w:rsid w:val="006D0AE7"/>
    <w:rsid w:val="006D32DD"/>
    <w:rsid w:val="006E0398"/>
    <w:rsid w:val="006F0971"/>
    <w:rsid w:val="006F7E8C"/>
    <w:rsid w:val="006F7F64"/>
    <w:rsid w:val="007053D1"/>
    <w:rsid w:val="00706E50"/>
    <w:rsid w:val="00710C5B"/>
    <w:rsid w:val="0071203C"/>
    <w:rsid w:val="007248CD"/>
    <w:rsid w:val="0073773E"/>
    <w:rsid w:val="007416CF"/>
    <w:rsid w:val="0074222C"/>
    <w:rsid w:val="00750889"/>
    <w:rsid w:val="00757F1A"/>
    <w:rsid w:val="00771094"/>
    <w:rsid w:val="00773C60"/>
    <w:rsid w:val="0077487A"/>
    <w:rsid w:val="007803DB"/>
    <w:rsid w:val="0078130B"/>
    <w:rsid w:val="007A054B"/>
    <w:rsid w:val="007A28CC"/>
    <w:rsid w:val="007B0997"/>
    <w:rsid w:val="007B4368"/>
    <w:rsid w:val="007B6AE5"/>
    <w:rsid w:val="007C2C41"/>
    <w:rsid w:val="007C43F9"/>
    <w:rsid w:val="007C7C37"/>
    <w:rsid w:val="007C7F47"/>
    <w:rsid w:val="007D3F94"/>
    <w:rsid w:val="007D4F56"/>
    <w:rsid w:val="007E084C"/>
    <w:rsid w:val="007E5DC3"/>
    <w:rsid w:val="007F09C2"/>
    <w:rsid w:val="007F3D95"/>
    <w:rsid w:val="00807763"/>
    <w:rsid w:val="008163EC"/>
    <w:rsid w:val="008212E5"/>
    <w:rsid w:val="008230F1"/>
    <w:rsid w:val="008230FC"/>
    <w:rsid w:val="00826A0D"/>
    <w:rsid w:val="00842ACB"/>
    <w:rsid w:val="008548E5"/>
    <w:rsid w:val="00860AC8"/>
    <w:rsid w:val="008644D8"/>
    <w:rsid w:val="00877ED0"/>
    <w:rsid w:val="00880428"/>
    <w:rsid w:val="0088315E"/>
    <w:rsid w:val="008A3372"/>
    <w:rsid w:val="008A4C2E"/>
    <w:rsid w:val="008B3295"/>
    <w:rsid w:val="008B3E90"/>
    <w:rsid w:val="008B4A15"/>
    <w:rsid w:val="008C5E95"/>
    <w:rsid w:val="008C6C78"/>
    <w:rsid w:val="008E3D89"/>
    <w:rsid w:val="008F170D"/>
    <w:rsid w:val="008F1EC3"/>
    <w:rsid w:val="008F62EC"/>
    <w:rsid w:val="008F6EFA"/>
    <w:rsid w:val="00914BDD"/>
    <w:rsid w:val="00921BF1"/>
    <w:rsid w:val="00921F15"/>
    <w:rsid w:val="0093259D"/>
    <w:rsid w:val="00935A1D"/>
    <w:rsid w:val="00936920"/>
    <w:rsid w:val="00940AF8"/>
    <w:rsid w:val="00941006"/>
    <w:rsid w:val="00951E73"/>
    <w:rsid w:val="00956166"/>
    <w:rsid w:val="00960E05"/>
    <w:rsid w:val="009616B6"/>
    <w:rsid w:val="009717EF"/>
    <w:rsid w:val="009752ED"/>
    <w:rsid w:val="00975ABA"/>
    <w:rsid w:val="00976C6D"/>
    <w:rsid w:val="009816D5"/>
    <w:rsid w:val="0098388C"/>
    <w:rsid w:val="00986B83"/>
    <w:rsid w:val="00987374"/>
    <w:rsid w:val="009916E9"/>
    <w:rsid w:val="009978D8"/>
    <w:rsid w:val="009A2C49"/>
    <w:rsid w:val="009A490E"/>
    <w:rsid w:val="009A4DF1"/>
    <w:rsid w:val="009B0E34"/>
    <w:rsid w:val="009C1C17"/>
    <w:rsid w:val="009C3CC7"/>
    <w:rsid w:val="009D683A"/>
    <w:rsid w:val="009D6929"/>
    <w:rsid w:val="009E09B0"/>
    <w:rsid w:val="009E16DF"/>
    <w:rsid w:val="009E4CB8"/>
    <w:rsid w:val="00A018CF"/>
    <w:rsid w:val="00A05382"/>
    <w:rsid w:val="00A162EB"/>
    <w:rsid w:val="00A207B3"/>
    <w:rsid w:val="00A21E40"/>
    <w:rsid w:val="00A2458A"/>
    <w:rsid w:val="00A27FFB"/>
    <w:rsid w:val="00A313B3"/>
    <w:rsid w:val="00A3643E"/>
    <w:rsid w:val="00A41C18"/>
    <w:rsid w:val="00A437B4"/>
    <w:rsid w:val="00A47204"/>
    <w:rsid w:val="00A47342"/>
    <w:rsid w:val="00A60DA8"/>
    <w:rsid w:val="00A633CA"/>
    <w:rsid w:val="00A64055"/>
    <w:rsid w:val="00A82676"/>
    <w:rsid w:val="00A845D2"/>
    <w:rsid w:val="00A84F36"/>
    <w:rsid w:val="00A86124"/>
    <w:rsid w:val="00A86FC3"/>
    <w:rsid w:val="00A90145"/>
    <w:rsid w:val="00A93968"/>
    <w:rsid w:val="00A979A2"/>
    <w:rsid w:val="00AA4877"/>
    <w:rsid w:val="00AA669E"/>
    <w:rsid w:val="00AB02E3"/>
    <w:rsid w:val="00AC6BD5"/>
    <w:rsid w:val="00AD5678"/>
    <w:rsid w:val="00AD5FFA"/>
    <w:rsid w:val="00AE7F72"/>
    <w:rsid w:val="00AF7593"/>
    <w:rsid w:val="00B01CEC"/>
    <w:rsid w:val="00B03728"/>
    <w:rsid w:val="00B03C4D"/>
    <w:rsid w:val="00B07FCF"/>
    <w:rsid w:val="00B1477D"/>
    <w:rsid w:val="00B16348"/>
    <w:rsid w:val="00B20AD0"/>
    <w:rsid w:val="00B21021"/>
    <w:rsid w:val="00B279BA"/>
    <w:rsid w:val="00B30D63"/>
    <w:rsid w:val="00B35F47"/>
    <w:rsid w:val="00B40FB3"/>
    <w:rsid w:val="00B4199B"/>
    <w:rsid w:val="00B50C62"/>
    <w:rsid w:val="00B50EAE"/>
    <w:rsid w:val="00B60BBF"/>
    <w:rsid w:val="00B70B53"/>
    <w:rsid w:val="00B72D53"/>
    <w:rsid w:val="00B81291"/>
    <w:rsid w:val="00B843FD"/>
    <w:rsid w:val="00B86B7E"/>
    <w:rsid w:val="00B91B54"/>
    <w:rsid w:val="00B91E0B"/>
    <w:rsid w:val="00B92181"/>
    <w:rsid w:val="00B93535"/>
    <w:rsid w:val="00BA0C64"/>
    <w:rsid w:val="00BB05DE"/>
    <w:rsid w:val="00BB0DBD"/>
    <w:rsid w:val="00BB28C4"/>
    <w:rsid w:val="00BB4B47"/>
    <w:rsid w:val="00BB6094"/>
    <w:rsid w:val="00BC2522"/>
    <w:rsid w:val="00BD0131"/>
    <w:rsid w:val="00BD7F9F"/>
    <w:rsid w:val="00BE352F"/>
    <w:rsid w:val="00BE44A5"/>
    <w:rsid w:val="00BE492C"/>
    <w:rsid w:val="00BF2F09"/>
    <w:rsid w:val="00BF333C"/>
    <w:rsid w:val="00BF3716"/>
    <w:rsid w:val="00C01497"/>
    <w:rsid w:val="00C10B28"/>
    <w:rsid w:val="00C13DDD"/>
    <w:rsid w:val="00C2033B"/>
    <w:rsid w:val="00C24051"/>
    <w:rsid w:val="00C27A1E"/>
    <w:rsid w:val="00C314D4"/>
    <w:rsid w:val="00C32713"/>
    <w:rsid w:val="00C32D93"/>
    <w:rsid w:val="00C40B8C"/>
    <w:rsid w:val="00C44F8F"/>
    <w:rsid w:val="00C52467"/>
    <w:rsid w:val="00C54540"/>
    <w:rsid w:val="00C61B84"/>
    <w:rsid w:val="00C7094E"/>
    <w:rsid w:val="00C71838"/>
    <w:rsid w:val="00C73A13"/>
    <w:rsid w:val="00C73C29"/>
    <w:rsid w:val="00C73D47"/>
    <w:rsid w:val="00C775CE"/>
    <w:rsid w:val="00C81A6A"/>
    <w:rsid w:val="00C8278F"/>
    <w:rsid w:val="00C86402"/>
    <w:rsid w:val="00C93041"/>
    <w:rsid w:val="00C95E3C"/>
    <w:rsid w:val="00CA59B9"/>
    <w:rsid w:val="00CA65B7"/>
    <w:rsid w:val="00CB0C3E"/>
    <w:rsid w:val="00CB49A1"/>
    <w:rsid w:val="00CB4F57"/>
    <w:rsid w:val="00CB654C"/>
    <w:rsid w:val="00CC48A9"/>
    <w:rsid w:val="00CD0D7D"/>
    <w:rsid w:val="00CD60AF"/>
    <w:rsid w:val="00CD7958"/>
    <w:rsid w:val="00CE1782"/>
    <w:rsid w:val="00CE270D"/>
    <w:rsid w:val="00CF5759"/>
    <w:rsid w:val="00CF664B"/>
    <w:rsid w:val="00D14B37"/>
    <w:rsid w:val="00D1774E"/>
    <w:rsid w:val="00D21D9C"/>
    <w:rsid w:val="00D22467"/>
    <w:rsid w:val="00D2419B"/>
    <w:rsid w:val="00D24EF5"/>
    <w:rsid w:val="00D351C7"/>
    <w:rsid w:val="00D41B23"/>
    <w:rsid w:val="00D46ADB"/>
    <w:rsid w:val="00D521A5"/>
    <w:rsid w:val="00D529DB"/>
    <w:rsid w:val="00D533FD"/>
    <w:rsid w:val="00D60195"/>
    <w:rsid w:val="00D62A0A"/>
    <w:rsid w:val="00D62D89"/>
    <w:rsid w:val="00D67366"/>
    <w:rsid w:val="00D6739B"/>
    <w:rsid w:val="00D67C6A"/>
    <w:rsid w:val="00D70EC2"/>
    <w:rsid w:val="00D74A41"/>
    <w:rsid w:val="00D75A1E"/>
    <w:rsid w:val="00D762DE"/>
    <w:rsid w:val="00D76F0E"/>
    <w:rsid w:val="00D81EF2"/>
    <w:rsid w:val="00D82262"/>
    <w:rsid w:val="00D85690"/>
    <w:rsid w:val="00D85FE5"/>
    <w:rsid w:val="00D93DC2"/>
    <w:rsid w:val="00DB1729"/>
    <w:rsid w:val="00DB1F9E"/>
    <w:rsid w:val="00DB4B71"/>
    <w:rsid w:val="00DB5E81"/>
    <w:rsid w:val="00DB6B31"/>
    <w:rsid w:val="00DC22C0"/>
    <w:rsid w:val="00DC3DA2"/>
    <w:rsid w:val="00DC4377"/>
    <w:rsid w:val="00DC5A40"/>
    <w:rsid w:val="00DC73CD"/>
    <w:rsid w:val="00DC769E"/>
    <w:rsid w:val="00DD0840"/>
    <w:rsid w:val="00DD268D"/>
    <w:rsid w:val="00DD47D8"/>
    <w:rsid w:val="00DD7FE6"/>
    <w:rsid w:val="00DE7CD6"/>
    <w:rsid w:val="00DF29D9"/>
    <w:rsid w:val="00DF484F"/>
    <w:rsid w:val="00DF4F7D"/>
    <w:rsid w:val="00DF6154"/>
    <w:rsid w:val="00E06D7B"/>
    <w:rsid w:val="00E116A5"/>
    <w:rsid w:val="00E22D71"/>
    <w:rsid w:val="00E31175"/>
    <w:rsid w:val="00E3199E"/>
    <w:rsid w:val="00E40569"/>
    <w:rsid w:val="00E40C34"/>
    <w:rsid w:val="00E54AB1"/>
    <w:rsid w:val="00E56225"/>
    <w:rsid w:val="00E60D03"/>
    <w:rsid w:val="00E656E5"/>
    <w:rsid w:val="00E74FF8"/>
    <w:rsid w:val="00E7513D"/>
    <w:rsid w:val="00E82082"/>
    <w:rsid w:val="00E84089"/>
    <w:rsid w:val="00E90D5D"/>
    <w:rsid w:val="00EA107A"/>
    <w:rsid w:val="00EC0D2D"/>
    <w:rsid w:val="00EC194B"/>
    <w:rsid w:val="00EC3365"/>
    <w:rsid w:val="00EC5284"/>
    <w:rsid w:val="00ED1451"/>
    <w:rsid w:val="00ED4985"/>
    <w:rsid w:val="00ED5C02"/>
    <w:rsid w:val="00EE26F1"/>
    <w:rsid w:val="00EF076C"/>
    <w:rsid w:val="00EF2DBC"/>
    <w:rsid w:val="00EF3327"/>
    <w:rsid w:val="00F00D69"/>
    <w:rsid w:val="00F01CFD"/>
    <w:rsid w:val="00F02F31"/>
    <w:rsid w:val="00F06499"/>
    <w:rsid w:val="00F10216"/>
    <w:rsid w:val="00F12076"/>
    <w:rsid w:val="00F172E2"/>
    <w:rsid w:val="00F25520"/>
    <w:rsid w:val="00F2614B"/>
    <w:rsid w:val="00F345C7"/>
    <w:rsid w:val="00F35854"/>
    <w:rsid w:val="00F42E93"/>
    <w:rsid w:val="00F45516"/>
    <w:rsid w:val="00F50E23"/>
    <w:rsid w:val="00F51957"/>
    <w:rsid w:val="00F64272"/>
    <w:rsid w:val="00F70B73"/>
    <w:rsid w:val="00F74B53"/>
    <w:rsid w:val="00F756A3"/>
    <w:rsid w:val="00F83FE5"/>
    <w:rsid w:val="00FA3808"/>
    <w:rsid w:val="00FA3F29"/>
    <w:rsid w:val="00FC11EB"/>
    <w:rsid w:val="00FC2D90"/>
    <w:rsid w:val="00FC718A"/>
    <w:rsid w:val="00FD02FD"/>
    <w:rsid w:val="00FD1607"/>
    <w:rsid w:val="00FD7417"/>
    <w:rsid w:val="00FD77AB"/>
    <w:rsid w:val="00FD7F84"/>
    <w:rsid w:val="00FE0061"/>
    <w:rsid w:val="00FE5C0C"/>
    <w:rsid w:val="00FE5C4D"/>
    <w:rsid w:val="00FE5E3E"/>
    <w:rsid w:val="00FF2102"/>
    <w:rsid w:val="00FF3978"/>
    <w:rsid w:val="00FF5AE6"/>
    <w:rsid w:val="00FF7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861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3C4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3CA"/>
    <w:pPr>
      <w:ind w:left="720"/>
      <w:contextualSpacing/>
    </w:pPr>
  </w:style>
  <w:style w:type="paragraph" w:customStyle="1" w:styleId="h1">
    <w:name w:val="h1"/>
    <w:basedOn w:val="Normal"/>
    <w:rsid w:val="006A4D2B"/>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6A4D2B"/>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A4D2B"/>
  </w:style>
  <w:style w:type="character" w:styleId="Hyperlink">
    <w:name w:val="Hyperlink"/>
    <w:basedOn w:val="DefaultParagraphFont"/>
    <w:uiPriority w:val="99"/>
    <w:unhideWhenUsed/>
    <w:rsid w:val="006A4D2B"/>
    <w:rPr>
      <w:color w:val="0000FF"/>
      <w:u w:val="single"/>
    </w:rPr>
  </w:style>
  <w:style w:type="character" w:customStyle="1" w:styleId="Heading1Char">
    <w:name w:val="Heading 1 Char"/>
    <w:basedOn w:val="DefaultParagraphFont"/>
    <w:link w:val="Heading1"/>
    <w:uiPriority w:val="9"/>
    <w:rsid w:val="00B03C4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FD7F84"/>
    <w:rPr>
      <w:sz w:val="20"/>
      <w:szCs w:val="20"/>
    </w:rPr>
  </w:style>
  <w:style w:type="character" w:customStyle="1" w:styleId="FootnoteTextChar">
    <w:name w:val="Footnote Text Char"/>
    <w:basedOn w:val="DefaultParagraphFont"/>
    <w:link w:val="FootnoteText"/>
    <w:uiPriority w:val="99"/>
    <w:semiHidden/>
    <w:rsid w:val="00FD7F84"/>
    <w:rPr>
      <w:sz w:val="20"/>
      <w:szCs w:val="20"/>
    </w:rPr>
  </w:style>
  <w:style w:type="character" w:styleId="FootnoteReference">
    <w:name w:val="footnote reference"/>
    <w:basedOn w:val="DefaultParagraphFont"/>
    <w:uiPriority w:val="99"/>
    <w:semiHidden/>
    <w:unhideWhenUsed/>
    <w:rsid w:val="00FD7F84"/>
    <w:rPr>
      <w:vertAlign w:val="superscript"/>
    </w:rPr>
  </w:style>
  <w:style w:type="paragraph" w:customStyle="1" w:styleId="AmendBody1">
    <w:name w:val="Amend. Body 1"/>
    <w:basedOn w:val="Normal"/>
    <w:next w:val="Normal"/>
    <w:rsid w:val="001D7B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871"/>
      <w:textAlignment w:val="baseline"/>
    </w:pPr>
    <w:rPr>
      <w:rFonts w:ascii="Times New Roman" w:eastAsia="Times New Roman" w:hAnsi="Times New Roman" w:cs="Times New Roman"/>
      <w:sz w:val="24"/>
      <w:szCs w:val="20"/>
      <w:lang w:eastAsia="en-US"/>
    </w:rPr>
  </w:style>
  <w:style w:type="paragraph" w:customStyle="1" w:styleId="DraftHeading2">
    <w:name w:val="Draft Heading 2"/>
    <w:basedOn w:val="Normal"/>
    <w:next w:val="Normal"/>
    <w:rsid w:val="001D7B9C"/>
    <w:pPr>
      <w:overflowPunct w:val="0"/>
      <w:autoSpaceDE w:val="0"/>
      <w:autoSpaceDN w:val="0"/>
      <w:adjustRightInd w:val="0"/>
      <w:spacing w:before="120"/>
      <w:textAlignment w:val="baseline"/>
    </w:pPr>
    <w:rPr>
      <w:rFonts w:ascii="Times New Roman" w:eastAsia="Times New Roman" w:hAnsi="Times New Roman" w:cs="Times New Roman"/>
      <w:sz w:val="24"/>
      <w:szCs w:val="20"/>
      <w:lang w:eastAsia="en-US"/>
    </w:rPr>
  </w:style>
  <w:style w:type="paragraph" w:customStyle="1" w:styleId="DraftHeading1">
    <w:name w:val="Draft Heading 1"/>
    <w:basedOn w:val="Normal"/>
    <w:next w:val="Normal"/>
    <w:rsid w:val="001D7B9C"/>
    <w:pPr>
      <w:overflowPunct w:val="0"/>
      <w:autoSpaceDE w:val="0"/>
      <w:autoSpaceDN w:val="0"/>
      <w:adjustRightInd w:val="0"/>
      <w:spacing w:before="120"/>
      <w:textAlignment w:val="baseline"/>
      <w:outlineLvl w:val="2"/>
    </w:pPr>
    <w:rPr>
      <w:rFonts w:ascii="Times New Roman" w:eastAsia="Times New Roman" w:hAnsi="Times New Roman" w:cs="Times New Roman"/>
      <w:b/>
      <w:sz w:val="24"/>
      <w:szCs w:val="24"/>
      <w:lang w:eastAsia="en-US"/>
    </w:rPr>
  </w:style>
  <w:style w:type="character" w:styleId="UnresolvedMention">
    <w:name w:val="Unresolved Mention"/>
    <w:basedOn w:val="DefaultParagraphFont"/>
    <w:uiPriority w:val="99"/>
    <w:semiHidden/>
    <w:unhideWhenUsed/>
    <w:rsid w:val="00D75A1E"/>
    <w:rPr>
      <w:color w:val="605E5C"/>
      <w:shd w:val="clear" w:color="auto" w:fill="E1DFDD"/>
    </w:rPr>
  </w:style>
  <w:style w:type="paragraph" w:styleId="Footer">
    <w:name w:val="footer"/>
    <w:basedOn w:val="Normal"/>
    <w:link w:val="FooterChar"/>
    <w:uiPriority w:val="99"/>
    <w:unhideWhenUsed/>
    <w:rsid w:val="00DF484F"/>
    <w:pPr>
      <w:tabs>
        <w:tab w:val="center" w:pos="4680"/>
        <w:tab w:val="right" w:pos="9360"/>
      </w:tabs>
    </w:pPr>
  </w:style>
  <w:style w:type="character" w:customStyle="1" w:styleId="FooterChar">
    <w:name w:val="Footer Char"/>
    <w:basedOn w:val="DefaultParagraphFont"/>
    <w:link w:val="Footer"/>
    <w:uiPriority w:val="99"/>
    <w:rsid w:val="00DF484F"/>
  </w:style>
  <w:style w:type="character" w:styleId="PageNumber">
    <w:name w:val="page number"/>
    <w:basedOn w:val="DefaultParagraphFont"/>
    <w:uiPriority w:val="99"/>
    <w:semiHidden/>
    <w:unhideWhenUsed/>
    <w:rsid w:val="00DF484F"/>
  </w:style>
  <w:style w:type="paragraph" w:styleId="Header">
    <w:name w:val="header"/>
    <w:basedOn w:val="Normal"/>
    <w:link w:val="HeaderChar"/>
    <w:uiPriority w:val="99"/>
    <w:unhideWhenUsed/>
    <w:rsid w:val="00DF484F"/>
    <w:pPr>
      <w:tabs>
        <w:tab w:val="center" w:pos="4680"/>
        <w:tab w:val="right" w:pos="9360"/>
      </w:tabs>
    </w:pPr>
  </w:style>
  <w:style w:type="character" w:customStyle="1" w:styleId="HeaderChar">
    <w:name w:val="Header Char"/>
    <w:basedOn w:val="DefaultParagraphFont"/>
    <w:link w:val="Header"/>
    <w:uiPriority w:val="99"/>
    <w:rsid w:val="00DF484F"/>
  </w:style>
  <w:style w:type="paragraph" w:styleId="BalloonText">
    <w:name w:val="Balloon Text"/>
    <w:basedOn w:val="Normal"/>
    <w:link w:val="BalloonTextChar"/>
    <w:uiPriority w:val="99"/>
    <w:semiHidden/>
    <w:unhideWhenUsed/>
    <w:rsid w:val="00E405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056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72310"/>
    <w:rPr>
      <w:color w:val="954F72" w:themeColor="followedHyperlink"/>
      <w:u w:val="single"/>
    </w:rPr>
  </w:style>
  <w:style w:type="paragraph" w:customStyle="1" w:styleId="Default">
    <w:name w:val="Default"/>
    <w:rsid w:val="006877B3"/>
    <w:pPr>
      <w:autoSpaceDE w:val="0"/>
      <w:autoSpaceDN w:val="0"/>
      <w:adjustRightInd w:val="0"/>
    </w:pPr>
    <w:rPr>
      <w:rFonts w:ascii="Arial" w:hAnsi="Arial" w:cs="Arial"/>
      <w:color w:val="000000"/>
      <w:sz w:val="24"/>
      <w:szCs w:val="24"/>
      <w:lang w:val="en-US"/>
    </w:rPr>
  </w:style>
  <w:style w:type="paragraph" w:customStyle="1" w:styleId="RSHVCCoverTitle">
    <w:name w:val="RSHVC Cover Title"/>
    <w:basedOn w:val="Normal"/>
    <w:qFormat/>
    <w:rsid w:val="00EF2DBC"/>
    <w:pPr>
      <w:spacing w:after="300" w:line="800" w:lineRule="exact"/>
    </w:pPr>
    <w:rPr>
      <w:rFonts w:ascii="Calibri Light" w:hAnsi="Calibri Light" w:cs="Times New Roman (Body CS)"/>
      <w:color w:val="006472"/>
      <w:sz w:val="80"/>
      <w:szCs w:val="24"/>
      <w:lang w:eastAsia="en-US"/>
    </w:rPr>
  </w:style>
  <w:style w:type="paragraph" w:customStyle="1" w:styleId="RSHVCCoverSubhead">
    <w:name w:val="RSHVC Cover Subhead"/>
    <w:basedOn w:val="Normal"/>
    <w:qFormat/>
    <w:rsid w:val="00EF2DBC"/>
    <w:rPr>
      <w:rFonts w:asciiTheme="majorHAnsi" w:hAnsiTheme="majorHAnsi" w:cs="Times New Roman (Body CS)"/>
      <w:color w:val="9B9851"/>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0562">
      <w:bodyDiv w:val="1"/>
      <w:marLeft w:val="0"/>
      <w:marRight w:val="0"/>
      <w:marTop w:val="0"/>
      <w:marBottom w:val="0"/>
      <w:divBdr>
        <w:top w:val="none" w:sz="0" w:space="0" w:color="auto"/>
        <w:left w:val="none" w:sz="0" w:space="0" w:color="auto"/>
        <w:bottom w:val="none" w:sz="0" w:space="0" w:color="auto"/>
        <w:right w:val="none" w:sz="0" w:space="0" w:color="auto"/>
      </w:divBdr>
    </w:div>
    <w:div w:id="92676957">
      <w:bodyDiv w:val="1"/>
      <w:marLeft w:val="0"/>
      <w:marRight w:val="0"/>
      <w:marTop w:val="0"/>
      <w:marBottom w:val="0"/>
      <w:divBdr>
        <w:top w:val="none" w:sz="0" w:space="0" w:color="auto"/>
        <w:left w:val="none" w:sz="0" w:space="0" w:color="auto"/>
        <w:bottom w:val="none" w:sz="0" w:space="0" w:color="auto"/>
        <w:right w:val="none" w:sz="0" w:space="0" w:color="auto"/>
      </w:divBdr>
    </w:div>
    <w:div w:id="158431022">
      <w:bodyDiv w:val="1"/>
      <w:marLeft w:val="0"/>
      <w:marRight w:val="0"/>
      <w:marTop w:val="0"/>
      <w:marBottom w:val="0"/>
      <w:divBdr>
        <w:top w:val="none" w:sz="0" w:space="0" w:color="auto"/>
        <w:left w:val="none" w:sz="0" w:space="0" w:color="auto"/>
        <w:bottom w:val="none" w:sz="0" w:space="0" w:color="auto"/>
        <w:right w:val="none" w:sz="0" w:space="0" w:color="auto"/>
      </w:divBdr>
    </w:div>
    <w:div w:id="222373186">
      <w:bodyDiv w:val="1"/>
      <w:marLeft w:val="0"/>
      <w:marRight w:val="0"/>
      <w:marTop w:val="0"/>
      <w:marBottom w:val="0"/>
      <w:divBdr>
        <w:top w:val="none" w:sz="0" w:space="0" w:color="auto"/>
        <w:left w:val="none" w:sz="0" w:space="0" w:color="auto"/>
        <w:bottom w:val="none" w:sz="0" w:space="0" w:color="auto"/>
        <w:right w:val="none" w:sz="0" w:space="0" w:color="auto"/>
      </w:divBdr>
    </w:div>
    <w:div w:id="284192382">
      <w:bodyDiv w:val="1"/>
      <w:marLeft w:val="0"/>
      <w:marRight w:val="0"/>
      <w:marTop w:val="0"/>
      <w:marBottom w:val="0"/>
      <w:divBdr>
        <w:top w:val="none" w:sz="0" w:space="0" w:color="auto"/>
        <w:left w:val="none" w:sz="0" w:space="0" w:color="auto"/>
        <w:bottom w:val="none" w:sz="0" w:space="0" w:color="auto"/>
        <w:right w:val="none" w:sz="0" w:space="0" w:color="auto"/>
      </w:divBdr>
      <w:divsChild>
        <w:div w:id="1044796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22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80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851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090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662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295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8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9931291">
          <w:marLeft w:val="0"/>
          <w:marRight w:val="0"/>
          <w:marTop w:val="0"/>
          <w:marBottom w:val="0"/>
          <w:divBdr>
            <w:top w:val="none" w:sz="0" w:space="0" w:color="auto"/>
            <w:left w:val="none" w:sz="0" w:space="0" w:color="auto"/>
            <w:bottom w:val="none" w:sz="0" w:space="0" w:color="auto"/>
            <w:right w:val="none" w:sz="0" w:space="0" w:color="auto"/>
          </w:divBdr>
        </w:div>
      </w:divsChild>
    </w:div>
    <w:div w:id="597567011">
      <w:bodyDiv w:val="1"/>
      <w:marLeft w:val="0"/>
      <w:marRight w:val="0"/>
      <w:marTop w:val="0"/>
      <w:marBottom w:val="0"/>
      <w:divBdr>
        <w:top w:val="none" w:sz="0" w:space="0" w:color="auto"/>
        <w:left w:val="none" w:sz="0" w:space="0" w:color="auto"/>
        <w:bottom w:val="none" w:sz="0" w:space="0" w:color="auto"/>
        <w:right w:val="none" w:sz="0" w:space="0" w:color="auto"/>
      </w:divBdr>
    </w:div>
    <w:div w:id="629212722">
      <w:bodyDiv w:val="1"/>
      <w:marLeft w:val="0"/>
      <w:marRight w:val="0"/>
      <w:marTop w:val="0"/>
      <w:marBottom w:val="0"/>
      <w:divBdr>
        <w:top w:val="none" w:sz="0" w:space="0" w:color="auto"/>
        <w:left w:val="none" w:sz="0" w:space="0" w:color="auto"/>
        <w:bottom w:val="none" w:sz="0" w:space="0" w:color="auto"/>
        <w:right w:val="none" w:sz="0" w:space="0" w:color="auto"/>
      </w:divBdr>
    </w:div>
    <w:div w:id="720178416">
      <w:bodyDiv w:val="1"/>
      <w:marLeft w:val="0"/>
      <w:marRight w:val="0"/>
      <w:marTop w:val="0"/>
      <w:marBottom w:val="0"/>
      <w:divBdr>
        <w:top w:val="none" w:sz="0" w:space="0" w:color="auto"/>
        <w:left w:val="none" w:sz="0" w:space="0" w:color="auto"/>
        <w:bottom w:val="none" w:sz="0" w:space="0" w:color="auto"/>
        <w:right w:val="none" w:sz="0" w:space="0" w:color="auto"/>
      </w:divBdr>
      <w:divsChild>
        <w:div w:id="971472759">
          <w:marLeft w:val="0"/>
          <w:marRight w:val="0"/>
          <w:marTop w:val="0"/>
          <w:marBottom w:val="0"/>
          <w:divBdr>
            <w:top w:val="none" w:sz="0" w:space="0" w:color="auto"/>
            <w:left w:val="none" w:sz="0" w:space="0" w:color="auto"/>
            <w:bottom w:val="none" w:sz="0" w:space="0" w:color="auto"/>
            <w:right w:val="none" w:sz="0" w:space="0" w:color="auto"/>
          </w:divBdr>
        </w:div>
        <w:div w:id="482552129">
          <w:marLeft w:val="0"/>
          <w:marRight w:val="0"/>
          <w:marTop w:val="0"/>
          <w:marBottom w:val="0"/>
          <w:divBdr>
            <w:top w:val="none" w:sz="0" w:space="0" w:color="auto"/>
            <w:left w:val="none" w:sz="0" w:space="0" w:color="auto"/>
            <w:bottom w:val="none" w:sz="0" w:space="0" w:color="auto"/>
            <w:right w:val="none" w:sz="0" w:space="0" w:color="auto"/>
          </w:divBdr>
        </w:div>
      </w:divsChild>
    </w:div>
    <w:div w:id="874468947">
      <w:bodyDiv w:val="1"/>
      <w:marLeft w:val="0"/>
      <w:marRight w:val="0"/>
      <w:marTop w:val="0"/>
      <w:marBottom w:val="0"/>
      <w:divBdr>
        <w:top w:val="none" w:sz="0" w:space="0" w:color="auto"/>
        <w:left w:val="none" w:sz="0" w:space="0" w:color="auto"/>
        <w:bottom w:val="none" w:sz="0" w:space="0" w:color="auto"/>
        <w:right w:val="none" w:sz="0" w:space="0" w:color="auto"/>
      </w:divBdr>
    </w:div>
    <w:div w:id="991712713">
      <w:bodyDiv w:val="1"/>
      <w:marLeft w:val="0"/>
      <w:marRight w:val="0"/>
      <w:marTop w:val="0"/>
      <w:marBottom w:val="0"/>
      <w:divBdr>
        <w:top w:val="none" w:sz="0" w:space="0" w:color="auto"/>
        <w:left w:val="none" w:sz="0" w:space="0" w:color="auto"/>
        <w:bottom w:val="none" w:sz="0" w:space="0" w:color="auto"/>
        <w:right w:val="none" w:sz="0" w:space="0" w:color="auto"/>
      </w:divBdr>
      <w:divsChild>
        <w:div w:id="278411983">
          <w:marLeft w:val="0"/>
          <w:marRight w:val="0"/>
          <w:marTop w:val="0"/>
          <w:marBottom w:val="0"/>
          <w:divBdr>
            <w:top w:val="none" w:sz="0" w:space="0" w:color="auto"/>
            <w:left w:val="none" w:sz="0" w:space="0" w:color="auto"/>
            <w:bottom w:val="none" w:sz="0" w:space="0" w:color="auto"/>
            <w:right w:val="none" w:sz="0" w:space="0" w:color="auto"/>
          </w:divBdr>
        </w:div>
        <w:div w:id="738360187">
          <w:marLeft w:val="0"/>
          <w:marRight w:val="0"/>
          <w:marTop w:val="0"/>
          <w:marBottom w:val="0"/>
          <w:divBdr>
            <w:top w:val="none" w:sz="0" w:space="0" w:color="auto"/>
            <w:left w:val="none" w:sz="0" w:space="0" w:color="auto"/>
            <w:bottom w:val="none" w:sz="0" w:space="0" w:color="auto"/>
            <w:right w:val="none" w:sz="0" w:space="0" w:color="auto"/>
          </w:divBdr>
        </w:div>
      </w:divsChild>
    </w:div>
    <w:div w:id="1046178923">
      <w:bodyDiv w:val="1"/>
      <w:marLeft w:val="0"/>
      <w:marRight w:val="0"/>
      <w:marTop w:val="0"/>
      <w:marBottom w:val="0"/>
      <w:divBdr>
        <w:top w:val="none" w:sz="0" w:space="0" w:color="auto"/>
        <w:left w:val="none" w:sz="0" w:space="0" w:color="auto"/>
        <w:bottom w:val="none" w:sz="0" w:space="0" w:color="auto"/>
        <w:right w:val="none" w:sz="0" w:space="0" w:color="auto"/>
      </w:divBdr>
    </w:div>
    <w:div w:id="1063914775">
      <w:bodyDiv w:val="1"/>
      <w:marLeft w:val="0"/>
      <w:marRight w:val="0"/>
      <w:marTop w:val="0"/>
      <w:marBottom w:val="0"/>
      <w:divBdr>
        <w:top w:val="none" w:sz="0" w:space="0" w:color="auto"/>
        <w:left w:val="none" w:sz="0" w:space="0" w:color="auto"/>
        <w:bottom w:val="none" w:sz="0" w:space="0" w:color="auto"/>
        <w:right w:val="none" w:sz="0" w:space="0" w:color="auto"/>
      </w:divBdr>
    </w:div>
    <w:div w:id="1118262125">
      <w:bodyDiv w:val="1"/>
      <w:marLeft w:val="0"/>
      <w:marRight w:val="0"/>
      <w:marTop w:val="0"/>
      <w:marBottom w:val="0"/>
      <w:divBdr>
        <w:top w:val="none" w:sz="0" w:space="0" w:color="auto"/>
        <w:left w:val="none" w:sz="0" w:space="0" w:color="auto"/>
        <w:bottom w:val="none" w:sz="0" w:space="0" w:color="auto"/>
        <w:right w:val="none" w:sz="0" w:space="0" w:color="auto"/>
      </w:divBdr>
      <w:divsChild>
        <w:div w:id="1996640548">
          <w:marLeft w:val="0"/>
          <w:marRight w:val="0"/>
          <w:marTop w:val="0"/>
          <w:marBottom w:val="0"/>
          <w:divBdr>
            <w:top w:val="none" w:sz="0" w:space="0" w:color="auto"/>
            <w:left w:val="none" w:sz="0" w:space="0" w:color="auto"/>
            <w:bottom w:val="none" w:sz="0" w:space="0" w:color="auto"/>
            <w:right w:val="none" w:sz="0" w:space="0" w:color="auto"/>
          </w:divBdr>
        </w:div>
        <w:div w:id="1677463928">
          <w:marLeft w:val="0"/>
          <w:marRight w:val="0"/>
          <w:marTop w:val="0"/>
          <w:marBottom w:val="0"/>
          <w:divBdr>
            <w:top w:val="none" w:sz="0" w:space="0" w:color="auto"/>
            <w:left w:val="none" w:sz="0" w:space="0" w:color="auto"/>
            <w:bottom w:val="none" w:sz="0" w:space="0" w:color="auto"/>
            <w:right w:val="none" w:sz="0" w:space="0" w:color="auto"/>
          </w:divBdr>
        </w:div>
      </w:divsChild>
    </w:div>
    <w:div w:id="1147891289">
      <w:bodyDiv w:val="1"/>
      <w:marLeft w:val="0"/>
      <w:marRight w:val="0"/>
      <w:marTop w:val="0"/>
      <w:marBottom w:val="0"/>
      <w:divBdr>
        <w:top w:val="none" w:sz="0" w:space="0" w:color="auto"/>
        <w:left w:val="none" w:sz="0" w:space="0" w:color="auto"/>
        <w:bottom w:val="none" w:sz="0" w:space="0" w:color="auto"/>
        <w:right w:val="none" w:sz="0" w:space="0" w:color="auto"/>
      </w:divBdr>
    </w:div>
    <w:div w:id="1149665144">
      <w:bodyDiv w:val="1"/>
      <w:marLeft w:val="0"/>
      <w:marRight w:val="0"/>
      <w:marTop w:val="0"/>
      <w:marBottom w:val="0"/>
      <w:divBdr>
        <w:top w:val="none" w:sz="0" w:space="0" w:color="auto"/>
        <w:left w:val="none" w:sz="0" w:space="0" w:color="auto"/>
        <w:bottom w:val="none" w:sz="0" w:space="0" w:color="auto"/>
        <w:right w:val="none" w:sz="0" w:space="0" w:color="auto"/>
      </w:divBdr>
    </w:div>
    <w:div w:id="1168524617">
      <w:bodyDiv w:val="1"/>
      <w:marLeft w:val="0"/>
      <w:marRight w:val="0"/>
      <w:marTop w:val="0"/>
      <w:marBottom w:val="0"/>
      <w:divBdr>
        <w:top w:val="none" w:sz="0" w:space="0" w:color="auto"/>
        <w:left w:val="none" w:sz="0" w:space="0" w:color="auto"/>
        <w:bottom w:val="none" w:sz="0" w:space="0" w:color="auto"/>
        <w:right w:val="none" w:sz="0" w:space="0" w:color="auto"/>
      </w:divBdr>
    </w:div>
    <w:div w:id="1266501628">
      <w:bodyDiv w:val="1"/>
      <w:marLeft w:val="0"/>
      <w:marRight w:val="0"/>
      <w:marTop w:val="0"/>
      <w:marBottom w:val="0"/>
      <w:divBdr>
        <w:top w:val="none" w:sz="0" w:space="0" w:color="auto"/>
        <w:left w:val="none" w:sz="0" w:space="0" w:color="auto"/>
        <w:bottom w:val="none" w:sz="0" w:space="0" w:color="auto"/>
        <w:right w:val="none" w:sz="0" w:space="0" w:color="auto"/>
      </w:divBdr>
    </w:div>
    <w:div w:id="1317223612">
      <w:bodyDiv w:val="1"/>
      <w:marLeft w:val="0"/>
      <w:marRight w:val="0"/>
      <w:marTop w:val="0"/>
      <w:marBottom w:val="0"/>
      <w:divBdr>
        <w:top w:val="none" w:sz="0" w:space="0" w:color="auto"/>
        <w:left w:val="none" w:sz="0" w:space="0" w:color="auto"/>
        <w:bottom w:val="none" w:sz="0" w:space="0" w:color="auto"/>
        <w:right w:val="none" w:sz="0" w:space="0" w:color="auto"/>
      </w:divBdr>
    </w:div>
    <w:div w:id="1550603845">
      <w:bodyDiv w:val="1"/>
      <w:marLeft w:val="0"/>
      <w:marRight w:val="0"/>
      <w:marTop w:val="0"/>
      <w:marBottom w:val="0"/>
      <w:divBdr>
        <w:top w:val="none" w:sz="0" w:space="0" w:color="auto"/>
        <w:left w:val="none" w:sz="0" w:space="0" w:color="auto"/>
        <w:bottom w:val="none" w:sz="0" w:space="0" w:color="auto"/>
        <w:right w:val="none" w:sz="0" w:space="0" w:color="auto"/>
      </w:divBdr>
    </w:div>
    <w:div w:id="1552771354">
      <w:bodyDiv w:val="1"/>
      <w:marLeft w:val="0"/>
      <w:marRight w:val="0"/>
      <w:marTop w:val="0"/>
      <w:marBottom w:val="0"/>
      <w:divBdr>
        <w:top w:val="none" w:sz="0" w:space="0" w:color="auto"/>
        <w:left w:val="none" w:sz="0" w:space="0" w:color="auto"/>
        <w:bottom w:val="none" w:sz="0" w:space="0" w:color="auto"/>
        <w:right w:val="none" w:sz="0" w:space="0" w:color="auto"/>
      </w:divBdr>
    </w:div>
    <w:div w:id="1600990979">
      <w:bodyDiv w:val="1"/>
      <w:marLeft w:val="0"/>
      <w:marRight w:val="0"/>
      <w:marTop w:val="0"/>
      <w:marBottom w:val="0"/>
      <w:divBdr>
        <w:top w:val="none" w:sz="0" w:space="0" w:color="auto"/>
        <w:left w:val="none" w:sz="0" w:space="0" w:color="auto"/>
        <w:bottom w:val="none" w:sz="0" w:space="0" w:color="auto"/>
        <w:right w:val="none" w:sz="0" w:space="0" w:color="auto"/>
      </w:divBdr>
    </w:div>
    <w:div w:id="1673794029">
      <w:bodyDiv w:val="1"/>
      <w:marLeft w:val="0"/>
      <w:marRight w:val="0"/>
      <w:marTop w:val="0"/>
      <w:marBottom w:val="0"/>
      <w:divBdr>
        <w:top w:val="none" w:sz="0" w:space="0" w:color="auto"/>
        <w:left w:val="none" w:sz="0" w:space="0" w:color="auto"/>
        <w:bottom w:val="none" w:sz="0" w:space="0" w:color="auto"/>
        <w:right w:val="none" w:sz="0" w:space="0" w:color="auto"/>
      </w:divBdr>
    </w:div>
    <w:div w:id="1734814033">
      <w:bodyDiv w:val="1"/>
      <w:marLeft w:val="0"/>
      <w:marRight w:val="0"/>
      <w:marTop w:val="0"/>
      <w:marBottom w:val="0"/>
      <w:divBdr>
        <w:top w:val="none" w:sz="0" w:space="0" w:color="auto"/>
        <w:left w:val="none" w:sz="0" w:space="0" w:color="auto"/>
        <w:bottom w:val="none" w:sz="0" w:space="0" w:color="auto"/>
        <w:right w:val="none" w:sz="0" w:space="0" w:color="auto"/>
      </w:divBdr>
    </w:div>
    <w:div w:id="1809082663">
      <w:bodyDiv w:val="1"/>
      <w:marLeft w:val="0"/>
      <w:marRight w:val="0"/>
      <w:marTop w:val="0"/>
      <w:marBottom w:val="0"/>
      <w:divBdr>
        <w:top w:val="none" w:sz="0" w:space="0" w:color="auto"/>
        <w:left w:val="none" w:sz="0" w:space="0" w:color="auto"/>
        <w:bottom w:val="none" w:sz="0" w:space="0" w:color="auto"/>
        <w:right w:val="none" w:sz="0" w:space="0" w:color="auto"/>
      </w:divBdr>
    </w:div>
    <w:div w:id="1813137638">
      <w:bodyDiv w:val="1"/>
      <w:marLeft w:val="0"/>
      <w:marRight w:val="0"/>
      <w:marTop w:val="0"/>
      <w:marBottom w:val="0"/>
      <w:divBdr>
        <w:top w:val="none" w:sz="0" w:space="0" w:color="auto"/>
        <w:left w:val="none" w:sz="0" w:space="0" w:color="auto"/>
        <w:bottom w:val="none" w:sz="0" w:space="0" w:color="auto"/>
        <w:right w:val="none" w:sz="0" w:space="0" w:color="auto"/>
      </w:divBdr>
    </w:div>
    <w:div w:id="1831020573">
      <w:bodyDiv w:val="1"/>
      <w:marLeft w:val="0"/>
      <w:marRight w:val="0"/>
      <w:marTop w:val="0"/>
      <w:marBottom w:val="0"/>
      <w:divBdr>
        <w:top w:val="none" w:sz="0" w:space="0" w:color="auto"/>
        <w:left w:val="none" w:sz="0" w:space="0" w:color="auto"/>
        <w:bottom w:val="none" w:sz="0" w:space="0" w:color="auto"/>
        <w:right w:val="none" w:sz="0" w:space="0" w:color="auto"/>
      </w:divBdr>
    </w:div>
    <w:div w:id="1891574320">
      <w:bodyDiv w:val="1"/>
      <w:marLeft w:val="0"/>
      <w:marRight w:val="0"/>
      <w:marTop w:val="0"/>
      <w:marBottom w:val="0"/>
      <w:divBdr>
        <w:top w:val="none" w:sz="0" w:space="0" w:color="auto"/>
        <w:left w:val="none" w:sz="0" w:space="0" w:color="auto"/>
        <w:bottom w:val="none" w:sz="0" w:space="0" w:color="auto"/>
        <w:right w:val="none" w:sz="0" w:space="0" w:color="auto"/>
      </w:divBdr>
    </w:div>
    <w:div w:id="1934047707">
      <w:bodyDiv w:val="1"/>
      <w:marLeft w:val="0"/>
      <w:marRight w:val="0"/>
      <w:marTop w:val="0"/>
      <w:marBottom w:val="0"/>
      <w:divBdr>
        <w:top w:val="none" w:sz="0" w:space="0" w:color="auto"/>
        <w:left w:val="none" w:sz="0" w:space="0" w:color="auto"/>
        <w:bottom w:val="none" w:sz="0" w:space="0" w:color="auto"/>
        <w:right w:val="none" w:sz="0" w:space="0" w:color="auto"/>
      </w:divBdr>
    </w:div>
    <w:div w:id="2010713790">
      <w:bodyDiv w:val="1"/>
      <w:marLeft w:val="0"/>
      <w:marRight w:val="0"/>
      <w:marTop w:val="0"/>
      <w:marBottom w:val="0"/>
      <w:divBdr>
        <w:top w:val="none" w:sz="0" w:space="0" w:color="auto"/>
        <w:left w:val="none" w:sz="0" w:space="0" w:color="auto"/>
        <w:bottom w:val="none" w:sz="0" w:space="0" w:color="auto"/>
        <w:right w:val="none" w:sz="0" w:space="0" w:color="auto"/>
      </w:divBdr>
    </w:div>
    <w:div w:id="2065181465">
      <w:bodyDiv w:val="1"/>
      <w:marLeft w:val="0"/>
      <w:marRight w:val="0"/>
      <w:marTop w:val="0"/>
      <w:marBottom w:val="0"/>
      <w:divBdr>
        <w:top w:val="none" w:sz="0" w:space="0" w:color="auto"/>
        <w:left w:val="none" w:sz="0" w:space="0" w:color="auto"/>
        <w:bottom w:val="none" w:sz="0" w:space="0" w:color="auto"/>
        <w:right w:val="none" w:sz="0" w:space="0" w:color="auto"/>
      </w:divBdr>
    </w:div>
    <w:div w:id="214245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1.tiff"/><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9BE54-6100-C349-BD39-B4013CCA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6285</Words>
  <Characters>35831</Characters>
  <Application>Microsoft Office Word</Application>
  <DocSecurity>0</DocSecurity>
  <Lines>298</Lines>
  <Paragraphs>84</Paragraphs>
  <ScaleCrop>false</ScaleCrop>
  <Company/>
  <LinksUpToDate>false</LinksUpToDate>
  <CharactersWithSpaces>42032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 Review to Address Sexual Harassment in Courts and Law Memorandum</dc:title>
  <dc:subject/>
  <dc:creator/>
  <cp:keywords/>
  <dc:description/>
  <cp:lastModifiedBy/>
  <cp:revision>1</cp:revision>
  <dcterms:created xsi:type="dcterms:W3CDTF">2022-08-31T04:21:00Z</dcterms:created>
  <dcterms:modified xsi:type="dcterms:W3CDTF">2022-08-31T04:21:00Z</dcterms:modified>
</cp:coreProperties>
</file>