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A3D8" w14:textId="77777777" w:rsidR="00ED15D0" w:rsidRPr="009D1EFA" w:rsidRDefault="00FC3787" w:rsidP="00FF3489">
      <w:pPr>
        <w:pStyle w:val="RSHVCbody"/>
        <w:spacing w:before="100" w:after="120" w:line="276" w:lineRule="auto"/>
        <w:rPr>
          <w:rFonts w:cs="Calibri Light"/>
          <w:szCs w:val="22"/>
        </w:rPr>
      </w:pPr>
      <w:r w:rsidRPr="009D1EFA">
        <w:rPr>
          <w:rFonts w:cs="Calibri Light"/>
          <w:szCs w:val="22"/>
        </w:rPr>
        <w:t xml:space="preserve"> </w:t>
      </w:r>
    </w:p>
    <w:p w14:paraId="60245D8C" w14:textId="77777777" w:rsidR="00F03F23" w:rsidRPr="009D1EFA" w:rsidRDefault="00F03F23" w:rsidP="00FF3489">
      <w:pPr>
        <w:spacing w:before="100" w:after="120" w:line="276" w:lineRule="auto"/>
        <w:rPr>
          <w:rFonts w:ascii="Calibri Light" w:hAnsi="Calibri Light" w:cs="Calibri Light"/>
          <w:sz w:val="22"/>
          <w:szCs w:val="22"/>
        </w:rPr>
      </w:pPr>
    </w:p>
    <w:p w14:paraId="6E25BA05" w14:textId="77777777" w:rsidR="00F03F23" w:rsidRPr="009D1EFA" w:rsidRDefault="00F03F23" w:rsidP="00FF3489">
      <w:pPr>
        <w:spacing w:before="100" w:after="120" w:line="276" w:lineRule="auto"/>
        <w:rPr>
          <w:rFonts w:ascii="Calibri Light" w:hAnsi="Calibri Light" w:cs="Calibri Light"/>
          <w:sz w:val="22"/>
          <w:szCs w:val="22"/>
        </w:rPr>
      </w:pPr>
    </w:p>
    <w:p w14:paraId="385E3CD1" w14:textId="77777777" w:rsidR="00F03F23" w:rsidRPr="009D1EFA" w:rsidRDefault="00F03F23" w:rsidP="00FF3489">
      <w:pPr>
        <w:spacing w:before="100" w:after="120" w:line="276" w:lineRule="auto"/>
        <w:rPr>
          <w:rFonts w:ascii="Calibri Light" w:hAnsi="Calibri Light" w:cs="Calibri Light"/>
          <w:sz w:val="22"/>
          <w:szCs w:val="22"/>
        </w:rPr>
      </w:pPr>
    </w:p>
    <w:p w14:paraId="124FE017" w14:textId="77777777" w:rsidR="00F03F23" w:rsidRPr="009D1EFA" w:rsidRDefault="00F03F23" w:rsidP="00FF3489">
      <w:pPr>
        <w:spacing w:before="100" w:after="120" w:line="276" w:lineRule="auto"/>
        <w:rPr>
          <w:rFonts w:ascii="Calibri Light" w:hAnsi="Calibri Light" w:cs="Calibri Light"/>
          <w:sz w:val="22"/>
          <w:szCs w:val="22"/>
        </w:rPr>
      </w:pPr>
    </w:p>
    <w:p w14:paraId="1D5494BF" w14:textId="77777777" w:rsidR="00F03F23" w:rsidRPr="009D1EFA" w:rsidRDefault="00F03F23" w:rsidP="00FF3489">
      <w:pPr>
        <w:spacing w:before="100" w:after="120" w:line="276" w:lineRule="auto"/>
        <w:rPr>
          <w:rFonts w:ascii="Calibri Light" w:hAnsi="Calibri Light" w:cs="Calibri Light"/>
          <w:sz w:val="22"/>
          <w:szCs w:val="22"/>
        </w:rPr>
      </w:pPr>
    </w:p>
    <w:p w14:paraId="50DB1450" w14:textId="77777777" w:rsidR="00F03F23" w:rsidRPr="009D1EFA" w:rsidRDefault="00F03F23" w:rsidP="00FF3489">
      <w:pPr>
        <w:spacing w:before="100" w:after="120" w:line="276" w:lineRule="auto"/>
        <w:rPr>
          <w:rFonts w:ascii="Calibri Light" w:hAnsi="Calibri Light" w:cs="Calibri Light"/>
          <w:sz w:val="22"/>
          <w:szCs w:val="22"/>
        </w:rPr>
      </w:pPr>
    </w:p>
    <w:p w14:paraId="7FA7325A" w14:textId="77777777" w:rsidR="00F03F23" w:rsidRPr="009D1EFA" w:rsidRDefault="00F03F23" w:rsidP="00FF3489">
      <w:pPr>
        <w:spacing w:before="100" w:after="120" w:line="276" w:lineRule="auto"/>
        <w:rPr>
          <w:rFonts w:ascii="Calibri Light" w:hAnsi="Calibri Light" w:cs="Calibri Light"/>
          <w:sz w:val="22"/>
          <w:szCs w:val="22"/>
        </w:rPr>
      </w:pPr>
    </w:p>
    <w:p w14:paraId="4C43991C" w14:textId="77777777" w:rsidR="00F03F23" w:rsidRPr="009D1EFA" w:rsidRDefault="00F03F23" w:rsidP="00FF3489">
      <w:pPr>
        <w:spacing w:before="100" w:after="120" w:line="276" w:lineRule="auto"/>
        <w:rPr>
          <w:rFonts w:ascii="Calibri Light" w:hAnsi="Calibri Light" w:cs="Calibri Light"/>
          <w:sz w:val="22"/>
          <w:szCs w:val="22"/>
        </w:rPr>
      </w:pPr>
    </w:p>
    <w:p w14:paraId="5855AF19" w14:textId="77777777" w:rsidR="00F03F23" w:rsidRPr="009D1EFA" w:rsidRDefault="00F03F23" w:rsidP="00FF3489">
      <w:pPr>
        <w:spacing w:before="100" w:after="120" w:line="276" w:lineRule="auto"/>
        <w:rPr>
          <w:rFonts w:ascii="Calibri Light" w:hAnsi="Calibri Light" w:cs="Calibri Light"/>
          <w:sz w:val="22"/>
          <w:szCs w:val="22"/>
        </w:rPr>
      </w:pPr>
    </w:p>
    <w:p w14:paraId="6A2B2972" w14:textId="77777777" w:rsidR="00F03F23" w:rsidRPr="009D1EFA" w:rsidRDefault="00F03F23" w:rsidP="00FF3489">
      <w:pPr>
        <w:spacing w:before="100" w:after="120" w:line="276" w:lineRule="auto"/>
        <w:rPr>
          <w:rFonts w:ascii="Calibri Light" w:hAnsi="Calibri Light" w:cs="Calibri Light"/>
          <w:sz w:val="22"/>
          <w:szCs w:val="22"/>
        </w:rPr>
      </w:pPr>
    </w:p>
    <w:p w14:paraId="14E1F2AD" w14:textId="77777777" w:rsidR="00F03F23" w:rsidRPr="009D1EFA" w:rsidRDefault="00F03F23" w:rsidP="00FF3489">
      <w:pPr>
        <w:spacing w:before="100" w:after="120" w:line="276" w:lineRule="auto"/>
        <w:rPr>
          <w:rFonts w:ascii="Calibri Light" w:hAnsi="Calibri Light" w:cs="Calibri Light"/>
          <w:sz w:val="22"/>
          <w:szCs w:val="22"/>
        </w:rPr>
      </w:pPr>
    </w:p>
    <w:p w14:paraId="3B279EC8" w14:textId="3D648384" w:rsidR="00F03F23" w:rsidRPr="009D1EFA" w:rsidRDefault="00135FAD" w:rsidP="00FF3489">
      <w:pPr>
        <w:spacing w:before="100" w:after="120" w:line="276" w:lineRule="auto"/>
        <w:rPr>
          <w:rFonts w:ascii="Calibri Light" w:hAnsi="Calibri Light" w:cs="Calibri Light"/>
          <w:sz w:val="22"/>
          <w:szCs w:val="22"/>
        </w:rPr>
      </w:pPr>
      <w:r w:rsidRPr="009D1EFA">
        <w:rPr>
          <w:rFonts w:ascii="Calibri Light" w:hAnsi="Calibri Light" w:cs="Calibri Light"/>
          <w:noProof/>
          <w:sz w:val="22"/>
          <w:szCs w:val="22"/>
        </w:rPr>
        <mc:AlternateContent>
          <mc:Choice Requires="wps">
            <w:drawing>
              <wp:anchor distT="0" distB="0" distL="114300" distR="114300" simplePos="0" relativeHeight="251658240" behindDoc="0" locked="0" layoutInCell="1" allowOverlap="1" wp14:anchorId="747E71B2" wp14:editId="63C29E9C">
                <wp:simplePos x="0" y="0"/>
                <wp:positionH relativeFrom="column">
                  <wp:posOffset>-52388</wp:posOffset>
                </wp:positionH>
                <wp:positionV relativeFrom="paragraph">
                  <wp:posOffset>211772</wp:posOffset>
                </wp:positionV>
                <wp:extent cx="6072187" cy="3253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6072187" cy="3253740"/>
                        </a:xfrm>
                        <a:prstGeom prst="rect">
                          <a:avLst/>
                        </a:prstGeom>
                        <a:noFill/>
                        <a:ln w="6350">
                          <a:noFill/>
                        </a:ln>
                      </wps:spPr>
                      <wps:txbx>
                        <w:txbxContent>
                          <w:p w14:paraId="5D32996B" w14:textId="5A21A978" w:rsidR="00135FAD" w:rsidRDefault="00135FAD" w:rsidP="00D11F35">
                            <w:pPr>
                              <w:rPr>
                                <w:rFonts w:ascii="Calibri Light" w:hAnsi="Calibri Light" w:cs="Times New Roman (Body CS)"/>
                                <w:color w:val="006472"/>
                                <w:sz w:val="76"/>
                                <w:szCs w:val="76"/>
                              </w:rPr>
                            </w:pPr>
                            <w:r>
                              <w:rPr>
                                <w:rFonts w:ascii="Calibri Light" w:hAnsi="Calibri Light" w:cs="Times New Roman (Body CS)"/>
                                <w:color w:val="006472"/>
                                <w:sz w:val="76"/>
                                <w:szCs w:val="76"/>
                              </w:rPr>
                              <w:t>Appendix 3:</w:t>
                            </w:r>
                          </w:p>
                          <w:p w14:paraId="052AD23C" w14:textId="77777777" w:rsidR="00135FAD" w:rsidRDefault="00D11F35" w:rsidP="00D11F35">
                            <w:pPr>
                              <w:rPr>
                                <w:rFonts w:ascii="Calibri Light" w:hAnsi="Calibri Light" w:cs="Times New Roman (Body CS)"/>
                                <w:color w:val="006472"/>
                                <w:sz w:val="76"/>
                                <w:szCs w:val="76"/>
                              </w:rPr>
                            </w:pPr>
                            <w:r w:rsidRPr="00D11F35">
                              <w:rPr>
                                <w:rFonts w:ascii="Calibri Light" w:hAnsi="Calibri Light" w:cs="Times New Roman (Body CS)"/>
                                <w:color w:val="006472"/>
                                <w:sz w:val="76"/>
                                <w:szCs w:val="76"/>
                              </w:rPr>
                              <w:t>Judicial independence, accountability and</w:t>
                            </w:r>
                            <w:r w:rsidR="00135FAD">
                              <w:rPr>
                                <w:rFonts w:ascii="Calibri Light" w:hAnsi="Calibri Light" w:cs="Times New Roman (Body CS)"/>
                                <w:color w:val="006472"/>
                                <w:sz w:val="76"/>
                                <w:szCs w:val="76"/>
                              </w:rPr>
                              <w:t xml:space="preserve"> </w:t>
                            </w:r>
                            <w:r w:rsidRPr="00D11F35">
                              <w:rPr>
                                <w:rFonts w:ascii="Calibri Light" w:hAnsi="Calibri Light" w:cs="Times New Roman (Body CS)"/>
                                <w:color w:val="006472"/>
                                <w:sz w:val="76"/>
                                <w:szCs w:val="76"/>
                              </w:rPr>
                              <w:t xml:space="preserve">the role </w:t>
                            </w:r>
                          </w:p>
                          <w:p w14:paraId="5924F9FC" w14:textId="7A17FBFB" w:rsidR="00E43198" w:rsidRPr="00765FE6" w:rsidRDefault="00D11F35" w:rsidP="00D11F35">
                            <w:pPr>
                              <w:rPr>
                                <w:sz w:val="76"/>
                                <w:szCs w:val="76"/>
                              </w:rPr>
                            </w:pPr>
                            <w:r w:rsidRPr="00D11F35">
                              <w:rPr>
                                <w:rFonts w:ascii="Calibri Light" w:hAnsi="Calibri Light" w:cs="Times New Roman (Body CS)"/>
                                <w:color w:val="006472"/>
                                <w:sz w:val="76"/>
                                <w:szCs w:val="76"/>
                              </w:rPr>
                              <w:t>of the Heads of Jurisdictions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E71B2" id="_x0000_t202" coordsize="21600,21600" o:spt="202" path="m,l,21600r21600,l21600,xe">
                <v:stroke joinstyle="miter"/>
                <v:path gradientshapeok="t" o:connecttype="rect"/>
              </v:shapetype>
              <v:shape id="Text Box 1" o:spid="_x0000_s1026" type="#_x0000_t202" style="position:absolute;margin-left:-4.15pt;margin-top:16.65pt;width:478.1pt;height:2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" filled="f" stroked="f" strokeweight=".5pt">
                <v:textbox>
                  <w:txbxContent>
                    <w:p w14:paraId="5D32996B" w14:textId="5A21A978" w:rsidR="00135FAD" w:rsidRDefault="00135FAD" w:rsidP="00D11F35">
                      <w:pPr>
                        <w:rPr>
                          <w:rFonts w:ascii="Calibri Light" w:hAnsi="Calibri Light" w:cs="Times New Roman (Body CS)"/>
                          <w:color w:val="006472"/>
                          <w:sz w:val="76"/>
                          <w:szCs w:val="76"/>
                        </w:rPr>
                      </w:pPr>
                      <w:r>
                        <w:rPr>
                          <w:rFonts w:ascii="Calibri Light" w:hAnsi="Calibri Light" w:cs="Times New Roman (Body CS)"/>
                          <w:color w:val="006472"/>
                          <w:sz w:val="76"/>
                          <w:szCs w:val="76"/>
                        </w:rPr>
                        <w:t>Appendix 3:</w:t>
                      </w:r>
                    </w:p>
                    <w:p w14:paraId="052AD23C" w14:textId="77777777" w:rsidR="00135FAD" w:rsidRDefault="00D11F35" w:rsidP="00D11F35">
                      <w:pPr>
                        <w:rPr>
                          <w:rFonts w:ascii="Calibri Light" w:hAnsi="Calibri Light" w:cs="Times New Roman (Body CS)"/>
                          <w:color w:val="006472"/>
                          <w:sz w:val="76"/>
                          <w:szCs w:val="76"/>
                        </w:rPr>
                      </w:pPr>
                      <w:r w:rsidRPr="00D11F35">
                        <w:rPr>
                          <w:rFonts w:ascii="Calibri Light" w:hAnsi="Calibri Light" w:cs="Times New Roman (Body CS)"/>
                          <w:color w:val="006472"/>
                          <w:sz w:val="76"/>
                          <w:szCs w:val="76"/>
                        </w:rPr>
                        <w:t>Judicial independence, accountability and</w:t>
                      </w:r>
                      <w:r w:rsidR="00135FAD">
                        <w:rPr>
                          <w:rFonts w:ascii="Calibri Light" w:hAnsi="Calibri Light" w:cs="Times New Roman (Body CS)"/>
                          <w:color w:val="006472"/>
                          <w:sz w:val="76"/>
                          <w:szCs w:val="76"/>
                        </w:rPr>
                        <w:t xml:space="preserve"> </w:t>
                      </w:r>
                      <w:r w:rsidRPr="00D11F35">
                        <w:rPr>
                          <w:rFonts w:ascii="Calibri Light" w:hAnsi="Calibri Light" w:cs="Times New Roman (Body CS)"/>
                          <w:color w:val="006472"/>
                          <w:sz w:val="76"/>
                          <w:szCs w:val="76"/>
                        </w:rPr>
                        <w:t xml:space="preserve">the role </w:t>
                      </w:r>
                    </w:p>
                    <w:p w14:paraId="5924F9FC" w14:textId="7A17FBFB" w:rsidR="00E43198" w:rsidRPr="00765FE6" w:rsidRDefault="00D11F35" w:rsidP="00D11F35">
                      <w:pPr>
                        <w:rPr>
                          <w:sz w:val="76"/>
                          <w:szCs w:val="76"/>
                        </w:rPr>
                      </w:pPr>
                      <w:r w:rsidRPr="00D11F35">
                        <w:rPr>
                          <w:rFonts w:ascii="Calibri Light" w:hAnsi="Calibri Light" w:cs="Times New Roman (Body CS)"/>
                          <w:color w:val="006472"/>
                          <w:sz w:val="76"/>
                          <w:szCs w:val="76"/>
                        </w:rPr>
                        <w:t>of the Heads of Jurisdictions</w:t>
                      </w:r>
                    </w:p>
                  </w:txbxContent>
                </v:textbox>
              </v:shape>
            </w:pict>
          </mc:Fallback>
        </mc:AlternateContent>
      </w:r>
    </w:p>
    <w:p w14:paraId="7A032084" w14:textId="774F6F0F" w:rsidR="00F03F23" w:rsidRPr="009D1EFA" w:rsidRDefault="00F03F23" w:rsidP="00FF3489">
      <w:pPr>
        <w:spacing w:before="100" w:after="120" w:line="276" w:lineRule="auto"/>
        <w:rPr>
          <w:rFonts w:ascii="Calibri Light" w:hAnsi="Calibri Light" w:cs="Calibri Light"/>
          <w:sz w:val="22"/>
          <w:szCs w:val="22"/>
        </w:rPr>
      </w:pPr>
    </w:p>
    <w:p w14:paraId="65035B31" w14:textId="543462F4" w:rsidR="00F03F23" w:rsidRPr="009D1EFA" w:rsidRDefault="00F03F23" w:rsidP="00FF3489">
      <w:pPr>
        <w:spacing w:before="100" w:after="120" w:line="276" w:lineRule="auto"/>
        <w:rPr>
          <w:rFonts w:ascii="Calibri Light" w:hAnsi="Calibri Light" w:cs="Calibri Light"/>
          <w:sz w:val="22"/>
          <w:szCs w:val="22"/>
        </w:rPr>
      </w:pPr>
    </w:p>
    <w:p w14:paraId="4CCE4EBA" w14:textId="19E35F45" w:rsidR="00F03F23" w:rsidRPr="009D1EFA" w:rsidRDefault="00F03F23" w:rsidP="00FF3489">
      <w:pPr>
        <w:spacing w:before="100" w:after="120" w:line="276" w:lineRule="auto"/>
        <w:rPr>
          <w:rFonts w:ascii="Calibri Light" w:hAnsi="Calibri Light" w:cs="Calibri Light"/>
          <w:sz w:val="22"/>
          <w:szCs w:val="22"/>
        </w:rPr>
      </w:pPr>
    </w:p>
    <w:p w14:paraId="21AF0CF0" w14:textId="7244A0DC" w:rsidR="00F03F23" w:rsidRPr="009D1EFA" w:rsidRDefault="00F03F23" w:rsidP="00FF3489">
      <w:pPr>
        <w:spacing w:before="100" w:after="120" w:line="276" w:lineRule="auto"/>
        <w:rPr>
          <w:rFonts w:ascii="Calibri Light" w:hAnsi="Calibri Light" w:cs="Calibri Light"/>
          <w:sz w:val="22"/>
          <w:szCs w:val="22"/>
        </w:rPr>
      </w:pPr>
    </w:p>
    <w:p w14:paraId="53902515" w14:textId="44049D9B" w:rsidR="00F03F23" w:rsidRPr="009D1EFA" w:rsidRDefault="00F03F23" w:rsidP="00FF3489">
      <w:pPr>
        <w:spacing w:before="100" w:after="120" w:line="276" w:lineRule="auto"/>
        <w:rPr>
          <w:rFonts w:ascii="Calibri Light" w:hAnsi="Calibri Light" w:cs="Calibri Light"/>
          <w:sz w:val="22"/>
          <w:szCs w:val="22"/>
        </w:rPr>
      </w:pPr>
    </w:p>
    <w:p w14:paraId="5BEB84EC" w14:textId="77777777" w:rsidR="00F03F23" w:rsidRPr="009D1EFA" w:rsidRDefault="00F03F23" w:rsidP="00FF3489">
      <w:pPr>
        <w:spacing w:before="100" w:after="120" w:line="276" w:lineRule="auto"/>
        <w:rPr>
          <w:rFonts w:ascii="Calibri Light" w:hAnsi="Calibri Light" w:cs="Calibri Light"/>
          <w:sz w:val="22"/>
          <w:szCs w:val="22"/>
        </w:rPr>
      </w:pPr>
    </w:p>
    <w:p w14:paraId="755739F5" w14:textId="77777777" w:rsidR="00F03F23" w:rsidRPr="009D1EFA" w:rsidRDefault="00F03F23" w:rsidP="00FF3489">
      <w:pPr>
        <w:spacing w:before="100" w:after="120" w:line="276" w:lineRule="auto"/>
        <w:rPr>
          <w:rFonts w:ascii="Calibri Light" w:hAnsi="Calibri Light" w:cs="Calibri Light"/>
          <w:sz w:val="22"/>
          <w:szCs w:val="22"/>
        </w:rPr>
      </w:pPr>
    </w:p>
    <w:p w14:paraId="2E575F3F" w14:textId="77777777" w:rsidR="00F03F23" w:rsidRPr="009D1EFA" w:rsidRDefault="00F03F23" w:rsidP="00FF3489">
      <w:pPr>
        <w:spacing w:before="100" w:after="120" w:line="276" w:lineRule="auto"/>
        <w:rPr>
          <w:rFonts w:ascii="Calibri Light" w:hAnsi="Calibri Light" w:cs="Calibri Light"/>
          <w:sz w:val="22"/>
          <w:szCs w:val="22"/>
        </w:rPr>
      </w:pPr>
    </w:p>
    <w:p w14:paraId="68EDB572" w14:textId="77777777" w:rsidR="00CE6AD5" w:rsidRPr="009D1EFA" w:rsidRDefault="00CE6AD5" w:rsidP="00FF3489">
      <w:pPr>
        <w:spacing w:before="100" w:after="120" w:line="276" w:lineRule="auto"/>
        <w:rPr>
          <w:rFonts w:ascii="Calibri Light" w:hAnsi="Calibri Light" w:cs="Calibri Light"/>
          <w:sz w:val="22"/>
          <w:szCs w:val="22"/>
        </w:rPr>
      </w:pPr>
    </w:p>
    <w:p w14:paraId="1DA159CE" w14:textId="4F8BF42D" w:rsidR="00E43198" w:rsidRPr="009D1EFA" w:rsidRDefault="006A43CD" w:rsidP="00FF3489">
      <w:pPr>
        <w:spacing w:before="100" w:after="120" w:line="276" w:lineRule="auto"/>
        <w:rPr>
          <w:rFonts w:ascii="Calibri Light" w:hAnsi="Calibri Light" w:cs="Calibri Light"/>
          <w:sz w:val="22"/>
          <w:szCs w:val="22"/>
        </w:rPr>
      </w:pPr>
      <w:r w:rsidRPr="009D1EFA">
        <w:rPr>
          <w:rFonts w:ascii="Calibri Light" w:hAnsi="Calibri Light" w:cs="Calibri Light"/>
          <w:noProof/>
          <w:sz w:val="22"/>
          <w:szCs w:val="22"/>
        </w:rPr>
        <mc:AlternateContent>
          <mc:Choice Requires="wps">
            <w:drawing>
              <wp:anchor distT="0" distB="0" distL="114300" distR="114300" simplePos="0" relativeHeight="251661312" behindDoc="0" locked="0" layoutInCell="1" allowOverlap="1" wp14:anchorId="7ABF57CF" wp14:editId="4FE9D724">
                <wp:simplePos x="0" y="0"/>
                <wp:positionH relativeFrom="column">
                  <wp:posOffset>-13017</wp:posOffset>
                </wp:positionH>
                <wp:positionV relativeFrom="paragraph">
                  <wp:posOffset>385762</wp:posOffset>
                </wp:positionV>
                <wp:extent cx="5787390" cy="858272"/>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7390" cy="858272"/>
                        </a:xfrm>
                        <a:prstGeom prst="rect">
                          <a:avLst/>
                        </a:prstGeom>
                        <a:noFill/>
                        <a:ln w="6350">
                          <a:noFill/>
                        </a:ln>
                      </wps:spPr>
                      <wps:txbx>
                        <w:txbxContent>
                          <w:p w14:paraId="6D18313B" w14:textId="77777777" w:rsidR="00E43198" w:rsidRDefault="00E43198" w:rsidP="00F77EF3">
                            <w:pPr>
                              <w:pStyle w:val="RSHVCCoverSubhead"/>
                            </w:pPr>
                          </w:p>
                          <w:p w14:paraId="202AAC14" w14:textId="6E0DE8E3" w:rsidR="00E43198" w:rsidRPr="00F77EF3" w:rsidRDefault="00E43198" w:rsidP="00F77EF3">
                            <w:pPr>
                              <w:pStyle w:val="RSHVCCoverSubhead"/>
                            </w:pPr>
                            <w:r>
                              <w:t>FEB</w:t>
                            </w:r>
                            <w:r w:rsidR="00135FAD">
                              <w:t>RUARY</w:t>
                            </w:r>
                            <w:r>
                              <w:t xml:space="preserve"> </w:t>
                            </w:r>
                            <w:r w:rsidRPr="00F77EF3">
                              <w:t>202</w:t>
                            </w:r>
                            <w:r w:rsidR="00D9479B">
                              <w:t>1</w:t>
                            </w:r>
                          </w:p>
                          <w:p w14:paraId="2018400D" w14:textId="77777777" w:rsidR="00E43198" w:rsidRPr="00F03F23" w:rsidRDefault="00E43198" w:rsidP="00F03F23">
                            <w:pPr>
                              <w:pStyle w:val="RSHVCCoverSubhe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BF57CF" id="Text Box 2" o:spid="_x0000_s1027" type="#_x0000_t202" style="position:absolute;margin-left:-1pt;margin-top:30.35pt;width:455.7pt;height:6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" filled="f" stroked="f" strokeweight=".5pt">
                <v:textbox>
                  <w:txbxContent>
                    <w:p w14:paraId="6D18313B" w14:textId="77777777" w:rsidR="00E43198" w:rsidRDefault="00E43198" w:rsidP="00F77EF3">
                      <w:pPr>
                        <w:pStyle w:val="RSHVCCoverSubhead"/>
                      </w:pPr>
                    </w:p>
                    <w:p w14:paraId="202AAC14" w14:textId="6E0DE8E3" w:rsidR="00E43198" w:rsidRPr="00F77EF3" w:rsidRDefault="00E43198" w:rsidP="00F77EF3">
                      <w:pPr>
                        <w:pStyle w:val="RSHVCCoverSubhead"/>
                      </w:pPr>
                      <w:r>
                        <w:t>FEB</w:t>
                      </w:r>
                      <w:r w:rsidR="00135FAD">
                        <w:t>RUARY</w:t>
                      </w:r>
                      <w:r>
                        <w:t xml:space="preserve"> </w:t>
                      </w:r>
                      <w:r w:rsidRPr="00F77EF3">
                        <w:t>202</w:t>
                      </w:r>
                      <w:r w:rsidR="00D9479B">
                        <w:t>1</w:t>
                      </w:r>
                    </w:p>
                    <w:p w14:paraId="2018400D" w14:textId="77777777" w:rsidR="00E43198" w:rsidRPr="00F03F23" w:rsidRDefault="00E43198" w:rsidP="00F03F23">
                      <w:pPr>
                        <w:pStyle w:val="RSHVCCoverSubhead"/>
                      </w:pPr>
                    </w:p>
                  </w:txbxContent>
                </v:textbox>
              </v:shape>
            </w:pict>
          </mc:Fallback>
        </mc:AlternateContent>
      </w:r>
      <w:r w:rsidR="00CE6AD5" w:rsidRPr="009D1EFA">
        <w:rPr>
          <w:rFonts w:ascii="Calibri Light" w:hAnsi="Calibri Light" w:cs="Calibri Light"/>
          <w:sz w:val="22"/>
          <w:szCs w:val="22"/>
        </w:rPr>
        <w:br w:type="page"/>
      </w:r>
      <w:bookmarkStart w:id="0" w:name="_Hlk58250487"/>
      <w:bookmarkEnd w:id="0"/>
    </w:p>
    <w:p w14:paraId="2D0C2C8F" w14:textId="77777777" w:rsidR="00A26044" w:rsidRDefault="00A26044" w:rsidP="00FF3489">
      <w:pPr>
        <w:pStyle w:val="RSHVCHeading2"/>
        <w:spacing w:before="100" w:line="276" w:lineRule="auto"/>
        <w:rPr>
          <w:rFonts w:ascii="Calibri Light" w:hAnsi="Calibri Light" w:cs="Calibri Light"/>
          <w:szCs w:val="28"/>
        </w:rPr>
      </w:pPr>
      <w:bookmarkStart w:id="1" w:name="_Toc54347242"/>
      <w:bookmarkStart w:id="2" w:name="_Toc55855997"/>
      <w:r>
        <w:rPr>
          <w:rFonts w:ascii="Calibri Light" w:hAnsi="Calibri Light" w:cs="Calibri Light"/>
          <w:szCs w:val="28"/>
        </w:rPr>
        <w:lastRenderedPageBreak/>
        <w:t>Acknowledgement</w:t>
      </w:r>
    </w:p>
    <w:p w14:paraId="01275F68" w14:textId="77777777" w:rsidR="00D9479B" w:rsidRDefault="00D9479B" w:rsidP="00FF3489">
      <w:pPr>
        <w:pStyle w:val="RSHVCHeading2"/>
        <w:spacing w:before="100" w:line="276" w:lineRule="auto"/>
        <w:rPr>
          <w:rFonts w:cs="Calibri"/>
          <w:color w:val="201F1E"/>
          <w:sz w:val="22"/>
          <w:szCs w:val="22"/>
          <w:shd w:val="clear" w:color="auto" w:fill="FFFFFF"/>
        </w:rPr>
      </w:pPr>
    </w:p>
    <w:p w14:paraId="718A9CAD" w14:textId="0AC1BF30" w:rsidR="00A26044" w:rsidRPr="00A26044" w:rsidRDefault="00A26044" w:rsidP="00FF3489">
      <w:pPr>
        <w:pStyle w:val="RSHVCHeading2"/>
        <w:spacing w:before="100" w:line="276" w:lineRule="auto"/>
        <w:rPr>
          <w:rFonts w:cs="Calibri"/>
          <w:color w:val="201F1E"/>
          <w:sz w:val="22"/>
          <w:szCs w:val="22"/>
          <w:shd w:val="clear" w:color="auto" w:fill="FFFFFF"/>
        </w:rPr>
      </w:pPr>
      <w:r w:rsidRPr="00A26044">
        <w:rPr>
          <w:rFonts w:cs="Calibri"/>
          <w:color w:val="201F1E"/>
          <w:sz w:val="22"/>
          <w:szCs w:val="22"/>
          <w:shd w:val="clear" w:color="auto" w:fill="FFFFFF"/>
        </w:rPr>
        <w:t xml:space="preserve">Gabrielle Appleby provided expert advice to the </w:t>
      </w:r>
      <w:r w:rsidR="00D9479B">
        <w:rPr>
          <w:rFonts w:cs="Calibri"/>
          <w:color w:val="201F1E"/>
          <w:sz w:val="22"/>
          <w:szCs w:val="22"/>
          <w:shd w:val="clear" w:color="auto" w:fill="FFFFFF"/>
        </w:rPr>
        <w:t>R</w:t>
      </w:r>
      <w:r w:rsidRPr="00A26044">
        <w:rPr>
          <w:rFonts w:cs="Calibri"/>
          <w:color w:val="201F1E"/>
          <w:sz w:val="22"/>
          <w:szCs w:val="22"/>
          <w:shd w:val="clear" w:color="auto" w:fill="FFFFFF"/>
        </w:rPr>
        <w:t xml:space="preserve">eview in relation to the constitutional and theoretical framing of the report in Section 1.4 of </w:t>
      </w:r>
      <w:r w:rsidRPr="00A26044">
        <w:rPr>
          <w:rFonts w:cs="Calibri"/>
          <w:i/>
          <w:iCs/>
          <w:color w:val="201F1E"/>
          <w:sz w:val="22"/>
          <w:szCs w:val="22"/>
          <w:shd w:val="clear" w:color="auto" w:fill="FFFFFF"/>
        </w:rPr>
        <w:t>Addressing and Preventing Sexual Harassment in Victorian Courts and VCAT Report and Recommendations.</w:t>
      </w:r>
      <w:r w:rsidRPr="00A26044">
        <w:rPr>
          <w:rFonts w:cs="Calibri"/>
          <w:color w:val="201F1E"/>
          <w:sz w:val="22"/>
          <w:szCs w:val="22"/>
          <w:shd w:val="clear" w:color="auto" w:fill="FFFFFF"/>
        </w:rPr>
        <w:t> </w:t>
      </w:r>
    </w:p>
    <w:p w14:paraId="53755801" w14:textId="57BE00E5" w:rsidR="00A26044" w:rsidRPr="00A26044" w:rsidRDefault="00A26044" w:rsidP="00FF3489">
      <w:pPr>
        <w:rPr>
          <w:rFonts w:ascii="Calibri" w:hAnsi="Calibri" w:cs="Calibri"/>
          <w:color w:val="201F1E"/>
          <w:sz w:val="22"/>
          <w:szCs w:val="22"/>
          <w:shd w:val="clear" w:color="auto" w:fill="FFFFFF"/>
        </w:rPr>
      </w:pPr>
      <w:r>
        <w:rPr>
          <w:rFonts w:cs="Calibri"/>
          <w:color w:val="201F1E"/>
          <w:sz w:val="22"/>
          <w:szCs w:val="22"/>
          <w:shd w:val="clear" w:color="auto" w:fill="FFFFFF"/>
        </w:rPr>
        <w:br w:type="page"/>
      </w:r>
    </w:p>
    <w:bookmarkEnd w:id="1"/>
    <w:bookmarkEnd w:id="2"/>
    <w:p w14:paraId="351DCFCF" w14:textId="1BCD40E9" w:rsidR="009D1EFA" w:rsidRPr="00D11F35" w:rsidRDefault="00D11F35" w:rsidP="00D9479B">
      <w:pPr>
        <w:pStyle w:val="RSHVCHeading2"/>
        <w:spacing w:before="100" w:after="100" w:line="276" w:lineRule="auto"/>
        <w:rPr>
          <w:rFonts w:ascii="Calibri Light" w:hAnsi="Calibri Light" w:cs="Calibri Light"/>
          <w:sz w:val="10"/>
          <w:szCs w:val="10"/>
        </w:rPr>
      </w:pPr>
      <w:r>
        <w:rPr>
          <w:rFonts w:ascii="Calibri Light" w:hAnsi="Calibri Light" w:cs="Calibri Light"/>
          <w:szCs w:val="28"/>
        </w:rPr>
        <w:lastRenderedPageBreak/>
        <w:t xml:space="preserve"> </w:t>
      </w:r>
    </w:p>
    <w:p w14:paraId="53BA0ED1" w14:textId="08FB3AC7" w:rsidR="009D1EFA" w:rsidRPr="009D1EFA" w:rsidRDefault="009D1EFA" w:rsidP="00FF3489">
      <w:pPr>
        <w:pStyle w:val="RSHVCbody"/>
        <w:spacing w:before="100" w:after="120" w:line="276" w:lineRule="auto"/>
        <w:rPr>
          <w:rFonts w:cs="Calibri Light"/>
          <w:szCs w:val="22"/>
        </w:rPr>
      </w:pPr>
      <w:r w:rsidRPr="009D1EFA">
        <w:rPr>
          <w:rFonts w:cs="Calibri Light"/>
          <w:szCs w:val="22"/>
        </w:rPr>
        <w:t>This part</w:t>
      </w:r>
      <w:r>
        <w:rPr>
          <w:rFonts w:cs="Calibri Light"/>
          <w:szCs w:val="22"/>
        </w:rPr>
        <w:t xml:space="preserve"> of the paper</w:t>
      </w:r>
      <w:r w:rsidRPr="009D1EFA">
        <w:rPr>
          <w:rFonts w:cs="Calibri Light"/>
          <w:szCs w:val="22"/>
        </w:rPr>
        <w:t xml:space="preserve"> introduces the constitutional and theoretical foundations of the judicial values of independence and accountability, and how judicial accountability mechanisms have attempted to navigate and balance these values. It explains the traditional approach in which the Head of Jurisdiction was responsible for receiving and dealing with complaints before turning to the introduction of independent commissions and exploring how they assist the Head of Jurisdiction with these governance responsibilities. Finally, it explains the current Victorian model as one in which the traditional system has been supplemented by the establishment of an independent complaints commission. </w:t>
      </w:r>
    </w:p>
    <w:p w14:paraId="23D740DE" w14:textId="77777777" w:rsidR="009D1EFA" w:rsidRPr="00D9479B" w:rsidRDefault="009D1EFA" w:rsidP="00FF3489">
      <w:pPr>
        <w:spacing w:before="100" w:after="120" w:line="276" w:lineRule="auto"/>
        <w:ind w:right="-51"/>
        <w:rPr>
          <w:rFonts w:ascii="Calibri Light" w:hAnsi="Calibri Light" w:cs="Calibri Light"/>
          <w:color w:val="006472"/>
        </w:rPr>
      </w:pPr>
      <w:r w:rsidRPr="00D9479B">
        <w:rPr>
          <w:rFonts w:ascii="Calibri Light" w:hAnsi="Calibri Light" w:cs="Calibri Light"/>
          <w:color w:val="006472"/>
        </w:rPr>
        <w:t>(1) Judicial Independence and Accountability: Constitutional and theoretical foundations</w:t>
      </w:r>
    </w:p>
    <w:p w14:paraId="13E04F6E" w14:textId="77777777" w:rsidR="009D1EFA" w:rsidRPr="009D1EFA" w:rsidRDefault="009D1EFA" w:rsidP="00FF3489">
      <w:pPr>
        <w:spacing w:before="100" w:after="120" w:line="276" w:lineRule="auto"/>
        <w:ind w:right="-51"/>
        <w:rPr>
          <w:rFonts w:ascii="Calibri Light" w:hAnsi="Calibri Light" w:cs="Arial"/>
          <w:iCs/>
          <w:sz w:val="22"/>
          <w:szCs w:val="22"/>
        </w:rPr>
      </w:pPr>
      <w:r w:rsidRPr="009D1EFA">
        <w:rPr>
          <w:rFonts w:ascii="Calibri Light" w:hAnsi="Calibri Light" w:cs="Arial"/>
          <w:sz w:val="22"/>
          <w:szCs w:val="22"/>
        </w:rPr>
        <w:t xml:space="preserve">In Australia, the Commonwealth Constitution protects judicial independence at both state and federal level through the separation of federal judicial power from the political branches of government. At the state level, this is captured by the </w:t>
      </w:r>
      <w:r w:rsidRPr="009D1EFA">
        <w:rPr>
          <w:rFonts w:ascii="Calibri Light" w:hAnsi="Calibri Light" w:cs="Arial"/>
          <w:i/>
          <w:sz w:val="22"/>
          <w:szCs w:val="22"/>
        </w:rPr>
        <w:t xml:space="preserve">Kable </w:t>
      </w:r>
      <w:r w:rsidRPr="009D1EFA">
        <w:rPr>
          <w:rFonts w:ascii="Calibri Light" w:hAnsi="Calibri Light" w:cs="Arial"/>
          <w:iCs/>
          <w:sz w:val="22"/>
          <w:szCs w:val="22"/>
        </w:rPr>
        <w:t>principle, which was developed to ensure public confidence in the integrity of the state courts and the administration of justice.</w:t>
      </w:r>
      <w:r w:rsidRPr="009D1EFA">
        <w:rPr>
          <w:rStyle w:val="FootnoteReference"/>
          <w:rFonts w:ascii="Calibri Light" w:hAnsi="Calibri Light" w:cs="Arial"/>
          <w:iCs/>
          <w:sz w:val="22"/>
          <w:szCs w:val="22"/>
        </w:rPr>
        <w:footnoteReference w:id="1"/>
      </w:r>
      <w:r w:rsidRPr="009D1EFA">
        <w:rPr>
          <w:rFonts w:ascii="Calibri Light" w:hAnsi="Calibri Light" w:cs="Arial"/>
          <w:iCs/>
          <w:sz w:val="22"/>
          <w:szCs w:val="22"/>
        </w:rPr>
        <w:t xml:space="preserve"> The </w:t>
      </w:r>
      <w:r w:rsidRPr="009D1EFA">
        <w:rPr>
          <w:rFonts w:ascii="Calibri Light" w:hAnsi="Calibri Light" w:cs="Arial"/>
          <w:i/>
          <w:sz w:val="22"/>
          <w:szCs w:val="22"/>
        </w:rPr>
        <w:t xml:space="preserve">Kable </w:t>
      </w:r>
      <w:r w:rsidRPr="009D1EFA">
        <w:rPr>
          <w:rFonts w:ascii="Calibri Light" w:hAnsi="Calibri Light" w:cs="Arial"/>
          <w:iCs/>
          <w:sz w:val="22"/>
          <w:szCs w:val="22"/>
        </w:rPr>
        <w:t>principle has developed from a doctrine anchored in the state judiciaries’ position in the federal hierarchy to be implied from the constitutional term “court” and “Supreme Court” in Chapter III.</w:t>
      </w:r>
      <w:r w:rsidRPr="009D1EFA">
        <w:rPr>
          <w:rStyle w:val="FootnoteReference"/>
          <w:rFonts w:ascii="Calibri Light" w:hAnsi="Calibri Light" w:cs="Arial"/>
          <w:iCs/>
          <w:sz w:val="22"/>
          <w:szCs w:val="22"/>
        </w:rPr>
        <w:footnoteReference w:id="2"/>
      </w:r>
      <w:r w:rsidRPr="009D1EFA">
        <w:rPr>
          <w:rFonts w:ascii="Calibri Light" w:hAnsi="Calibri Light" w:cs="Arial"/>
          <w:iCs/>
          <w:sz w:val="22"/>
          <w:szCs w:val="22"/>
        </w:rPr>
        <w:t xml:space="preserve"> Under the modern approach to the principle, the High Court has required States maintain certain defining characteristics of their judiciaries. These characteristics have been held to include judicial independence and impartiality,</w:t>
      </w:r>
      <w:r w:rsidRPr="009D1EFA">
        <w:rPr>
          <w:rStyle w:val="FootnoteReference"/>
          <w:rFonts w:ascii="Calibri Light" w:hAnsi="Calibri Light" w:cs="Arial"/>
          <w:iCs/>
          <w:sz w:val="22"/>
          <w:szCs w:val="22"/>
        </w:rPr>
        <w:footnoteReference w:id="3"/>
      </w:r>
      <w:r w:rsidRPr="009D1EFA">
        <w:rPr>
          <w:rFonts w:ascii="Calibri Light" w:hAnsi="Calibri Light" w:cs="Arial"/>
          <w:iCs/>
          <w:sz w:val="22"/>
          <w:szCs w:val="22"/>
        </w:rPr>
        <w:t xml:space="preserve"> fair judicial process,</w:t>
      </w:r>
      <w:r w:rsidRPr="009D1EFA">
        <w:rPr>
          <w:rStyle w:val="FootnoteReference"/>
          <w:rFonts w:ascii="Calibri Light" w:hAnsi="Calibri Light" w:cs="Arial"/>
          <w:iCs/>
          <w:sz w:val="22"/>
          <w:szCs w:val="22"/>
        </w:rPr>
        <w:footnoteReference w:id="4"/>
      </w:r>
      <w:r w:rsidRPr="009D1EFA">
        <w:rPr>
          <w:rFonts w:ascii="Calibri Light" w:hAnsi="Calibri Light" w:cs="Arial"/>
          <w:iCs/>
          <w:sz w:val="22"/>
          <w:szCs w:val="22"/>
        </w:rPr>
        <w:t xml:space="preserve"> open court,</w:t>
      </w:r>
      <w:r w:rsidRPr="009D1EFA">
        <w:rPr>
          <w:rStyle w:val="FootnoteReference"/>
          <w:rFonts w:ascii="Calibri Light" w:hAnsi="Calibri Light" w:cs="Arial"/>
          <w:iCs/>
          <w:sz w:val="22"/>
          <w:szCs w:val="22"/>
        </w:rPr>
        <w:footnoteReference w:id="5"/>
      </w:r>
      <w:r w:rsidRPr="009D1EFA">
        <w:rPr>
          <w:rFonts w:ascii="Calibri Light" w:hAnsi="Calibri Light" w:cs="Arial"/>
          <w:iCs/>
          <w:sz w:val="22"/>
          <w:szCs w:val="22"/>
        </w:rPr>
        <w:t xml:space="preserve"> the right to reasons,</w:t>
      </w:r>
      <w:r w:rsidRPr="009D1EFA">
        <w:rPr>
          <w:rStyle w:val="FootnoteReference"/>
          <w:rFonts w:ascii="Calibri Light" w:hAnsi="Calibri Light" w:cs="Arial"/>
          <w:iCs/>
          <w:sz w:val="22"/>
          <w:szCs w:val="22"/>
        </w:rPr>
        <w:footnoteReference w:id="6"/>
      </w:r>
      <w:r w:rsidRPr="009D1EFA">
        <w:rPr>
          <w:rFonts w:ascii="Calibri Light" w:hAnsi="Calibri Light" w:cs="Arial"/>
          <w:iCs/>
          <w:sz w:val="22"/>
          <w:szCs w:val="22"/>
        </w:rPr>
        <w:t xml:space="preserve"> the maintenance of appropriate judicial discretion,</w:t>
      </w:r>
      <w:r w:rsidRPr="009D1EFA">
        <w:rPr>
          <w:rStyle w:val="FootnoteReference"/>
          <w:rFonts w:ascii="Calibri Light" w:hAnsi="Calibri Light" w:cs="Arial"/>
          <w:iCs/>
          <w:sz w:val="22"/>
          <w:szCs w:val="22"/>
        </w:rPr>
        <w:footnoteReference w:id="7"/>
      </w:r>
      <w:r w:rsidRPr="009D1EFA">
        <w:rPr>
          <w:rFonts w:ascii="Calibri Light" w:hAnsi="Calibri Light" w:cs="Arial"/>
          <w:iCs/>
          <w:sz w:val="22"/>
          <w:szCs w:val="22"/>
        </w:rPr>
        <w:t xml:space="preserve"> and, for the State Supreme Courts, minimum jurisdiction of judicial review.</w:t>
      </w:r>
      <w:r w:rsidRPr="009D1EFA">
        <w:rPr>
          <w:rStyle w:val="FootnoteReference"/>
          <w:rFonts w:ascii="Calibri Light" w:hAnsi="Calibri Light" w:cs="Arial"/>
          <w:iCs/>
          <w:sz w:val="22"/>
          <w:szCs w:val="22"/>
        </w:rPr>
        <w:footnoteReference w:id="8"/>
      </w:r>
      <w:r w:rsidRPr="009D1EFA">
        <w:rPr>
          <w:rFonts w:ascii="Calibri Light" w:hAnsi="Calibri Light" w:cs="Arial"/>
          <w:iCs/>
          <w:sz w:val="22"/>
          <w:szCs w:val="22"/>
        </w:rPr>
        <w:t xml:space="preserve"> </w:t>
      </w:r>
    </w:p>
    <w:p w14:paraId="1F53ED14"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iCs/>
          <w:sz w:val="22"/>
          <w:szCs w:val="22"/>
        </w:rPr>
        <w:t xml:space="preserve">These defining characteristics represent what have been referred to as underlying judicial “values”. A list of these values to “guide and govern a judiciary” have been articulated by leading Canadian judicial scholars Professors Richard Devlin and Adam </w:t>
      </w:r>
      <w:proofErr w:type="spellStart"/>
      <w:r w:rsidRPr="009D1EFA">
        <w:rPr>
          <w:rFonts w:ascii="Calibri Light" w:hAnsi="Calibri Light" w:cs="Arial"/>
          <w:iCs/>
          <w:sz w:val="22"/>
          <w:szCs w:val="22"/>
        </w:rPr>
        <w:t>Dodek</w:t>
      </w:r>
      <w:proofErr w:type="spellEnd"/>
      <w:r w:rsidRPr="009D1EFA">
        <w:rPr>
          <w:rFonts w:ascii="Calibri Light" w:hAnsi="Calibri Light" w:cs="Arial"/>
          <w:iCs/>
          <w:sz w:val="22"/>
          <w:szCs w:val="22"/>
        </w:rPr>
        <w:t xml:space="preserve"> in their book, </w:t>
      </w:r>
      <w:r w:rsidRPr="009D1EFA">
        <w:rPr>
          <w:rFonts w:ascii="Calibri Light" w:hAnsi="Calibri Light" w:cs="Arial"/>
          <w:i/>
          <w:sz w:val="22"/>
          <w:szCs w:val="22"/>
        </w:rPr>
        <w:t>Regulating Judges: Beyond Independence and Accountability</w:t>
      </w:r>
      <w:r w:rsidRPr="009D1EFA">
        <w:rPr>
          <w:rFonts w:ascii="Calibri Light" w:hAnsi="Calibri Light" w:cs="Arial"/>
          <w:iCs/>
          <w:sz w:val="22"/>
          <w:szCs w:val="22"/>
        </w:rPr>
        <w:t>.</w:t>
      </w:r>
      <w:r w:rsidRPr="009D1EFA">
        <w:rPr>
          <w:rStyle w:val="FootnoteReference"/>
          <w:rFonts w:ascii="Calibri Light" w:hAnsi="Calibri Light" w:cs="Arial"/>
          <w:iCs/>
          <w:sz w:val="22"/>
          <w:szCs w:val="22"/>
        </w:rPr>
        <w:footnoteReference w:id="9"/>
      </w:r>
      <w:r w:rsidRPr="009D1EFA">
        <w:rPr>
          <w:rFonts w:ascii="Calibri Light" w:hAnsi="Calibri Light" w:cs="Arial"/>
          <w:iCs/>
          <w:sz w:val="22"/>
          <w:szCs w:val="22"/>
        </w:rPr>
        <w:t xml:space="preserve"> These values were developed by Devlin and </w:t>
      </w:r>
      <w:proofErr w:type="spellStart"/>
      <w:r w:rsidRPr="009D1EFA">
        <w:rPr>
          <w:rFonts w:ascii="Calibri Light" w:hAnsi="Calibri Light" w:cs="Arial"/>
          <w:iCs/>
          <w:sz w:val="22"/>
          <w:szCs w:val="22"/>
        </w:rPr>
        <w:t>Dodek</w:t>
      </w:r>
      <w:proofErr w:type="spellEnd"/>
      <w:r w:rsidRPr="009D1EFA">
        <w:rPr>
          <w:rFonts w:ascii="Calibri Light" w:hAnsi="Calibri Light" w:cs="Arial"/>
          <w:iCs/>
          <w:sz w:val="22"/>
          <w:szCs w:val="22"/>
        </w:rPr>
        <w:t xml:space="preserve"> as a regulatory, constitutional and comparative tool. They include traditional and well-accepted judicial legitimacy values: </w:t>
      </w:r>
      <w:r w:rsidRPr="009D1EFA">
        <w:rPr>
          <w:rFonts w:ascii="Calibri Light" w:hAnsi="Calibri Light" w:cs="Arial"/>
          <w:sz w:val="22"/>
          <w:szCs w:val="22"/>
        </w:rPr>
        <w:t>independence, impartiality, and accountability. They also extend those values into areas that are increasingly significant for a modern judiciary: representativeness, transparency and efficiency.</w:t>
      </w:r>
    </w:p>
    <w:p w14:paraId="71BAE1FE"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Of course, in the Australian system, not all of these values have been constitutionalised. However, we do see very clearly in the </w:t>
      </w:r>
      <w:r w:rsidRPr="009D1EFA">
        <w:rPr>
          <w:rFonts w:ascii="Calibri Light" w:hAnsi="Calibri Light" w:cs="Arial"/>
          <w:i/>
          <w:iCs/>
          <w:sz w:val="22"/>
          <w:szCs w:val="22"/>
        </w:rPr>
        <w:t xml:space="preserve">Kable </w:t>
      </w:r>
      <w:r w:rsidRPr="009D1EFA">
        <w:rPr>
          <w:rFonts w:ascii="Calibri Light" w:hAnsi="Calibri Light" w:cs="Arial"/>
          <w:sz w:val="22"/>
          <w:szCs w:val="22"/>
        </w:rPr>
        <w:t xml:space="preserve">requirements the values of independence, impartiality and accountability. We </w:t>
      </w:r>
      <w:r w:rsidRPr="009D1EFA">
        <w:rPr>
          <w:rFonts w:ascii="Calibri Light" w:hAnsi="Calibri Light" w:cs="Arial"/>
          <w:sz w:val="22"/>
          <w:szCs w:val="22"/>
        </w:rPr>
        <w:lastRenderedPageBreak/>
        <w:t>see the values of independence and impartiality directly. Indirectly, we see the value of accountability in the requirement for open court, reasons and fair judicial process.</w:t>
      </w:r>
      <w:r w:rsidRPr="009D1EFA">
        <w:rPr>
          <w:rStyle w:val="FootnoteReference"/>
          <w:rFonts w:ascii="Calibri Light" w:hAnsi="Calibri Light" w:cs="Arial"/>
          <w:sz w:val="22"/>
          <w:szCs w:val="22"/>
        </w:rPr>
        <w:footnoteReference w:id="10"/>
      </w:r>
      <w:r w:rsidRPr="009D1EFA">
        <w:rPr>
          <w:rFonts w:ascii="Calibri Light" w:hAnsi="Calibri Light" w:cs="Arial"/>
          <w:sz w:val="22"/>
          <w:szCs w:val="22"/>
        </w:rPr>
        <w:t xml:space="preserve"> </w:t>
      </w:r>
    </w:p>
    <w:p w14:paraId="297CC34A"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The value of judicial independence is occasionally positioned as in opposition to the value of accountability. However, in their piece, ‘The Chief Justice: Under Relational and Institutional Pressure’, Professor Gabrielle Appleby and Dr Heather Roberts have argued, this “underestimates the normative complexity of the judicial role and the judicial institution and sets up a false zero-sum trade-off between the two values.”</w:t>
      </w:r>
      <w:r w:rsidRPr="009D1EFA">
        <w:rPr>
          <w:rStyle w:val="FootnoteReference"/>
          <w:rFonts w:ascii="Calibri Light" w:hAnsi="Calibri Light" w:cs="Arial"/>
          <w:sz w:val="22"/>
          <w:szCs w:val="22"/>
        </w:rPr>
        <w:footnoteReference w:id="11"/>
      </w:r>
      <w:r w:rsidRPr="009D1EFA">
        <w:rPr>
          <w:rFonts w:ascii="Calibri Light" w:hAnsi="Calibri Light" w:cs="Arial"/>
          <w:sz w:val="22"/>
          <w:szCs w:val="22"/>
        </w:rPr>
        <w:t xml:space="preserve"> </w:t>
      </w:r>
    </w:p>
    <w:p w14:paraId="325CA4A8"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Similarly, in her article ‘Ireland’s system for disciplining and removing judges’, Laura </w:t>
      </w:r>
      <w:proofErr w:type="spellStart"/>
      <w:r w:rsidRPr="009D1EFA">
        <w:rPr>
          <w:rFonts w:ascii="Calibri Light" w:hAnsi="Calibri Light" w:cs="Arial"/>
          <w:sz w:val="22"/>
          <w:szCs w:val="22"/>
        </w:rPr>
        <w:t>Cahillane</w:t>
      </w:r>
      <w:proofErr w:type="spellEnd"/>
      <w:r w:rsidRPr="009D1EFA">
        <w:rPr>
          <w:rFonts w:ascii="Calibri Light" w:hAnsi="Calibri Light" w:cs="Arial"/>
          <w:sz w:val="22"/>
          <w:szCs w:val="22"/>
        </w:rPr>
        <w:t xml:space="preserve"> argues that a balanced system of judicial accountability promotes judicial independence by promoting public confidence in the judiciary.</w:t>
      </w:r>
      <w:r w:rsidRPr="009D1EFA">
        <w:rPr>
          <w:rStyle w:val="FootnoteReference"/>
          <w:rFonts w:ascii="Calibri Light" w:hAnsi="Calibri Light" w:cs="Arial"/>
          <w:sz w:val="22"/>
          <w:szCs w:val="22"/>
        </w:rPr>
        <w:footnoteReference w:id="12"/>
      </w:r>
      <w:r w:rsidRPr="009D1EFA">
        <w:rPr>
          <w:rFonts w:ascii="Calibri Light" w:hAnsi="Calibri Light" w:cs="Arial"/>
          <w:sz w:val="22"/>
          <w:szCs w:val="22"/>
        </w:rPr>
        <w:t xml:space="preserve"> </w:t>
      </w:r>
      <w:proofErr w:type="spellStart"/>
      <w:r w:rsidRPr="009D1EFA">
        <w:rPr>
          <w:rFonts w:ascii="Calibri Light" w:hAnsi="Calibri Light" w:cs="Arial"/>
          <w:sz w:val="22"/>
          <w:szCs w:val="22"/>
        </w:rPr>
        <w:t>Cahillane</w:t>
      </w:r>
      <w:proofErr w:type="spellEnd"/>
      <w:r w:rsidRPr="009D1EFA">
        <w:rPr>
          <w:rFonts w:ascii="Calibri Light" w:hAnsi="Calibri Light" w:cs="Arial"/>
          <w:sz w:val="22"/>
          <w:szCs w:val="22"/>
        </w:rPr>
        <w:t xml:space="preserve"> concludes that: </w:t>
      </w:r>
    </w:p>
    <w:p w14:paraId="27259268" w14:textId="77777777" w:rsidR="009D1EFA" w:rsidRPr="009D1EFA" w:rsidRDefault="009D1EFA" w:rsidP="00FF3489">
      <w:pPr>
        <w:pStyle w:val="Quote"/>
        <w:spacing w:before="100" w:after="120" w:line="276" w:lineRule="auto"/>
        <w:jc w:val="left"/>
        <w:rPr>
          <w:rFonts w:ascii="Calibri Light" w:hAnsi="Calibri Light" w:cs="Arial"/>
          <w:color w:val="000000" w:themeColor="text1"/>
        </w:rPr>
      </w:pPr>
      <w:r w:rsidRPr="009D1EFA">
        <w:rPr>
          <w:rFonts w:ascii="Calibri Light" w:hAnsi="Calibri Light" w:cs="Arial"/>
          <w:color w:val="000000" w:themeColor="text1"/>
        </w:rPr>
        <w:t>in order to have confidence in the system, the public needs to be assured both that judges will be independent but also that they will be accountable. Thus, the best way to ensure independence and accountability is to provide for a carefully thought-through system of removal and discipline of judges, which would abide by fair procedures.</w:t>
      </w:r>
      <w:r w:rsidRPr="009D1EFA">
        <w:rPr>
          <w:rStyle w:val="FootnoteReference"/>
          <w:rFonts w:ascii="Calibri Light" w:hAnsi="Calibri Light" w:cs="Arial"/>
          <w:color w:val="000000" w:themeColor="text1"/>
        </w:rPr>
        <w:footnoteReference w:id="13"/>
      </w:r>
    </w:p>
    <w:p w14:paraId="3037A2ED" w14:textId="769BB966" w:rsidR="0011560D" w:rsidRPr="009D1EFA" w:rsidRDefault="009D1EFA" w:rsidP="00FF3489">
      <w:pPr>
        <w:spacing w:before="100" w:after="120" w:line="276" w:lineRule="auto"/>
        <w:ind w:right="-51"/>
        <w:rPr>
          <w:rFonts w:ascii="Calibri Light" w:hAnsi="Calibri Light" w:cs="Arial"/>
          <w:color w:val="0000FF"/>
          <w:sz w:val="22"/>
          <w:szCs w:val="22"/>
          <w:lang w:val="en-GB"/>
        </w:rPr>
      </w:pPr>
      <w:r w:rsidRPr="009D1EFA">
        <w:rPr>
          <w:rFonts w:ascii="Calibri Light" w:hAnsi="Calibri Light" w:cs="Arial"/>
          <w:sz w:val="22"/>
          <w:szCs w:val="22"/>
        </w:rPr>
        <w:t>Professors Appleby and Suzanne Le Mire have explained the interaction between the values of independence and accountability in their article, ‘</w:t>
      </w:r>
      <w:r w:rsidRPr="009D1EFA">
        <w:rPr>
          <w:rFonts w:ascii="Calibri Light" w:hAnsi="Calibri Light" w:cs="Arial"/>
          <w:color w:val="252525"/>
          <w:sz w:val="22"/>
          <w:szCs w:val="22"/>
          <w:lang w:val="en-GB"/>
        </w:rPr>
        <w:t>Judicial Conduct: Crafting a System That Enhances Institutional Integrity’. They first explain that judicial independence exists to ensure integrity: it is an instrumental value not a good in and of itself, and nor is it a right of judges.</w:t>
      </w:r>
      <w:r w:rsidRPr="009D1EFA">
        <w:rPr>
          <w:rStyle w:val="FootnoteReference"/>
          <w:rFonts w:ascii="Calibri Light" w:hAnsi="Calibri Light" w:cs="Arial"/>
          <w:sz w:val="22"/>
          <w:szCs w:val="22"/>
        </w:rPr>
        <w:footnoteReference w:id="14"/>
      </w:r>
      <w:r w:rsidRPr="009D1EFA">
        <w:rPr>
          <w:rFonts w:ascii="Calibri Light" w:hAnsi="Calibri Light" w:cs="Arial"/>
          <w:sz w:val="22"/>
          <w:szCs w:val="22"/>
        </w:rPr>
        <w:t xml:space="preserve"> As former Chief Justice of Ireland, Susan Denham has stated: "The independence of the judiciary is for the benefit of the community, not the judges. It is a duty not a privilege for a judge.”</w:t>
      </w:r>
      <w:r w:rsidRPr="009D1EFA">
        <w:rPr>
          <w:rStyle w:val="FootnoteReference"/>
          <w:rFonts w:ascii="Calibri Light" w:hAnsi="Calibri Light" w:cs="Arial"/>
          <w:sz w:val="22"/>
          <w:szCs w:val="22"/>
        </w:rPr>
        <w:footnoteReference w:id="15"/>
      </w:r>
      <w:r w:rsidRPr="009D1EFA">
        <w:rPr>
          <w:rFonts w:ascii="Calibri Light" w:hAnsi="Calibri Light" w:cs="Arial"/>
          <w:color w:val="252525"/>
          <w:sz w:val="22"/>
          <w:szCs w:val="22"/>
          <w:lang w:val="en-GB"/>
        </w:rPr>
        <w:t xml:space="preserve"> Accountability, then, also plays a role in shoring up the integrity of the courts. </w:t>
      </w:r>
      <w:r w:rsidRPr="009D1EFA">
        <w:rPr>
          <w:rFonts w:ascii="Calibri Light" w:hAnsi="Calibri Light" w:cs="Arial"/>
          <w:sz w:val="22"/>
          <w:szCs w:val="22"/>
        </w:rPr>
        <w:t>Appleby and Le Mire say: “</w:t>
      </w:r>
      <w:r w:rsidRPr="009D1EFA">
        <w:rPr>
          <w:rFonts w:ascii="Calibri Light" w:hAnsi="Calibri Light" w:cs="Arial"/>
          <w:color w:val="000000"/>
          <w:sz w:val="22"/>
          <w:szCs w:val="22"/>
          <w:lang w:val="en-GB"/>
        </w:rPr>
        <w:t>Accountability can strengthen institutional integrity and</w:t>
      </w:r>
      <w:r w:rsidRPr="009D1EFA">
        <w:rPr>
          <w:rFonts w:ascii="Calibri Light" w:hAnsi="Calibri Light" w:cs="Arial"/>
          <w:sz w:val="22"/>
          <w:szCs w:val="22"/>
        </w:rPr>
        <w:t xml:space="preserve"> </w:t>
      </w:r>
      <w:r w:rsidRPr="009D1EFA">
        <w:rPr>
          <w:rFonts w:ascii="Calibri Light" w:hAnsi="Calibri Light" w:cs="Arial"/>
          <w:color w:val="000000"/>
          <w:sz w:val="22"/>
          <w:szCs w:val="22"/>
          <w:lang w:val="en-GB"/>
        </w:rPr>
        <w:t>even independence by ensuring judges act consistently with the institution's underlying values.”</w:t>
      </w:r>
      <w:r w:rsidRPr="009D1EFA">
        <w:rPr>
          <w:rStyle w:val="FootnoteReference"/>
          <w:rFonts w:ascii="Calibri Light" w:hAnsi="Calibri Light" w:cs="Arial"/>
          <w:color w:val="000000"/>
          <w:sz w:val="22"/>
          <w:szCs w:val="22"/>
          <w:lang w:val="en-GB"/>
        </w:rPr>
        <w:footnoteReference w:id="16"/>
      </w:r>
      <w:r w:rsidRPr="009D1EFA">
        <w:rPr>
          <w:rFonts w:ascii="Calibri Light" w:hAnsi="Calibri Light" w:cs="Arial"/>
          <w:color w:val="0000FF"/>
          <w:sz w:val="22"/>
          <w:szCs w:val="22"/>
          <w:lang w:val="en-GB"/>
        </w:rPr>
        <w:t xml:space="preserve"> </w:t>
      </w:r>
    </w:p>
    <w:p w14:paraId="0FFE0B52" w14:textId="77777777" w:rsidR="009D1EFA" w:rsidRPr="009D1EFA" w:rsidRDefault="009D1EFA" w:rsidP="00FF3489">
      <w:pPr>
        <w:spacing w:before="100" w:after="120" w:line="276" w:lineRule="auto"/>
        <w:ind w:right="-51"/>
        <w:rPr>
          <w:rFonts w:ascii="Calibri Light" w:hAnsi="Calibri Light" w:cs="Arial"/>
          <w:color w:val="000000"/>
          <w:sz w:val="22"/>
          <w:szCs w:val="22"/>
          <w:lang w:val="en-GB"/>
        </w:rPr>
      </w:pPr>
      <w:r w:rsidRPr="009D1EFA">
        <w:rPr>
          <w:rFonts w:ascii="Calibri Light" w:hAnsi="Calibri Light" w:cs="Arial"/>
          <w:color w:val="000000"/>
          <w:sz w:val="22"/>
          <w:szCs w:val="22"/>
          <w:lang w:val="en-GB"/>
        </w:rPr>
        <w:t>In the United States, the Court of Appeals for the 11th Circuit has also explained this connection, saying:</w:t>
      </w:r>
    </w:p>
    <w:p w14:paraId="2005130C" w14:textId="77777777" w:rsidR="009D1EFA" w:rsidRPr="009D1EFA" w:rsidRDefault="009D1EFA" w:rsidP="00FF3489">
      <w:pPr>
        <w:spacing w:before="100" w:after="120" w:line="276" w:lineRule="auto"/>
        <w:ind w:left="720" w:right="-51"/>
        <w:rPr>
          <w:rFonts w:ascii="Calibri Light" w:hAnsi="Calibri Light" w:cs="Arial"/>
          <w:color w:val="0000FF"/>
          <w:sz w:val="22"/>
          <w:szCs w:val="22"/>
          <w:lang w:val="en-GB"/>
        </w:rPr>
      </w:pPr>
      <w:r w:rsidRPr="009D1EFA">
        <w:rPr>
          <w:rFonts w:ascii="Calibri Light" w:hAnsi="Calibri Light" w:cs="Arial"/>
          <w:color w:val="000000"/>
          <w:sz w:val="22"/>
          <w:szCs w:val="22"/>
          <w:lang w:val="en-GB"/>
        </w:rPr>
        <w:t>a credible internal complaint procedure can be viewed as essential to maintaining the institutional independence of the courts. If judges cannot or will not keep their own house in order, pressures from the public and legislature might result in withdrawal of needed financial support or in the creation of investigatory mechanisms outside the judicial branch which, to a greater degree than the [Judicial Councils</w:t>
      </w:r>
      <w:r w:rsidRPr="009D1EFA">
        <w:rPr>
          <w:rFonts w:ascii="Calibri Light" w:hAnsi="Calibri Light" w:cs="Arial"/>
          <w:color w:val="ABABAB"/>
          <w:sz w:val="22"/>
          <w:szCs w:val="22"/>
          <w:lang w:val="en-GB"/>
        </w:rPr>
        <w:t xml:space="preserve"> </w:t>
      </w:r>
      <w:r w:rsidRPr="009D1EFA">
        <w:rPr>
          <w:rFonts w:ascii="Calibri Light" w:hAnsi="Calibri Light" w:cs="Arial"/>
          <w:color w:val="000000"/>
          <w:sz w:val="22"/>
          <w:szCs w:val="22"/>
          <w:lang w:val="en-GB"/>
        </w:rPr>
        <w:t>Reform and Judicial Conduct and Disability Act of 1980], would threaten judicial independence.</w:t>
      </w:r>
      <w:r w:rsidRPr="009D1EFA">
        <w:rPr>
          <w:rStyle w:val="FootnoteReference"/>
          <w:rFonts w:ascii="Calibri Light" w:hAnsi="Calibri Light" w:cs="Arial"/>
          <w:color w:val="000000"/>
          <w:sz w:val="22"/>
          <w:szCs w:val="22"/>
          <w:lang w:val="en-GB"/>
        </w:rPr>
        <w:footnoteReference w:id="17"/>
      </w:r>
    </w:p>
    <w:p w14:paraId="7DB8670E" w14:textId="77777777" w:rsidR="009D1EFA" w:rsidRPr="009D1EFA" w:rsidRDefault="009D1EFA" w:rsidP="00FF3489">
      <w:pPr>
        <w:spacing w:before="100" w:after="120" w:line="276" w:lineRule="auto"/>
        <w:ind w:right="-51"/>
        <w:rPr>
          <w:rFonts w:ascii="Calibri Light" w:hAnsi="Calibri Light" w:cs="Arial"/>
          <w:color w:val="000000"/>
          <w:sz w:val="22"/>
          <w:szCs w:val="22"/>
          <w:lang w:val="en-GB"/>
        </w:rPr>
      </w:pPr>
      <w:r w:rsidRPr="009D1EFA">
        <w:rPr>
          <w:rFonts w:ascii="Calibri Light" w:hAnsi="Calibri Light" w:cs="Arial"/>
          <w:color w:val="000000"/>
          <w:sz w:val="22"/>
          <w:szCs w:val="22"/>
          <w:lang w:val="en-GB"/>
        </w:rPr>
        <w:t>Appleby and Roberts explain that accountability both supports judicial independence and:</w:t>
      </w:r>
    </w:p>
    <w:p w14:paraId="26569107" w14:textId="77777777" w:rsidR="009D1EFA" w:rsidRPr="009D1EFA" w:rsidRDefault="009D1EFA" w:rsidP="00FF3489">
      <w:pPr>
        <w:spacing w:before="100" w:after="120" w:line="276" w:lineRule="auto"/>
        <w:ind w:left="720" w:right="-51"/>
        <w:rPr>
          <w:rFonts w:ascii="Calibri Light" w:hAnsi="Calibri Light" w:cs="Arial"/>
          <w:color w:val="0000FF"/>
          <w:sz w:val="22"/>
          <w:szCs w:val="22"/>
          <w:lang w:val="en-GB"/>
        </w:rPr>
      </w:pPr>
      <w:r w:rsidRPr="009D1EFA">
        <w:rPr>
          <w:rFonts w:ascii="Calibri Light" w:hAnsi="Calibri Light" w:cs="Arial"/>
          <w:sz w:val="22"/>
          <w:szCs w:val="22"/>
        </w:rPr>
        <w:t xml:space="preserve">has an </w:t>
      </w:r>
      <w:r w:rsidRPr="009D1EFA">
        <w:rPr>
          <w:rFonts w:ascii="Calibri Light" w:hAnsi="Calibri Light" w:cs="Arial"/>
          <w:i/>
          <w:sz w:val="22"/>
          <w:szCs w:val="22"/>
        </w:rPr>
        <w:t>independent</w:t>
      </w:r>
      <w:r w:rsidRPr="009D1EFA">
        <w:rPr>
          <w:rFonts w:ascii="Calibri Light" w:hAnsi="Calibri Light" w:cs="Arial"/>
          <w:sz w:val="22"/>
          <w:szCs w:val="22"/>
        </w:rPr>
        <w:t xml:space="preserve"> virtue in promoting confidence in the judiciary amongst a public increasingly expectant of transparency and oversight, particularly in the face of judicial indiscretions.</w:t>
      </w:r>
      <w:r w:rsidRPr="009D1EFA">
        <w:rPr>
          <w:rStyle w:val="FootnoteReference"/>
          <w:rFonts w:ascii="Calibri Light" w:hAnsi="Calibri Light" w:cs="Arial"/>
          <w:sz w:val="22"/>
          <w:szCs w:val="22"/>
        </w:rPr>
        <w:footnoteReference w:id="18"/>
      </w:r>
      <w:r w:rsidRPr="009D1EFA">
        <w:rPr>
          <w:rFonts w:ascii="Calibri Light" w:hAnsi="Calibri Light" w:cs="Arial"/>
          <w:sz w:val="22"/>
          <w:szCs w:val="22"/>
        </w:rPr>
        <w:t xml:space="preserve"> </w:t>
      </w:r>
    </w:p>
    <w:p w14:paraId="620686A4" w14:textId="77777777" w:rsidR="009D1EFA" w:rsidRPr="00742211" w:rsidRDefault="009D1EFA" w:rsidP="00FF3489">
      <w:pPr>
        <w:spacing w:before="100" w:after="120" w:line="276" w:lineRule="auto"/>
        <w:ind w:right="-51"/>
        <w:rPr>
          <w:rFonts w:ascii="Calibri Light" w:hAnsi="Calibri Light" w:cs="Arial"/>
          <w:i/>
          <w:iCs/>
        </w:rPr>
      </w:pPr>
      <w:r w:rsidRPr="00742211">
        <w:rPr>
          <w:rFonts w:ascii="Calibri Light" w:hAnsi="Calibri Light" w:cs="Calibri Light"/>
          <w:color w:val="006472"/>
        </w:rPr>
        <w:t>(2) Judicial accountability mechanisms: navigating and strengthening accountability and respecting independence</w:t>
      </w:r>
    </w:p>
    <w:p w14:paraId="2F683E43" w14:textId="673B2B7E"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The constitutional and theoretical position support the proposition that both judicial independence and accountability are foundational judicial values that must be protected and promoted to ensure public confidence in the administration of justice. This part</w:t>
      </w:r>
      <w:r w:rsidR="0011560D">
        <w:rPr>
          <w:rFonts w:ascii="Calibri Light" w:hAnsi="Calibri Light" w:cs="Arial"/>
          <w:sz w:val="22"/>
          <w:szCs w:val="22"/>
        </w:rPr>
        <w:t xml:space="preserve"> of paper</w:t>
      </w:r>
      <w:r w:rsidRPr="009D1EFA">
        <w:rPr>
          <w:rFonts w:ascii="Calibri Light" w:hAnsi="Calibri Light" w:cs="Arial"/>
          <w:sz w:val="22"/>
          <w:szCs w:val="22"/>
        </w:rPr>
        <w:t xml:space="preserve"> then turns to consider how they might interact in a system of governance oversight of individual judicial conduct. Because of the fundamental importance of both values such a system must be carefully crafted so that accountability values can be realised and integrity strengthened, without compromising independence values. Leading constitutional scholar on judicial independence, Professor Shimon </w:t>
      </w:r>
      <w:proofErr w:type="spellStart"/>
      <w:r w:rsidRPr="009D1EFA">
        <w:rPr>
          <w:rFonts w:ascii="Calibri Light" w:hAnsi="Calibri Light" w:cs="Arial"/>
          <w:sz w:val="22"/>
          <w:szCs w:val="22"/>
        </w:rPr>
        <w:t>Shetreet</w:t>
      </w:r>
      <w:proofErr w:type="spellEnd"/>
      <w:r w:rsidRPr="009D1EFA">
        <w:rPr>
          <w:rFonts w:ascii="Calibri Light" w:hAnsi="Calibri Light" w:cs="Arial"/>
          <w:sz w:val="22"/>
          <w:szCs w:val="22"/>
        </w:rPr>
        <w:t xml:space="preserve"> has acknowledged: “</w:t>
      </w:r>
      <w:r w:rsidRPr="009D1EFA">
        <w:rPr>
          <w:rFonts w:ascii="Calibri Light" w:hAnsi="Calibri Light" w:cs="Arial"/>
          <w:sz w:val="22"/>
          <w:szCs w:val="22"/>
          <w:shd w:val="clear" w:color="auto" w:fill="FFFFFF"/>
        </w:rPr>
        <w:t>the judiciary must be accountable as judicial independence cannot be maintained without judicial accountability for failures, errors or misconduct”, but states that “procedures and standards should not be formulated so as to exceed the boundaries of judicial independence. The task of balancing between judicial accountability and judicial independence is a difficult one.”</w:t>
      </w:r>
      <w:r w:rsidRPr="009D1EFA">
        <w:rPr>
          <w:rStyle w:val="FootnoteReference"/>
          <w:rFonts w:ascii="Calibri Light" w:hAnsi="Calibri Light" w:cs="Arial"/>
          <w:color w:val="333333"/>
          <w:sz w:val="22"/>
          <w:szCs w:val="22"/>
          <w:shd w:val="clear" w:color="auto" w:fill="FFFFFF"/>
        </w:rPr>
        <w:footnoteReference w:id="19"/>
      </w:r>
    </w:p>
    <w:p w14:paraId="4D294D68"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As Professor Devlin has written in the comparative setting:</w:t>
      </w:r>
    </w:p>
    <w:p w14:paraId="448B6A0B" w14:textId="77777777" w:rsidR="009D1EFA" w:rsidRPr="009D1EFA" w:rsidRDefault="009D1EFA" w:rsidP="00FF3489">
      <w:pPr>
        <w:spacing w:before="100" w:after="120" w:line="276" w:lineRule="auto"/>
        <w:ind w:left="720" w:right="-51"/>
        <w:rPr>
          <w:rFonts w:ascii="Calibri Light" w:hAnsi="Calibri Light" w:cs="Arial"/>
          <w:sz w:val="22"/>
          <w:szCs w:val="22"/>
        </w:rPr>
      </w:pPr>
      <w:r w:rsidRPr="009D1EFA">
        <w:rPr>
          <w:rFonts w:ascii="Calibri Light" w:hAnsi="Calibri Light" w:cs="Arial"/>
          <w:sz w:val="22"/>
          <w:szCs w:val="22"/>
        </w:rPr>
        <w:t xml:space="preserve">[T]he </w:t>
      </w:r>
      <w:proofErr w:type="gramStart"/>
      <w:r w:rsidRPr="009D1EFA">
        <w:rPr>
          <w:rFonts w:ascii="Calibri Light" w:hAnsi="Calibri Light" w:cs="Arial"/>
          <w:sz w:val="22"/>
          <w:szCs w:val="22"/>
        </w:rPr>
        <w:t>design</w:t>
      </w:r>
      <w:proofErr w:type="gramEnd"/>
      <w:r w:rsidRPr="009D1EFA">
        <w:rPr>
          <w:rFonts w:ascii="Calibri Light" w:hAnsi="Calibri Light" w:cs="Arial"/>
          <w:sz w:val="22"/>
          <w:szCs w:val="22"/>
        </w:rPr>
        <w:t xml:space="preserve"> and implementation of a defensible governance regime for judiciaries is a complex challenge. It entails the creation of multiple institutions and procedures, and the careful calibration of a variety of norms tailored to the historical, political and cultural context of a particular jurisdiction.</w:t>
      </w:r>
      <w:r w:rsidRPr="009D1EFA">
        <w:rPr>
          <w:rStyle w:val="FootnoteReference"/>
          <w:rFonts w:ascii="Calibri Light" w:hAnsi="Calibri Light" w:cs="Arial"/>
          <w:sz w:val="22"/>
          <w:szCs w:val="22"/>
        </w:rPr>
        <w:footnoteReference w:id="20"/>
      </w:r>
    </w:p>
    <w:p w14:paraId="33700AFA" w14:textId="67A6C274"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To say the task is difficult and a complex challenge, does not, however, mean it is unachievable. Or, that careful innovation and reform in this area should be shied away from. The negotiation and balancing between independence and accountability </w:t>
      </w:r>
      <w:r w:rsidR="0011560D">
        <w:rPr>
          <w:rFonts w:ascii="Calibri Light" w:hAnsi="Calibri Light" w:cs="Arial"/>
          <w:sz w:val="22"/>
          <w:szCs w:val="22"/>
        </w:rPr>
        <w:t>are</w:t>
      </w:r>
      <w:r w:rsidRPr="009D1EFA">
        <w:rPr>
          <w:rFonts w:ascii="Calibri Light" w:hAnsi="Calibri Light" w:cs="Arial"/>
          <w:sz w:val="22"/>
          <w:szCs w:val="22"/>
        </w:rPr>
        <w:t xml:space="preserve"> apparent in the design of judicial commissions, but is also apparent even under the traditional model of judicial governance where this responsibility rests in a limited form with the Head of Jurisdiction.  </w:t>
      </w:r>
    </w:p>
    <w:p w14:paraId="6C61F0A2" w14:textId="77777777" w:rsidR="009D1EFA" w:rsidRPr="00742211" w:rsidRDefault="009D1EFA" w:rsidP="00FF3489">
      <w:pPr>
        <w:spacing w:before="100" w:after="120" w:line="276" w:lineRule="auto"/>
        <w:ind w:right="-51"/>
        <w:rPr>
          <w:rFonts w:ascii="Calibri Light" w:hAnsi="Calibri Light" w:cs="Arial"/>
          <w:b/>
          <w:bCs/>
          <w:sz w:val="22"/>
          <w:szCs w:val="22"/>
        </w:rPr>
      </w:pPr>
      <w:r w:rsidRPr="00742211">
        <w:rPr>
          <w:rFonts w:ascii="Calibri Light" w:hAnsi="Calibri Light" w:cs="Arial"/>
          <w:b/>
          <w:bCs/>
          <w:sz w:val="22"/>
          <w:szCs w:val="22"/>
        </w:rPr>
        <w:t>(a) The role of the Chief Justice/Head of Jurisdiction</w:t>
      </w:r>
    </w:p>
    <w:p w14:paraId="04597290"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In Australia, the traditional design of governance mechanisms has rested with the role of the Chief Justice, or other Head of Jurisdiction. This has manifested in two ways: through the Head of Jurisdiction’s role in articulating guidance for judicial conduct and in their role in receiving and responding to complaints about judicial conduct. </w:t>
      </w:r>
    </w:p>
    <w:p w14:paraId="768CAD97"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First, the Council of Chief Justices of Australia and New Zealand have set out a set of behavioural standards to guide the individual behaviour of judges. The </w:t>
      </w:r>
      <w:r w:rsidRPr="009D1EFA">
        <w:rPr>
          <w:rFonts w:ascii="Calibri Light" w:hAnsi="Calibri Light" w:cs="Arial"/>
          <w:i/>
          <w:iCs/>
          <w:sz w:val="22"/>
          <w:szCs w:val="22"/>
        </w:rPr>
        <w:t>Guide to Judicial Conduct</w:t>
      </w:r>
      <w:r w:rsidRPr="009D1EFA">
        <w:rPr>
          <w:rFonts w:ascii="Calibri Light" w:hAnsi="Calibri Light" w:cs="Arial"/>
          <w:sz w:val="22"/>
          <w:szCs w:val="22"/>
        </w:rPr>
        <w:t xml:space="preserve"> lists the principles applicable to judicial conduct to have three main objectives:</w:t>
      </w:r>
    </w:p>
    <w:p w14:paraId="0DEC6B4D" w14:textId="77777777" w:rsidR="009D1EFA" w:rsidRPr="009D1EFA" w:rsidRDefault="009D1EFA" w:rsidP="00FF3489">
      <w:pPr>
        <w:pStyle w:val="ListParagraph"/>
        <w:numPr>
          <w:ilvl w:val="3"/>
          <w:numId w:val="86"/>
        </w:numPr>
        <w:spacing w:before="100" w:after="120" w:line="276" w:lineRule="auto"/>
        <w:ind w:left="1134"/>
        <w:rPr>
          <w:rFonts w:ascii="Calibri Light" w:hAnsi="Calibri Light" w:cs="Arial"/>
        </w:rPr>
      </w:pPr>
      <w:r w:rsidRPr="009D1EFA">
        <w:rPr>
          <w:rFonts w:ascii="Calibri Light" w:hAnsi="Calibri Light" w:cs="Arial"/>
        </w:rPr>
        <w:t>To uphold public confidence in the administration of justice;</w:t>
      </w:r>
    </w:p>
    <w:p w14:paraId="41DD1CC0" w14:textId="77777777" w:rsidR="009D1EFA" w:rsidRPr="009D1EFA" w:rsidRDefault="009D1EFA" w:rsidP="00FF3489">
      <w:pPr>
        <w:pStyle w:val="ListParagraph"/>
        <w:numPr>
          <w:ilvl w:val="3"/>
          <w:numId w:val="86"/>
        </w:numPr>
        <w:spacing w:before="100" w:after="120" w:line="276" w:lineRule="auto"/>
        <w:ind w:left="1134"/>
        <w:rPr>
          <w:rFonts w:ascii="Calibri Light" w:hAnsi="Calibri Light" w:cs="Arial"/>
        </w:rPr>
      </w:pPr>
      <w:r w:rsidRPr="009D1EFA">
        <w:rPr>
          <w:rFonts w:ascii="Calibri Light" w:hAnsi="Calibri Light" w:cs="Arial"/>
        </w:rPr>
        <w:t>To enhance public respect for the institution of the judiciary; and</w:t>
      </w:r>
    </w:p>
    <w:p w14:paraId="7C5771BA" w14:textId="7AA22E1C" w:rsidR="009D1EFA" w:rsidRPr="00FF3489" w:rsidRDefault="009D1EFA" w:rsidP="00FF3489">
      <w:pPr>
        <w:pStyle w:val="ListParagraph"/>
        <w:numPr>
          <w:ilvl w:val="3"/>
          <w:numId w:val="86"/>
        </w:numPr>
        <w:spacing w:before="100" w:after="120" w:line="276" w:lineRule="auto"/>
        <w:ind w:left="1134"/>
        <w:rPr>
          <w:rFonts w:ascii="Calibri Light" w:hAnsi="Calibri Light"/>
        </w:rPr>
      </w:pPr>
      <w:r w:rsidRPr="009D1EFA">
        <w:rPr>
          <w:rFonts w:ascii="Calibri Light" w:hAnsi="Calibri Light" w:cs="Arial"/>
        </w:rPr>
        <w:t xml:space="preserve">To protect the reputation of individual judicial officers and of the judiciary … </w:t>
      </w:r>
    </w:p>
    <w:p w14:paraId="41B2E2A8" w14:textId="77777777"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There are three basic principles against which judicial conduct should be tested to ensure compliance with the stated objectives. These are:</w:t>
      </w:r>
    </w:p>
    <w:p w14:paraId="06AE2B10" w14:textId="77777777" w:rsidR="009D1EFA" w:rsidRPr="009D1EFA" w:rsidRDefault="009D1EFA" w:rsidP="00FF3489">
      <w:pPr>
        <w:pStyle w:val="ListParagraph"/>
        <w:numPr>
          <w:ilvl w:val="0"/>
          <w:numId w:val="87"/>
        </w:numPr>
        <w:spacing w:before="100" w:after="120" w:line="276" w:lineRule="auto"/>
        <w:rPr>
          <w:rFonts w:ascii="Calibri Light" w:hAnsi="Calibri Light" w:cs="Arial"/>
        </w:rPr>
      </w:pPr>
      <w:r w:rsidRPr="009D1EFA">
        <w:rPr>
          <w:rFonts w:ascii="Calibri Light" w:hAnsi="Calibri Light" w:cs="Arial"/>
        </w:rPr>
        <w:t>Impartiality;</w:t>
      </w:r>
    </w:p>
    <w:p w14:paraId="62B6CB18" w14:textId="77777777" w:rsidR="009D1EFA" w:rsidRPr="009D1EFA" w:rsidRDefault="009D1EFA" w:rsidP="00FF3489">
      <w:pPr>
        <w:pStyle w:val="ListParagraph"/>
        <w:numPr>
          <w:ilvl w:val="0"/>
          <w:numId w:val="87"/>
        </w:numPr>
        <w:spacing w:before="100" w:after="120" w:line="276" w:lineRule="auto"/>
        <w:rPr>
          <w:rFonts w:ascii="Calibri Light" w:hAnsi="Calibri Light" w:cs="Arial"/>
        </w:rPr>
      </w:pPr>
      <w:r w:rsidRPr="009D1EFA">
        <w:rPr>
          <w:rFonts w:ascii="Calibri Light" w:hAnsi="Calibri Light" w:cs="Arial"/>
        </w:rPr>
        <w:t>Judicial Independence; and</w:t>
      </w:r>
    </w:p>
    <w:p w14:paraId="199A4019" w14:textId="77777777" w:rsidR="009D1EFA" w:rsidRPr="009D1EFA" w:rsidRDefault="009D1EFA" w:rsidP="00FF3489">
      <w:pPr>
        <w:pStyle w:val="ListParagraph"/>
        <w:numPr>
          <w:ilvl w:val="0"/>
          <w:numId w:val="87"/>
        </w:numPr>
        <w:spacing w:before="100" w:after="120" w:line="276" w:lineRule="auto"/>
        <w:rPr>
          <w:rFonts w:ascii="Calibri Light" w:hAnsi="Calibri Light" w:cs="Arial"/>
        </w:rPr>
      </w:pPr>
      <w:r w:rsidRPr="009D1EFA">
        <w:rPr>
          <w:rFonts w:ascii="Calibri Light" w:hAnsi="Calibri Light" w:cs="Arial"/>
        </w:rPr>
        <w:t>Integrity and personal behaviour.</w:t>
      </w:r>
      <w:r w:rsidRPr="009D1EFA">
        <w:rPr>
          <w:rStyle w:val="FootnoteReference"/>
          <w:rFonts w:ascii="Calibri Light" w:hAnsi="Calibri Light" w:cs="Arial"/>
        </w:rPr>
        <w:footnoteReference w:id="21"/>
      </w:r>
    </w:p>
    <w:p w14:paraId="4D99B388"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The Guide thus navigates the values of independence and accountability. </w:t>
      </w:r>
    </w:p>
    <w:p w14:paraId="1C8947F1"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The </w:t>
      </w:r>
      <w:r w:rsidRPr="009D1EFA">
        <w:rPr>
          <w:rFonts w:ascii="Calibri Light" w:hAnsi="Calibri Light" w:cs="Arial"/>
          <w:i/>
          <w:iCs/>
          <w:sz w:val="22"/>
          <w:szCs w:val="22"/>
        </w:rPr>
        <w:t>Guide to Judicial Conduct</w:t>
      </w:r>
      <w:r w:rsidRPr="009D1EFA">
        <w:rPr>
          <w:rFonts w:ascii="Calibri Light" w:hAnsi="Calibri Light" w:cs="Arial"/>
          <w:sz w:val="22"/>
          <w:szCs w:val="22"/>
        </w:rPr>
        <w:t>, however, is pitched explicitly as a practical guide that is “not prescriptive”, but, rather, “in cases of difficulty or uncertainty, the primary responsibility of deciding whether or not a particular activity or course of conduct is or is not appropriate rests with the individual judge, but it strongly recommends consultation with colleagues in such cases and preferably with the head of the jurisdiction.”</w:t>
      </w:r>
      <w:r w:rsidRPr="009D1EFA">
        <w:rPr>
          <w:rStyle w:val="FootnoteReference"/>
          <w:rFonts w:ascii="Calibri Light" w:hAnsi="Calibri Light" w:cs="Arial"/>
          <w:sz w:val="22"/>
          <w:szCs w:val="22"/>
        </w:rPr>
        <w:footnoteReference w:id="22"/>
      </w:r>
      <w:r w:rsidRPr="009D1EFA">
        <w:rPr>
          <w:rFonts w:ascii="Calibri Light" w:hAnsi="Calibri Light" w:cs="Arial"/>
          <w:sz w:val="22"/>
          <w:szCs w:val="22"/>
        </w:rPr>
        <w:t xml:space="preserve"> The Guide, therefore, is precisely that: an unenforceable but practical guide for judges navigating challenges that might come their way. It provides advice on a number of issues although, notably, it does not provide any advice on conduct that might amount to workplace harassment and bullying, including sexual harassment.</w:t>
      </w:r>
      <w:r w:rsidRPr="009D1EFA">
        <w:rPr>
          <w:rStyle w:val="FootnoteReference"/>
          <w:rFonts w:ascii="Calibri Light" w:hAnsi="Calibri Light" w:cs="Arial"/>
          <w:sz w:val="22"/>
          <w:szCs w:val="22"/>
        </w:rPr>
        <w:footnoteReference w:id="23"/>
      </w:r>
    </w:p>
    <w:p w14:paraId="5999B2BB"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In addition to the Head of Jurisdiction’s role in promulgating the </w:t>
      </w:r>
      <w:r w:rsidRPr="009D1EFA">
        <w:rPr>
          <w:rFonts w:ascii="Calibri Light" w:hAnsi="Calibri Light" w:cs="Arial"/>
          <w:i/>
          <w:iCs/>
          <w:sz w:val="22"/>
          <w:szCs w:val="22"/>
        </w:rPr>
        <w:t>Guide to Judicial Conduct</w:t>
      </w:r>
      <w:r w:rsidRPr="009D1EFA">
        <w:rPr>
          <w:rFonts w:ascii="Calibri Light" w:hAnsi="Calibri Light" w:cs="Arial"/>
          <w:sz w:val="22"/>
          <w:szCs w:val="22"/>
        </w:rPr>
        <w:t>, under the traditional system of governance, the Head of Jurisdiction has a responsibility for receiving complaints against individual judges, and using the limited administrative powers of the Head of Jurisdiction, as well as the soft powers of the individual and the office, to support judges whose conduct might transgress what is considered appropriate. As Professor James Crawford has explained, at common law, while a Chief Justice had no inherent supervisory authority over other judges,</w:t>
      </w:r>
      <w:r w:rsidRPr="009D1EFA">
        <w:rPr>
          <w:rStyle w:val="FootnoteReference"/>
          <w:rFonts w:ascii="Calibri Light" w:hAnsi="Calibri Light" w:cs="Arial"/>
          <w:sz w:val="22"/>
          <w:szCs w:val="22"/>
        </w:rPr>
        <w:footnoteReference w:id="24"/>
      </w:r>
      <w:r w:rsidRPr="009D1EFA">
        <w:rPr>
          <w:rFonts w:ascii="Calibri Light" w:hAnsi="Calibri Light" w:cs="Arial"/>
          <w:sz w:val="22"/>
          <w:szCs w:val="22"/>
        </w:rPr>
        <w:t xml:space="preserve"> legislation, convention and practice has established some degree of authority to administer courts in a range of ways which involves some direction to the judiciary.</w:t>
      </w:r>
    </w:p>
    <w:p w14:paraId="786A8307" w14:textId="77777777" w:rsidR="009D1EFA" w:rsidRPr="009D1EFA" w:rsidRDefault="009D1EFA" w:rsidP="00FF3489">
      <w:pPr>
        <w:spacing w:before="100" w:after="120" w:line="276" w:lineRule="auto"/>
        <w:ind w:right="-51"/>
        <w:rPr>
          <w:rFonts w:ascii="Calibri Light" w:hAnsi="Calibri Light" w:cs="Arial"/>
          <w:color w:val="000000"/>
          <w:sz w:val="22"/>
          <w:szCs w:val="22"/>
        </w:rPr>
      </w:pPr>
      <w:r w:rsidRPr="009D1EFA">
        <w:rPr>
          <w:rFonts w:ascii="Calibri Light" w:hAnsi="Calibri Light" w:cs="Arial"/>
          <w:sz w:val="22"/>
          <w:szCs w:val="22"/>
        </w:rPr>
        <w:t>Under the traditional system of judicial ethics and discipline, the Head of Jurisdiction performs a central role. Informal p</w:t>
      </w:r>
      <w:r w:rsidRPr="009D1EFA">
        <w:rPr>
          <w:rFonts w:ascii="Calibri Light" w:hAnsi="Calibri Light" w:cs="Arial"/>
          <w:color w:val="000000"/>
          <w:sz w:val="22"/>
          <w:szCs w:val="22"/>
        </w:rPr>
        <w:t>rocedures for dealing with alleged judicial misconduct include, generally, that complaints can be made to the head of jurisdiction, who can then investigate and respond, including by speaking to the judge involved and, if necessary, deploy their administrative powers to assist in resolving the issue. In recognition of the shortcomings of the informal system, Victoria, together with some other jurisdictions have introduced a more formalised commission-led processes.</w:t>
      </w:r>
      <w:r w:rsidRPr="009D1EFA">
        <w:rPr>
          <w:rStyle w:val="FootnoteReference"/>
          <w:rFonts w:ascii="Calibri Light" w:hAnsi="Calibri Light" w:cs="Arial"/>
          <w:color w:val="000000"/>
          <w:sz w:val="22"/>
          <w:szCs w:val="22"/>
        </w:rPr>
        <w:footnoteReference w:id="25"/>
      </w:r>
      <w:r w:rsidRPr="009D1EFA">
        <w:rPr>
          <w:rFonts w:ascii="Calibri Light" w:hAnsi="Calibri Light" w:cs="Arial"/>
          <w:color w:val="000000"/>
          <w:sz w:val="22"/>
          <w:szCs w:val="22"/>
        </w:rPr>
        <w:t xml:space="preserve"> </w:t>
      </w:r>
    </w:p>
    <w:p w14:paraId="29318E3E" w14:textId="77777777" w:rsidR="009D1EFA" w:rsidRPr="009D1EFA" w:rsidRDefault="009D1EFA" w:rsidP="00FF3489">
      <w:pPr>
        <w:spacing w:before="100" w:after="120" w:line="276" w:lineRule="auto"/>
        <w:ind w:right="-51"/>
        <w:rPr>
          <w:rFonts w:ascii="Calibri Light" w:hAnsi="Calibri Light" w:cs="Arial"/>
          <w:color w:val="000000"/>
          <w:sz w:val="22"/>
          <w:szCs w:val="22"/>
        </w:rPr>
      </w:pPr>
      <w:r w:rsidRPr="009D1EFA">
        <w:rPr>
          <w:rFonts w:ascii="Calibri Light" w:hAnsi="Calibri Light" w:cs="Arial"/>
          <w:color w:val="000000"/>
          <w:sz w:val="22"/>
          <w:szCs w:val="22"/>
        </w:rPr>
        <w:t>The informality of the traditional process, the limited powers of the Head of Jurisdiction to remedy transgressions, as well as her or his other responsibilities to the court as an institution, have created great difficulties for Heads of Jurisdiction wishing to promote accountability of the judicial institution.</w:t>
      </w:r>
    </w:p>
    <w:p w14:paraId="6D2AAD2C" w14:textId="77777777" w:rsidR="009D1EFA" w:rsidRPr="00742211" w:rsidRDefault="009D1EFA" w:rsidP="00FF3489">
      <w:pPr>
        <w:spacing w:before="100" w:after="120" w:line="276" w:lineRule="auto"/>
        <w:ind w:right="-51"/>
        <w:rPr>
          <w:rFonts w:ascii="Calibri Light" w:hAnsi="Calibri Light" w:cs="Arial"/>
          <w:b/>
          <w:bCs/>
          <w:color w:val="000000"/>
          <w:sz w:val="22"/>
          <w:szCs w:val="22"/>
        </w:rPr>
      </w:pPr>
      <w:r w:rsidRPr="00742211">
        <w:rPr>
          <w:rFonts w:ascii="Calibri Light" w:hAnsi="Calibri Light" w:cs="Arial"/>
          <w:b/>
          <w:bCs/>
          <w:color w:val="000000"/>
          <w:sz w:val="22"/>
          <w:szCs w:val="22"/>
        </w:rPr>
        <w:t xml:space="preserve">(b) Independence and accountability: Head of Jurisdiction v Commissions </w:t>
      </w:r>
    </w:p>
    <w:p w14:paraId="19426A39"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The traditional model of judicial governance oversight has not negated the delicate balancing of judicial values to ensure enhancement of institutional integrity and not inadvertent undermining of judicial independence. As Australian judicial scholars Professors Kathy Mack and Sharyn Roach </w:t>
      </w:r>
      <w:proofErr w:type="spellStart"/>
      <w:r w:rsidRPr="009D1EFA">
        <w:rPr>
          <w:rFonts w:ascii="Calibri Light" w:hAnsi="Calibri Light" w:cs="Arial"/>
          <w:sz w:val="22"/>
          <w:szCs w:val="22"/>
        </w:rPr>
        <w:t>Anleu</w:t>
      </w:r>
      <w:proofErr w:type="spellEnd"/>
      <w:r w:rsidRPr="009D1EFA">
        <w:rPr>
          <w:rFonts w:ascii="Calibri Light" w:hAnsi="Calibri Light" w:cs="Arial"/>
          <w:sz w:val="22"/>
          <w:szCs w:val="22"/>
        </w:rPr>
        <w:t xml:space="preserve"> explain in their paper, ‘The Administrative Authority of Chief Judicial Officers in Australia’, conflicts between court administration and judicial independence can arise in a range of ways under the traditional model. For instance, directions from the head of jurisdiction which are administrative in form can indirectly constrain adjudicative independence,</w:t>
      </w:r>
      <w:r w:rsidRPr="009D1EFA">
        <w:rPr>
          <w:rStyle w:val="FootnoteReference"/>
          <w:rFonts w:ascii="Calibri Light" w:hAnsi="Calibri Light" w:cs="Arial"/>
          <w:sz w:val="22"/>
          <w:szCs w:val="22"/>
        </w:rPr>
        <w:footnoteReference w:id="26"/>
      </w:r>
      <w:r w:rsidRPr="009D1EFA">
        <w:rPr>
          <w:rFonts w:ascii="Calibri Light" w:hAnsi="Calibri Light" w:cs="Arial"/>
          <w:sz w:val="22"/>
          <w:szCs w:val="22"/>
        </w:rPr>
        <w:t xml:space="preserve"> and administrative or managerial allocation of work by heads of jurisdiction may amount to a de facto suspension.</w:t>
      </w:r>
      <w:r w:rsidRPr="009D1EFA">
        <w:rPr>
          <w:rStyle w:val="FootnoteReference"/>
          <w:rFonts w:ascii="Calibri Light" w:hAnsi="Calibri Light" w:cs="Arial"/>
          <w:sz w:val="22"/>
          <w:szCs w:val="22"/>
        </w:rPr>
        <w:footnoteReference w:id="27"/>
      </w:r>
      <w:r w:rsidRPr="009D1EFA">
        <w:rPr>
          <w:rFonts w:ascii="Calibri Light" w:hAnsi="Calibri Light" w:cs="Arial"/>
          <w:sz w:val="22"/>
          <w:szCs w:val="22"/>
        </w:rPr>
        <w:t xml:space="preserve"> Further, executive control of resources can impose burdens on a court's ability to carry out judicial functions,</w:t>
      </w:r>
      <w:r w:rsidRPr="009D1EFA">
        <w:rPr>
          <w:rStyle w:val="FootnoteReference"/>
          <w:rFonts w:ascii="Calibri Light" w:hAnsi="Calibri Light" w:cs="Arial"/>
          <w:sz w:val="22"/>
          <w:szCs w:val="22"/>
        </w:rPr>
        <w:footnoteReference w:id="28"/>
      </w:r>
      <w:r w:rsidRPr="009D1EFA">
        <w:rPr>
          <w:rFonts w:ascii="Calibri Light" w:hAnsi="Calibri Light" w:cs="Arial"/>
          <w:sz w:val="22"/>
          <w:szCs w:val="22"/>
        </w:rPr>
        <w:t xml:space="preserve"> and some kinds of performance evaluation for courts could appear to be, or be experienced as, a burden on independent judicial decision making.</w:t>
      </w:r>
      <w:r w:rsidRPr="009D1EFA">
        <w:rPr>
          <w:rStyle w:val="FootnoteReference"/>
          <w:rFonts w:ascii="Calibri Light" w:hAnsi="Calibri Light" w:cs="Arial"/>
          <w:sz w:val="22"/>
          <w:szCs w:val="22"/>
        </w:rPr>
        <w:footnoteReference w:id="29"/>
      </w:r>
    </w:p>
    <w:p w14:paraId="23F1BC4A"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Concerns about extensive management powers vested in the head of jurisdiction were also apparent in the case of </w:t>
      </w:r>
      <w:proofErr w:type="spellStart"/>
      <w:r w:rsidRPr="009D1EFA">
        <w:rPr>
          <w:rFonts w:ascii="Calibri Light" w:hAnsi="Calibri Light" w:cs="Arial"/>
          <w:i/>
          <w:iCs/>
          <w:sz w:val="22"/>
          <w:szCs w:val="22"/>
        </w:rPr>
        <w:t>Cornack</w:t>
      </w:r>
      <w:proofErr w:type="spellEnd"/>
      <w:r w:rsidRPr="009D1EFA">
        <w:rPr>
          <w:rFonts w:ascii="Calibri Light" w:hAnsi="Calibri Light" w:cs="Arial"/>
          <w:i/>
          <w:iCs/>
          <w:sz w:val="22"/>
          <w:szCs w:val="22"/>
        </w:rPr>
        <w:t xml:space="preserve"> v </w:t>
      </w:r>
      <w:proofErr w:type="spellStart"/>
      <w:r w:rsidRPr="009D1EFA">
        <w:rPr>
          <w:rFonts w:ascii="Calibri Light" w:hAnsi="Calibri Light" w:cs="Arial"/>
          <w:i/>
          <w:iCs/>
          <w:sz w:val="22"/>
          <w:szCs w:val="22"/>
        </w:rPr>
        <w:t>Fingleton</w:t>
      </w:r>
      <w:proofErr w:type="spellEnd"/>
      <w:r w:rsidRPr="009D1EFA">
        <w:rPr>
          <w:rFonts w:ascii="Calibri Light" w:hAnsi="Calibri Light" w:cs="Arial"/>
          <w:sz w:val="22"/>
          <w:szCs w:val="22"/>
        </w:rPr>
        <w:t xml:space="preserve"> [2002] QSC 391. In that case, the Queensland Supreme Court explained that management powers backed by compulsion represents a threat to an individual judge’s independence. Justice Mackenzie held that: </w:t>
      </w:r>
    </w:p>
    <w:p w14:paraId="714AA276" w14:textId="410F9D63" w:rsidR="009D1EFA" w:rsidRPr="00FF3489" w:rsidRDefault="009D1EFA" w:rsidP="00FF3489">
      <w:pPr>
        <w:pStyle w:val="Quote"/>
        <w:spacing w:before="100" w:after="120" w:line="276" w:lineRule="auto"/>
        <w:jc w:val="left"/>
        <w:rPr>
          <w:rFonts w:ascii="Calibri Light" w:hAnsi="Calibri Light" w:cs="Arial"/>
          <w:color w:val="333333"/>
          <w:shd w:val="clear" w:color="auto" w:fill="FFFFFF"/>
        </w:rPr>
      </w:pPr>
      <w:r w:rsidRPr="009D1EFA">
        <w:rPr>
          <w:rFonts w:ascii="Calibri Light" w:hAnsi="Calibri Light" w:cs="Arial"/>
        </w:rPr>
        <w:t xml:space="preserve">The principle that judges are independent of one another, or internal judicial independence … is incompatible with the existence of power to require a judicial officer to attend under compulsion to discuss issues concerning the way in which the judicial officer conducts hearings in court. </w:t>
      </w:r>
      <w:r w:rsidRPr="009D1EFA">
        <w:rPr>
          <w:rFonts w:ascii="Calibri Light" w:hAnsi="Calibri Light" w:cs="Arial"/>
          <w:color w:val="333333"/>
          <w:shd w:val="clear" w:color="auto" w:fill="FFFFFF"/>
        </w:rPr>
        <w:t>It would require very plain words to abrogate the principle since it is a fundamental aspect of judicial independence. T</w:t>
      </w:r>
      <w:r w:rsidRPr="009D1EFA">
        <w:rPr>
          <w:rFonts w:ascii="Calibri Light" w:hAnsi="Calibri Light" w:cs="Arial"/>
        </w:rPr>
        <w:t>he notion that a head of jurisdiction could compel a judicial officer to modify how he or she conducted the actual hearing of cases by threat of sanctions is not reconcilable with the principle.</w:t>
      </w:r>
      <w:r w:rsidRPr="009D1EFA">
        <w:rPr>
          <w:rFonts w:ascii="Calibri Light" w:hAnsi="Calibri Light" w:cs="Arial"/>
          <w:color w:val="333333"/>
          <w:shd w:val="clear" w:color="auto" w:fill="FFFFFF"/>
        </w:rPr>
        <w:t xml:space="preserve"> Clear and unambiguous legislative provisions would be needed to achieve abrogation.</w:t>
      </w:r>
      <w:r w:rsidRPr="009D1EFA">
        <w:rPr>
          <w:rStyle w:val="FootnoteReference"/>
          <w:rFonts w:ascii="Calibri Light" w:hAnsi="Calibri Light" w:cs="Arial"/>
        </w:rPr>
        <w:footnoteReference w:id="30"/>
      </w:r>
    </w:p>
    <w:p w14:paraId="69B95EE1" w14:textId="0F15B104"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Justice Mackenzie cited Professor </w:t>
      </w:r>
      <w:proofErr w:type="spellStart"/>
      <w:r w:rsidRPr="009D1EFA">
        <w:rPr>
          <w:rFonts w:ascii="Calibri Light" w:hAnsi="Calibri Light" w:cs="Arial"/>
          <w:sz w:val="22"/>
          <w:szCs w:val="22"/>
        </w:rPr>
        <w:t>Shetreet</w:t>
      </w:r>
      <w:proofErr w:type="spellEnd"/>
      <w:r w:rsidRPr="009D1EFA">
        <w:rPr>
          <w:rFonts w:ascii="Calibri Light" w:hAnsi="Calibri Light" w:cs="Arial"/>
          <w:sz w:val="22"/>
          <w:szCs w:val="22"/>
        </w:rPr>
        <w:t xml:space="preserve"> as authority for the proposition that giving administrative heads of the judiciary disciplinary powers is a “major problem”.</w:t>
      </w:r>
      <w:r w:rsidRPr="009D1EFA">
        <w:rPr>
          <w:rStyle w:val="FootnoteReference"/>
          <w:rFonts w:ascii="Calibri Light" w:hAnsi="Calibri Light" w:cs="Arial"/>
          <w:color w:val="333333"/>
          <w:sz w:val="22"/>
          <w:szCs w:val="22"/>
        </w:rPr>
        <w:footnoteReference w:id="31"/>
      </w:r>
      <w:r w:rsidRPr="009D1EFA">
        <w:rPr>
          <w:rFonts w:ascii="Calibri Light" w:hAnsi="Calibri Light" w:cs="Arial"/>
          <w:sz w:val="22"/>
          <w:szCs w:val="22"/>
        </w:rPr>
        <w:t xml:space="preserve"> According to </w:t>
      </w:r>
      <w:proofErr w:type="spellStart"/>
      <w:r w:rsidRPr="009D1EFA">
        <w:rPr>
          <w:rFonts w:ascii="Calibri Light" w:hAnsi="Calibri Light" w:cs="Arial"/>
          <w:sz w:val="22"/>
          <w:szCs w:val="22"/>
        </w:rPr>
        <w:t>Shetreet</w:t>
      </w:r>
      <w:proofErr w:type="spellEnd"/>
      <w:r w:rsidRPr="009D1EFA">
        <w:rPr>
          <w:rFonts w:ascii="Calibri Light" w:hAnsi="Calibri Light" w:cs="Arial"/>
          <w:sz w:val="22"/>
          <w:szCs w:val="22"/>
        </w:rPr>
        <w:t xml:space="preserve">, this is because it introduces hierarchical patterns into the judiciary that can create “latent pressures on the judges which may result in subservience to judicial superiors” and thereby chill judicial independence. Therefore, while hierarchies are usual in the civil </w:t>
      </w:r>
      <w:r w:rsidR="00FF3489" w:rsidRPr="009D1EFA">
        <w:rPr>
          <w:rFonts w:ascii="Calibri Light" w:hAnsi="Calibri Light" w:cs="Arial"/>
          <w:sz w:val="22"/>
          <w:szCs w:val="22"/>
        </w:rPr>
        <w:t>service,</w:t>
      </w:r>
      <w:r w:rsidRPr="009D1EFA">
        <w:rPr>
          <w:rFonts w:ascii="Calibri Light" w:hAnsi="Calibri Light" w:cs="Arial"/>
          <w:sz w:val="22"/>
          <w:szCs w:val="22"/>
        </w:rPr>
        <w:t xml:space="preserve"> they are objectionable in the judiciary, which requires internal independence between colleagues and judicial superiors.</w:t>
      </w:r>
      <w:r w:rsidRPr="009D1EFA">
        <w:rPr>
          <w:rStyle w:val="FootnoteReference"/>
          <w:rFonts w:ascii="Calibri Light" w:hAnsi="Calibri Light" w:cs="Arial"/>
          <w:color w:val="333333"/>
          <w:sz w:val="22"/>
          <w:szCs w:val="22"/>
        </w:rPr>
        <w:footnoteReference w:id="32"/>
      </w:r>
    </w:p>
    <w:p w14:paraId="66C8F4CD" w14:textId="4E3495F5"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In Australia, the lack of powers of governance and management compulsion has, however, left heads of jurisdiction and the public frustrated. For instance, Chief Justice Wayne Martin of the Western Australian Supreme Court has argued that the current system provided inadequate facilities and mechanisms to properly investigate complaints, and left the Head of Jurisdiction in a very real position where an allegation of conflict of interest in the conduct of the investigation might be made against them by either the complainant or the judge.</w:t>
      </w:r>
      <w:r w:rsidRPr="009D1EFA">
        <w:rPr>
          <w:rStyle w:val="FootnoteReference"/>
          <w:rFonts w:ascii="Calibri Light" w:hAnsi="Calibri Light" w:cs="Arial"/>
          <w:sz w:val="22"/>
          <w:szCs w:val="22"/>
        </w:rPr>
        <w:footnoteReference w:id="33"/>
      </w:r>
      <w:r w:rsidRPr="009D1EFA">
        <w:rPr>
          <w:rFonts w:ascii="Calibri Light" w:hAnsi="Calibri Light" w:cs="Arial"/>
          <w:sz w:val="22"/>
          <w:szCs w:val="22"/>
        </w:rPr>
        <w:t xml:space="preserve"> There are also questions about what might occur when the complaint is about the Head of Jurisdiction. </w:t>
      </w:r>
    </w:p>
    <w:p w14:paraId="11B49C80" w14:textId="4DD39280"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Further, personal and professional transgressions of judges might be publicly known – either because they are part of the court record,</w:t>
      </w:r>
      <w:r w:rsidRPr="009D1EFA">
        <w:rPr>
          <w:rStyle w:val="FootnoteReference"/>
          <w:rFonts w:ascii="Calibri Light" w:hAnsi="Calibri Light" w:cs="Arial"/>
          <w:sz w:val="22"/>
          <w:szCs w:val="22"/>
        </w:rPr>
        <w:footnoteReference w:id="34"/>
      </w:r>
      <w:r w:rsidRPr="009D1EFA">
        <w:rPr>
          <w:rFonts w:ascii="Calibri Light" w:hAnsi="Calibri Light" w:cs="Arial"/>
          <w:sz w:val="22"/>
          <w:szCs w:val="22"/>
        </w:rPr>
        <w:t xml:space="preserve"> they are made manifest on appeal and are subject to adverse comments by a higher court,</w:t>
      </w:r>
      <w:r w:rsidRPr="009D1EFA">
        <w:rPr>
          <w:rStyle w:val="FootnoteReference"/>
          <w:rFonts w:ascii="Calibri Light" w:hAnsi="Calibri Light" w:cs="Arial"/>
          <w:sz w:val="22"/>
          <w:szCs w:val="22"/>
        </w:rPr>
        <w:footnoteReference w:id="35"/>
      </w:r>
      <w:r w:rsidRPr="009D1EFA">
        <w:rPr>
          <w:rFonts w:ascii="Calibri Light" w:hAnsi="Calibri Light" w:cs="Arial"/>
          <w:sz w:val="22"/>
          <w:szCs w:val="22"/>
        </w:rPr>
        <w:t xml:space="preserve"> or because of media reporting of personal conduct.</w:t>
      </w:r>
      <w:r w:rsidRPr="009D1EFA">
        <w:rPr>
          <w:rStyle w:val="FootnoteReference"/>
          <w:rFonts w:ascii="Calibri Light" w:hAnsi="Calibri Light" w:cs="Arial"/>
          <w:sz w:val="22"/>
          <w:szCs w:val="22"/>
        </w:rPr>
        <w:footnoteReference w:id="36"/>
      </w:r>
      <w:r w:rsidRPr="009D1EFA">
        <w:rPr>
          <w:rFonts w:ascii="Calibri Light" w:hAnsi="Calibri Light" w:cs="Arial"/>
          <w:sz w:val="22"/>
          <w:szCs w:val="22"/>
        </w:rPr>
        <w:t xml:space="preserve"> In these instances, there is often a public admonishment of the behaviour of the judge involved, but a soft administrative response, usually in relation to reallocation of sitting duties, the provision of voluntary counselling, mentoring or judicial education. Many Heads of Jurisdiction are aware that the public will see these responses as inadequate.</w:t>
      </w:r>
      <w:r w:rsidRPr="009D1EFA">
        <w:rPr>
          <w:rStyle w:val="FootnoteReference"/>
          <w:rFonts w:ascii="Calibri Light" w:hAnsi="Calibri Light" w:cs="Arial"/>
          <w:sz w:val="22"/>
          <w:szCs w:val="22"/>
        </w:rPr>
        <w:footnoteReference w:id="37"/>
      </w:r>
      <w:r w:rsidRPr="009D1EFA">
        <w:rPr>
          <w:rFonts w:ascii="Calibri Light" w:hAnsi="Calibri Light" w:cs="Arial"/>
          <w:sz w:val="22"/>
          <w:szCs w:val="22"/>
        </w:rPr>
        <w:t xml:space="preserve"> In 2014, South Australian Supreme Court Chief Justice Chris </w:t>
      </w:r>
      <w:proofErr w:type="spellStart"/>
      <w:r w:rsidRPr="009D1EFA">
        <w:rPr>
          <w:rFonts w:ascii="Calibri Light" w:hAnsi="Calibri Light" w:cs="Arial"/>
          <w:sz w:val="22"/>
          <w:szCs w:val="22"/>
        </w:rPr>
        <w:t>Kourakis</w:t>
      </w:r>
      <w:proofErr w:type="spellEnd"/>
      <w:r w:rsidRPr="009D1EFA">
        <w:rPr>
          <w:rFonts w:ascii="Calibri Light" w:hAnsi="Calibri Light" w:cs="Arial"/>
          <w:sz w:val="22"/>
          <w:szCs w:val="22"/>
        </w:rPr>
        <w:t xml:space="preserve"> issued a public statement following a District Court judge pleading guilty to driving with excessive blood alcohol following the announcement of her elevation to the Supreme Court. The statement explained his limited powers as Chief Justice, </w:t>
      </w:r>
      <w:r w:rsidR="00FF3489" w:rsidRPr="009D1EFA">
        <w:rPr>
          <w:rFonts w:ascii="Calibri Light" w:hAnsi="Calibri Light" w:cs="Arial"/>
          <w:sz w:val="22"/>
          <w:szCs w:val="22"/>
        </w:rPr>
        <w:t>but</w:t>
      </w:r>
      <w:r w:rsidRPr="009D1EFA">
        <w:rPr>
          <w:rFonts w:ascii="Calibri Light" w:hAnsi="Calibri Light" w:cs="Arial"/>
          <w:sz w:val="22"/>
          <w:szCs w:val="22"/>
        </w:rPr>
        <w:t xml:space="preserve"> </w:t>
      </w:r>
      <w:r w:rsidRPr="009D1EFA">
        <w:rPr>
          <w:rFonts w:ascii="Calibri Light" w:hAnsi="Calibri Light" w:cs="Arial"/>
          <w:color w:val="000000"/>
          <w:sz w:val="22"/>
          <w:szCs w:val="22"/>
          <w:lang w:eastAsia="en-AU"/>
        </w:rPr>
        <w:t>responding to what he described as ‘the reasonable concerns of the public arising out of offending of this kind by a serving judicial officer’, he explained he had placed the judge on restricted duties in relation to driving and alcohol-related offences.</w:t>
      </w:r>
      <w:r w:rsidRPr="009D1EFA">
        <w:rPr>
          <w:rStyle w:val="FootnoteReference"/>
          <w:rFonts w:ascii="Calibri Light" w:hAnsi="Calibri Light" w:cs="Arial"/>
          <w:color w:val="000000"/>
          <w:sz w:val="22"/>
          <w:szCs w:val="22"/>
        </w:rPr>
        <w:footnoteReference w:id="38"/>
      </w:r>
    </w:p>
    <w:p w14:paraId="52B1A6CB" w14:textId="48A82572"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It is the concerns that the traditional system of governance does not adequately promote the values of judicial accountability so as to shore up public confidence in the integrity of the judiciary, together with concerns about its relationship to judicial independence, that has led many Australian jurisdictions to adopt an independent model of receiving and investigating complaints against judges. These commissions have responsibility for receiving complaints, filtering them, and investigating them. Consistently with the principles around security of judicial tenure, complaints that they believe are made out and involve conduct might warrant removal are then referred to the parliament for further consideration in its constitutional function. Complaints involving conduct of a lesser nature are referred back to the head of jurisdiction. The head of jurisdiction then relies on their limited powers available to deal with the complaint internally. </w:t>
      </w:r>
    </w:p>
    <w:p w14:paraId="0458A2A6" w14:textId="77777777"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A former Chief Justice of the High Court of Australia has addressed some of the concerns around a more formalised system of judicial oversight that includes stronger powers to discipline judges. In his paper “Public Confidence in the Judiciary”,</w:t>
      </w:r>
      <w:r w:rsidRPr="009D1EFA">
        <w:rPr>
          <w:rStyle w:val="FootnoteReference"/>
          <w:rFonts w:ascii="Calibri Light" w:hAnsi="Calibri Light" w:cs="Arial"/>
          <w:color w:val="333333"/>
          <w:sz w:val="22"/>
          <w:szCs w:val="22"/>
        </w:rPr>
        <w:footnoteReference w:id="39"/>
      </w:r>
      <w:r w:rsidRPr="009D1EFA">
        <w:rPr>
          <w:rFonts w:ascii="Calibri Light" w:hAnsi="Calibri Light" w:cs="Arial"/>
          <w:sz w:val="22"/>
          <w:szCs w:val="22"/>
        </w:rPr>
        <w:t xml:space="preserve"> Murray Gleeson explains:</w:t>
      </w:r>
    </w:p>
    <w:p w14:paraId="44894FAC" w14:textId="5238D146" w:rsidR="009D1EFA" w:rsidRPr="00FF3489" w:rsidRDefault="009D1EFA" w:rsidP="00FF3489">
      <w:pPr>
        <w:pStyle w:val="Quote"/>
        <w:spacing w:before="100" w:after="120" w:line="276" w:lineRule="auto"/>
        <w:ind w:left="720"/>
        <w:jc w:val="left"/>
        <w:rPr>
          <w:rFonts w:ascii="Calibri Light" w:hAnsi="Calibri Light" w:cs="Arial"/>
        </w:rPr>
      </w:pPr>
      <w:r w:rsidRPr="009D1EFA">
        <w:rPr>
          <w:rFonts w:ascii="Calibri Light" w:hAnsi="Calibri Light" w:cs="Arial"/>
        </w:rPr>
        <w:t xml:space="preserve">It is a source of frustration to some people that judges are difficult to remove, </w:t>
      </w:r>
      <w:proofErr w:type="gramStart"/>
      <w:r w:rsidRPr="009D1EFA">
        <w:rPr>
          <w:rFonts w:ascii="Calibri Light" w:hAnsi="Calibri Light" w:cs="Arial"/>
        </w:rPr>
        <w:t>… .</w:t>
      </w:r>
      <w:proofErr w:type="gramEnd"/>
      <w:r w:rsidRPr="009D1EFA">
        <w:rPr>
          <w:rFonts w:ascii="Calibri Light" w:hAnsi="Calibri Light" w:cs="Arial"/>
        </w:rPr>
        <w:t xml:space="preserve"> Of course, judges, like anyone else, are punishable for breaches of the law. But the sanction of removal is better seen as aimed at protecting the public than at punishing an individual. There may be, within a court, internal administrative measures that can properly be used to address some problems of judicial conduct. But, unless a judge does something so serious as to warrant removal following parliamentary resolution, there is generally no capacity in any person or authority to suspend, or fine, or otherwise penalise for misconduct. It is often wrongly assumed that, beyond their capacity to advise, warn, and take appropriate administrative steps, Chief Justices, and other heads of jurisdiction, have authority to penalise other judges. Judicial independence means, amongst other things, that judges are independent of each other.</w:t>
      </w:r>
    </w:p>
    <w:p w14:paraId="62C24649" w14:textId="77777777" w:rsidR="009D1EFA" w:rsidRPr="009D1EFA" w:rsidRDefault="009D1EFA" w:rsidP="00FF3489">
      <w:pPr>
        <w:pStyle w:val="Quote"/>
        <w:spacing w:before="100" w:after="120" w:line="276" w:lineRule="auto"/>
        <w:ind w:left="720"/>
        <w:jc w:val="left"/>
        <w:rPr>
          <w:rFonts w:ascii="Calibri Light" w:hAnsi="Calibri Light" w:cs="Arial"/>
        </w:rPr>
      </w:pPr>
      <w:r w:rsidRPr="009D1EFA">
        <w:rPr>
          <w:rFonts w:ascii="Calibri Light" w:hAnsi="Calibri Light" w:cs="Arial"/>
        </w:rPr>
        <w:t>As to procedures for dealing with complaints, I would make one comment based on my experience of almost 10 years as President of the Judicial Commission of New South Wales. As a rule, the more serious the complaint, the easier it is to devise means to deal with it. And the converse is true. If a judge is alleged to have committed a crime, then the matter is investigated and tried in the same manner as any other allegation of crime against a citizen. If a judge is alleged to be suffering such incapacity as warrants removal, the procedures to be followed are clear. The difficult cases tend to be those in which the complaint, even if made out, would not justify removal. The complainant is likely to assume that there must be some other sanction available. It can be difficult to satisfy an aggrieved person whose complaint is justified, but who sees no form of sanction visited upon the judicial officer involved. False expectations can be created. I do not put this as an argument against having any form of complaints procedure; but it is a problem that needs to be kept in mind.</w:t>
      </w:r>
    </w:p>
    <w:p w14:paraId="2DFD4711" w14:textId="21DDB73F" w:rsidR="009D1EFA" w:rsidRPr="009D1EFA" w:rsidRDefault="009D1EFA" w:rsidP="00FF3489">
      <w:pPr>
        <w:pStyle w:val="Quote"/>
        <w:spacing w:before="100" w:after="120" w:line="276" w:lineRule="auto"/>
        <w:ind w:left="720"/>
        <w:jc w:val="left"/>
        <w:rPr>
          <w:rFonts w:ascii="Calibri Light" w:hAnsi="Calibri Light" w:cs="Arial"/>
        </w:rPr>
      </w:pPr>
      <w:r w:rsidRPr="009D1EFA">
        <w:rPr>
          <w:rStyle w:val="Emphasis"/>
          <w:rFonts w:ascii="Calibri Light" w:hAnsi="Calibri Light" w:cs="Arial"/>
          <w:color w:val="333333"/>
        </w:rPr>
        <w:t>There is a fundamental problem about any course that would leave a judge in office, with both the capacity and the duty to exercise the judicial power of the Commonwealth, or of another unit of the Federation and yet publicly discredited by censure or some other form of disciplinary action.</w:t>
      </w:r>
    </w:p>
    <w:p w14:paraId="4B0E5841" w14:textId="0AC9AF56" w:rsidR="009D1EFA" w:rsidRPr="009D1EFA" w:rsidRDefault="009D1EFA" w:rsidP="00FF3489">
      <w:pPr>
        <w:pStyle w:val="Quote"/>
        <w:spacing w:before="100" w:after="120" w:line="276" w:lineRule="auto"/>
        <w:ind w:left="720"/>
        <w:jc w:val="left"/>
        <w:rPr>
          <w:rFonts w:ascii="Calibri Light" w:hAnsi="Calibri Light" w:cs="Arial"/>
        </w:rPr>
      </w:pPr>
      <w:r w:rsidRPr="009D1EFA">
        <w:rPr>
          <w:rFonts w:ascii="Calibri Light" w:hAnsi="Calibri Light" w:cs="Arial"/>
        </w:rPr>
        <w:t>To some people, both inside and outside government, this is difficult to reconcile with current ideas of accountability. … It is all the more important, then, that we should be in a position to explain the constitutional principles that are at work.</w:t>
      </w:r>
    </w:p>
    <w:p w14:paraId="005C9321" w14:textId="77777777" w:rsidR="009D1EFA" w:rsidRPr="009D1EFA" w:rsidRDefault="009D1EFA" w:rsidP="00FF3489">
      <w:pPr>
        <w:spacing w:before="100" w:after="120" w:line="276" w:lineRule="auto"/>
        <w:ind w:right="-51"/>
        <w:rPr>
          <w:rFonts w:ascii="Calibri Light" w:hAnsi="Calibri Light"/>
          <w:sz w:val="22"/>
          <w:szCs w:val="22"/>
        </w:rPr>
      </w:pPr>
      <w:r w:rsidRPr="009D1EFA">
        <w:rPr>
          <w:rFonts w:ascii="Calibri Light" w:hAnsi="Calibri Light" w:cs="Arial"/>
          <w:sz w:val="22"/>
          <w:szCs w:val="22"/>
        </w:rPr>
        <w:t>While Gleeson asserts that a more robust complaints and disciplinary system would represent a threat to the public’s confidence in the administration of justice, with sitting judges subject to public censure or disciplinary action, it should be remembered that there are already forms of public censure for individual judges. As explained above, this might be in the form of media reporting of criminal conduct, or in judicial comments in the course of an appeal against a judgment. However, under the current system, these public censures will often not occur after a robust investigation affording transparent due process to the complainant and the judge, and they will often not involve any form of disciplinary action that the public can understand, so as to see consequences for judicial indiscretions. The absence of these elements from the traditional system has been argued to also undermine public confidence in the administration of justice. It stands in contrast to other jurisdictions, for instance California (which has one of the longest functioning judicial commissions and has served as a model for commissions in other jurisdictions) and England and Wales (which introduced reforms to its system of judicial governance and complaints handling in 2005). In these jurisdictions there is power in the Commission on Judicial Performance; and the Lord Chief Justice and Lord Chancellor, respectively, to respond to substantiated complaints about misconduct short of conduct that would justify removal from office with a graduated range of consequences.</w:t>
      </w:r>
      <w:r w:rsidRPr="009D1EFA">
        <w:rPr>
          <w:rStyle w:val="FootnoteReference"/>
          <w:rFonts w:ascii="Calibri Light" w:hAnsi="Calibri Light" w:cs="Arial"/>
          <w:sz w:val="22"/>
          <w:szCs w:val="22"/>
        </w:rPr>
        <w:footnoteReference w:id="40"/>
      </w:r>
      <w:r w:rsidRPr="009D1EFA">
        <w:rPr>
          <w:rFonts w:ascii="Calibri Light" w:hAnsi="Calibri Light" w:cs="Arial"/>
          <w:sz w:val="22"/>
          <w:szCs w:val="22"/>
        </w:rPr>
        <w:t xml:space="preserve"> </w:t>
      </w:r>
    </w:p>
    <w:p w14:paraId="7A850079"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As Executive Director of the Arkansas Judicial Discipline &amp; Disability Commission, David Sachar, has written, introduction of a well-functioning judicial commission can support judicial independence by ensuring that all complaints are dealt in a manner that respects due process, and the judiciary are seen to be self-regulating in a robust way:</w:t>
      </w:r>
    </w:p>
    <w:p w14:paraId="5B701798" w14:textId="2CFDC3C5" w:rsidR="009D1EFA" w:rsidRPr="009D1EFA" w:rsidRDefault="009D1EFA" w:rsidP="00FF3489">
      <w:pPr>
        <w:spacing w:before="100" w:after="120" w:line="276" w:lineRule="auto"/>
        <w:ind w:left="720" w:right="-51"/>
        <w:rPr>
          <w:rFonts w:ascii="Calibri Light" w:hAnsi="Calibri Light" w:cs="Arial"/>
          <w:sz w:val="22"/>
          <w:szCs w:val="22"/>
        </w:rPr>
      </w:pPr>
      <w:r w:rsidRPr="009D1EFA">
        <w:rPr>
          <w:rFonts w:ascii="Calibri Light" w:hAnsi="Calibri Light" w:cs="Arial"/>
          <w:sz w:val="22"/>
          <w:szCs w:val="22"/>
        </w:rPr>
        <w:t xml:space="preserve">Judges will complain that the JCC can be a danger to judicial </w:t>
      </w:r>
      <w:r w:rsidR="00FF3489" w:rsidRPr="009D1EFA">
        <w:rPr>
          <w:rFonts w:ascii="Calibri Light" w:hAnsi="Calibri Light" w:cs="Arial"/>
          <w:sz w:val="22"/>
          <w:szCs w:val="22"/>
        </w:rPr>
        <w:t>decision-making</w:t>
      </w:r>
      <w:r w:rsidRPr="009D1EFA">
        <w:rPr>
          <w:rFonts w:ascii="Calibri Light" w:hAnsi="Calibri Light" w:cs="Arial"/>
          <w:sz w:val="22"/>
          <w:szCs w:val="22"/>
        </w:rPr>
        <w:t xml:space="preserve"> independence. A properly functioning JCC will not do this and will, in fact, support an independent judiciary. Ensuring that the judiciary is protected from false allegations by guaranteeing due process is accomplished with good investigation policies and procedures. Due process is not an afterthought. Judges, even those accused of the most distasteful </w:t>
      </w:r>
      <w:proofErr w:type="spellStart"/>
      <w:r w:rsidRPr="009D1EFA">
        <w:rPr>
          <w:rFonts w:ascii="Calibri Light" w:hAnsi="Calibri Light" w:cs="Arial"/>
          <w:sz w:val="22"/>
          <w:szCs w:val="22"/>
        </w:rPr>
        <w:t>behavior</w:t>
      </w:r>
      <w:proofErr w:type="spellEnd"/>
      <w:r w:rsidRPr="009D1EFA">
        <w:rPr>
          <w:rFonts w:ascii="Calibri Light" w:hAnsi="Calibri Light" w:cs="Arial"/>
          <w:sz w:val="22"/>
          <w:szCs w:val="22"/>
        </w:rPr>
        <w:t xml:space="preserve"> must have a fair opportunity to be heard when facing public ethics charges. </w:t>
      </w:r>
    </w:p>
    <w:p w14:paraId="1ED9F4FF" w14:textId="1412A83D" w:rsidR="00F32CCC" w:rsidRDefault="009D1EFA" w:rsidP="00F32CCC">
      <w:pPr>
        <w:spacing w:before="100" w:after="120" w:line="276" w:lineRule="auto"/>
        <w:ind w:left="720" w:right="-51"/>
        <w:rPr>
          <w:rFonts w:ascii="Calibri Light" w:hAnsi="Calibri Light" w:cs="Arial"/>
          <w:sz w:val="22"/>
          <w:szCs w:val="22"/>
        </w:rPr>
      </w:pPr>
      <w:r w:rsidRPr="009D1EFA">
        <w:rPr>
          <w:rFonts w:ascii="Calibri Light" w:hAnsi="Calibri Light" w:cs="Arial"/>
          <w:sz w:val="22"/>
          <w:szCs w:val="22"/>
        </w:rPr>
        <w:t>However, there cannot be a fear of promulgating strong substantive regulations and procedures. It is incumbent on the judiciary to lead the way on regulation. If not, the public will not trust its ability to regulate itself. That is when other branches of government attempt to intervene and insidious separation of powers concerns creep in, and institutional judicial independence can be threatened.</w:t>
      </w:r>
      <w:r w:rsidRPr="009D1EFA">
        <w:rPr>
          <w:rFonts w:ascii="Calibri Light" w:hAnsi="Calibri Light" w:cs="Arial"/>
          <w:sz w:val="22"/>
          <w:szCs w:val="22"/>
          <w:vertAlign w:val="superscript"/>
        </w:rPr>
        <w:footnoteReference w:id="41"/>
      </w:r>
    </w:p>
    <w:p w14:paraId="2ACCD5F9" w14:textId="0F397293" w:rsidR="00F32CCC" w:rsidRDefault="00F32CCC" w:rsidP="00F32CCC">
      <w:pPr>
        <w:spacing w:before="100" w:after="120" w:line="276" w:lineRule="auto"/>
        <w:ind w:left="720" w:right="-51"/>
        <w:rPr>
          <w:rFonts w:ascii="Calibri Light" w:hAnsi="Calibri Light" w:cs="Arial"/>
          <w:sz w:val="22"/>
          <w:szCs w:val="22"/>
        </w:rPr>
      </w:pPr>
    </w:p>
    <w:p w14:paraId="29ED1EF6" w14:textId="77777777" w:rsidR="00F32CCC" w:rsidRPr="009D1EFA" w:rsidRDefault="00F32CCC" w:rsidP="00F32CCC">
      <w:pPr>
        <w:spacing w:before="100" w:after="120" w:line="276" w:lineRule="auto"/>
        <w:ind w:left="720" w:right="-51"/>
        <w:rPr>
          <w:rFonts w:ascii="Calibri Light" w:hAnsi="Calibri Light" w:cs="Arial"/>
          <w:sz w:val="22"/>
          <w:szCs w:val="22"/>
        </w:rPr>
      </w:pPr>
    </w:p>
    <w:p w14:paraId="31A02CD2" w14:textId="77777777" w:rsidR="009D1EFA" w:rsidRPr="00F32CCC" w:rsidRDefault="009D1EFA" w:rsidP="00FF3489">
      <w:pPr>
        <w:spacing w:before="100" w:after="120" w:line="276" w:lineRule="auto"/>
        <w:ind w:right="-51"/>
        <w:rPr>
          <w:rFonts w:ascii="Calibri Light" w:hAnsi="Calibri Light" w:cs="Calibri Light"/>
          <w:color w:val="006472"/>
        </w:rPr>
      </w:pPr>
      <w:r w:rsidRPr="00F32CCC">
        <w:rPr>
          <w:rFonts w:ascii="Calibri Light" w:hAnsi="Calibri Light" w:cs="Calibri Light"/>
          <w:color w:val="006472"/>
        </w:rPr>
        <w:t>(3) The current Victorian position: the role of the head of jurisdiction and the Judicial Complaints Commission</w:t>
      </w:r>
    </w:p>
    <w:p w14:paraId="68E43925" w14:textId="77777777"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Here, we look in more detail at the current governance position that exists in Victoria, which has supplemented the traditional role of the Head of Jurisdiction with a judicial commission. </w:t>
      </w:r>
    </w:p>
    <w:p w14:paraId="115F7067" w14:textId="486C8006" w:rsidR="009D1EFA" w:rsidRPr="009D1EFA" w:rsidRDefault="009D1EFA" w:rsidP="00FF3489">
      <w:pPr>
        <w:spacing w:before="100" w:after="120" w:line="276" w:lineRule="auto"/>
        <w:ind w:right="-51"/>
        <w:rPr>
          <w:rFonts w:ascii="Calibri Light" w:hAnsi="Calibri Light" w:cs="Arial"/>
          <w:sz w:val="22"/>
          <w:szCs w:val="22"/>
        </w:rPr>
      </w:pPr>
      <w:r w:rsidRPr="009D1EFA">
        <w:rPr>
          <w:rFonts w:ascii="Calibri Light" w:hAnsi="Calibri Light" w:cs="Arial"/>
          <w:sz w:val="22"/>
          <w:szCs w:val="22"/>
        </w:rPr>
        <w:t xml:space="preserve">Section 28AAA of the </w:t>
      </w:r>
      <w:r w:rsidRPr="009D1EFA">
        <w:rPr>
          <w:rFonts w:ascii="Calibri Light" w:hAnsi="Calibri Light" w:cs="Arial"/>
          <w:i/>
          <w:iCs/>
          <w:sz w:val="22"/>
          <w:szCs w:val="22"/>
        </w:rPr>
        <w:t xml:space="preserve">Supreme Court Act 1986 </w:t>
      </w:r>
      <w:r w:rsidRPr="009D1EFA">
        <w:rPr>
          <w:rFonts w:ascii="Calibri Light" w:hAnsi="Calibri Light" w:cs="Arial"/>
          <w:sz w:val="22"/>
          <w:szCs w:val="22"/>
        </w:rPr>
        <w:t>sets out the powers of the Chief Justice of Victoria broadly and states:</w:t>
      </w:r>
    </w:p>
    <w:p w14:paraId="1567D179" w14:textId="77777777" w:rsidR="009D1EFA" w:rsidRPr="009D1EFA" w:rsidRDefault="009D1EFA" w:rsidP="00FF3489">
      <w:pPr>
        <w:pStyle w:val="NormalWeb"/>
        <w:numPr>
          <w:ilvl w:val="0"/>
          <w:numId w:val="85"/>
        </w:numPr>
        <w:shd w:val="clear" w:color="auto" w:fill="FFFFFF"/>
        <w:spacing w:beforeAutospacing="0" w:after="120" w:afterAutospacing="0" w:line="276" w:lineRule="auto"/>
        <w:rPr>
          <w:rFonts w:ascii="Calibri Light" w:hAnsi="Calibri Light" w:cs="Arial"/>
          <w:color w:val="333333"/>
          <w:sz w:val="22"/>
          <w:szCs w:val="22"/>
        </w:rPr>
      </w:pPr>
      <w:r w:rsidRPr="009D1EFA">
        <w:rPr>
          <w:rFonts w:ascii="Calibri Light" w:hAnsi="Calibri Light" w:cs="Arial"/>
          <w:color w:val="333333"/>
          <w:sz w:val="22"/>
          <w:szCs w:val="22"/>
        </w:rPr>
        <w:t>The Chief Justice is responsible for ensuring the effective, orderly and expeditious discharge of the business of the Court.</w:t>
      </w:r>
    </w:p>
    <w:p w14:paraId="6DAD57C0" w14:textId="3720833B" w:rsidR="009D1EFA" w:rsidRPr="009D1EFA" w:rsidRDefault="009D1EFA" w:rsidP="00FF3489">
      <w:pPr>
        <w:pStyle w:val="NormalWeb"/>
        <w:numPr>
          <w:ilvl w:val="0"/>
          <w:numId w:val="85"/>
        </w:numPr>
        <w:shd w:val="clear" w:color="auto" w:fill="FFFFFF"/>
        <w:spacing w:beforeAutospacing="0" w:after="120" w:afterAutospacing="0" w:line="276" w:lineRule="auto"/>
        <w:rPr>
          <w:rFonts w:ascii="Calibri Light" w:hAnsi="Calibri Light" w:cs="Arial"/>
          <w:color w:val="333333"/>
          <w:sz w:val="22"/>
          <w:szCs w:val="22"/>
        </w:rPr>
      </w:pPr>
      <w:r w:rsidRPr="009D1EFA">
        <w:rPr>
          <w:rFonts w:ascii="Calibri Light" w:hAnsi="Calibri Light" w:cs="Arial"/>
          <w:color w:val="333333"/>
          <w:sz w:val="22"/>
          <w:szCs w:val="22"/>
        </w:rPr>
        <w:t>The Chief Justice has the power to do all things necessary or convenient to be done to perform the Chief Justice's responsibilities under subsection (1).</w:t>
      </w:r>
    </w:p>
    <w:p w14:paraId="2921A2B8" w14:textId="75575169" w:rsidR="009D1EFA" w:rsidRPr="009D1EFA" w:rsidRDefault="009D1EFA" w:rsidP="00FF3489">
      <w:pPr>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There is a similar provision in the </w:t>
      </w:r>
      <w:r w:rsidRPr="009D1EFA">
        <w:rPr>
          <w:rFonts w:ascii="Calibri Light" w:hAnsi="Calibri Light" w:cs="Arial"/>
          <w:i/>
          <w:iCs/>
          <w:sz w:val="22"/>
          <w:szCs w:val="22"/>
        </w:rPr>
        <w:t>County Court Act 1958</w:t>
      </w:r>
      <w:r w:rsidRPr="009D1EFA">
        <w:rPr>
          <w:rFonts w:ascii="Calibri Light" w:hAnsi="Calibri Light" w:cs="Arial"/>
          <w:sz w:val="22"/>
          <w:szCs w:val="22"/>
        </w:rPr>
        <w:t xml:space="preserve"> (section 8E), </w:t>
      </w:r>
      <w:r w:rsidRPr="009D1EFA">
        <w:rPr>
          <w:rFonts w:ascii="Calibri Light" w:hAnsi="Calibri Light" w:cs="Arial"/>
          <w:i/>
          <w:iCs/>
          <w:sz w:val="22"/>
          <w:szCs w:val="22"/>
        </w:rPr>
        <w:t>Magistrates Court Act 1989</w:t>
      </w:r>
      <w:r w:rsidRPr="009D1EFA">
        <w:rPr>
          <w:rFonts w:ascii="Calibri Light" w:hAnsi="Calibri Light" w:cs="Arial"/>
          <w:sz w:val="22"/>
          <w:szCs w:val="22"/>
        </w:rPr>
        <w:t xml:space="preserve"> (section 12A) and the </w:t>
      </w:r>
      <w:r w:rsidRPr="009D1EFA">
        <w:rPr>
          <w:rFonts w:ascii="Calibri Light" w:hAnsi="Calibri Light" w:cs="Arial"/>
          <w:i/>
          <w:iCs/>
          <w:sz w:val="22"/>
          <w:szCs w:val="22"/>
        </w:rPr>
        <w:t>Coroners Court Act 2008</w:t>
      </w:r>
      <w:r w:rsidRPr="009D1EFA">
        <w:rPr>
          <w:rFonts w:ascii="Calibri Light" w:hAnsi="Calibri Light" w:cs="Arial"/>
          <w:sz w:val="22"/>
          <w:szCs w:val="22"/>
        </w:rPr>
        <w:t xml:space="preserve"> (section 95A). The President of the VCAT has a slightly differently worded power under the </w:t>
      </w:r>
      <w:r w:rsidRPr="009D1EFA">
        <w:rPr>
          <w:rFonts w:ascii="Calibri Light" w:hAnsi="Calibri Light" w:cs="Arial"/>
          <w:i/>
          <w:iCs/>
          <w:sz w:val="22"/>
          <w:szCs w:val="22"/>
        </w:rPr>
        <w:t>VCAT Act 1998</w:t>
      </w:r>
      <w:r w:rsidRPr="009D1EFA">
        <w:rPr>
          <w:rFonts w:ascii="Calibri Light" w:hAnsi="Calibri Light" w:cs="Arial"/>
          <w:sz w:val="22"/>
          <w:szCs w:val="22"/>
        </w:rPr>
        <w:t xml:space="preserve"> (section 30):</w:t>
      </w:r>
    </w:p>
    <w:p w14:paraId="7705D790" w14:textId="33A7EF57" w:rsidR="009D1EFA" w:rsidRPr="00FB4CC5" w:rsidRDefault="009D1EFA" w:rsidP="00FB4CC5">
      <w:pPr>
        <w:pStyle w:val="ListParagraph"/>
        <w:numPr>
          <w:ilvl w:val="0"/>
          <w:numId w:val="84"/>
        </w:numPr>
        <w:spacing w:before="100" w:after="120" w:line="276" w:lineRule="auto"/>
        <w:rPr>
          <w:rFonts w:ascii="Calibri Light" w:hAnsi="Calibri Light" w:cs="Arial"/>
        </w:rPr>
      </w:pPr>
      <w:r w:rsidRPr="009D1EFA">
        <w:rPr>
          <w:rFonts w:ascii="Calibri Light" w:hAnsi="Calibri Light" w:cs="Arial"/>
        </w:rPr>
        <w:t>Subject to this Act and the rules, the President and the Vice Presidents are to direct the business of the Tribunal.</w:t>
      </w:r>
    </w:p>
    <w:p w14:paraId="42A067CE" w14:textId="085389EE" w:rsidR="009D1EFA" w:rsidRPr="009D1EFA" w:rsidRDefault="009D1EFA" w:rsidP="00FF3489">
      <w:pPr>
        <w:pStyle w:val="ListParagraph"/>
        <w:numPr>
          <w:ilvl w:val="0"/>
          <w:numId w:val="84"/>
        </w:numPr>
        <w:spacing w:before="100" w:after="120" w:line="276" w:lineRule="auto"/>
        <w:rPr>
          <w:rFonts w:ascii="Calibri Light" w:hAnsi="Calibri Light" w:cs="Arial"/>
        </w:rPr>
      </w:pPr>
      <w:r w:rsidRPr="009D1EFA">
        <w:rPr>
          <w:rFonts w:ascii="Calibri Light" w:hAnsi="Calibri Light" w:cs="Arial"/>
        </w:rPr>
        <w:t>The President and the Vice Presidents are responsible for the management of the administrative affairs of the Tribunal.</w:t>
      </w:r>
    </w:p>
    <w:p w14:paraId="0B322296" w14:textId="788DC7A0" w:rsidR="009D1EFA" w:rsidRPr="009D1EFA" w:rsidRDefault="009D1EFA" w:rsidP="00FF3489">
      <w:pPr>
        <w:pStyle w:val="ListParagraph"/>
        <w:numPr>
          <w:ilvl w:val="0"/>
          <w:numId w:val="84"/>
        </w:numPr>
        <w:spacing w:before="100" w:after="120" w:line="276" w:lineRule="auto"/>
        <w:rPr>
          <w:rFonts w:ascii="Calibri Light" w:hAnsi="Calibri Light" w:cs="Arial"/>
        </w:rPr>
      </w:pPr>
      <w:r w:rsidRPr="009D1EFA">
        <w:rPr>
          <w:rFonts w:ascii="Calibri Light" w:hAnsi="Calibri Light" w:cs="Arial"/>
        </w:rPr>
        <w:t>The President and the Vice Presidents may determine the places and times for the sittings of the Tribunal.</w:t>
      </w:r>
    </w:p>
    <w:p w14:paraId="1D6581C0" w14:textId="77777777" w:rsidR="009D1EFA" w:rsidRPr="009D1EFA" w:rsidRDefault="009D1EFA" w:rsidP="00FF3489">
      <w:pPr>
        <w:pStyle w:val="ListParagraph"/>
        <w:numPr>
          <w:ilvl w:val="0"/>
          <w:numId w:val="84"/>
        </w:numPr>
        <w:spacing w:before="100" w:after="120" w:line="276" w:lineRule="auto"/>
        <w:rPr>
          <w:rFonts w:ascii="Calibri Light" w:hAnsi="Calibri Light" w:cs="Arial"/>
        </w:rPr>
      </w:pPr>
      <w:r w:rsidRPr="009D1EFA">
        <w:rPr>
          <w:rFonts w:ascii="Calibri Light" w:hAnsi="Calibri Light" w:cs="Arial"/>
        </w:rPr>
        <w:t>In carrying out functions under this section, a Vice President is subject to the direction of the President.</w:t>
      </w:r>
    </w:p>
    <w:p w14:paraId="5A2F7180"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The Chief Magistrate also has some express administrative authority which includes general responsibility for managing the court and ensuring its orderly conduct of business.</w:t>
      </w:r>
      <w:r w:rsidRPr="009D1EFA">
        <w:rPr>
          <w:rStyle w:val="FootnoteReference"/>
          <w:rFonts w:ascii="Calibri Light" w:hAnsi="Calibri Light" w:cs="Arial"/>
          <w:sz w:val="22"/>
          <w:szCs w:val="22"/>
        </w:rPr>
        <w:footnoteReference w:id="42"/>
      </w:r>
      <w:r w:rsidRPr="009D1EFA">
        <w:rPr>
          <w:rFonts w:ascii="Calibri Light" w:hAnsi="Calibri Light" w:cs="Arial"/>
          <w:sz w:val="22"/>
          <w:szCs w:val="22"/>
        </w:rPr>
        <w:t xml:space="preserve"> </w:t>
      </w:r>
    </w:p>
    <w:p w14:paraId="692211AA"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In addition, there is also a provision for a council of judges in the Supreme Court,</w:t>
      </w:r>
      <w:r w:rsidRPr="009D1EFA">
        <w:rPr>
          <w:rStyle w:val="FootnoteReference"/>
          <w:rFonts w:ascii="Calibri Light" w:hAnsi="Calibri Light" w:cs="Arial"/>
          <w:sz w:val="22"/>
          <w:szCs w:val="22"/>
        </w:rPr>
        <w:footnoteReference w:id="43"/>
      </w:r>
      <w:r w:rsidRPr="009D1EFA">
        <w:rPr>
          <w:rFonts w:ascii="Calibri Light" w:hAnsi="Calibri Light" w:cs="Arial"/>
          <w:sz w:val="22"/>
          <w:szCs w:val="22"/>
        </w:rPr>
        <w:t xml:space="preserve"> County Court,</w:t>
      </w:r>
      <w:r w:rsidRPr="009D1EFA">
        <w:rPr>
          <w:rStyle w:val="FootnoteReference"/>
          <w:rFonts w:ascii="Calibri Light" w:hAnsi="Calibri Light" w:cs="Arial"/>
          <w:sz w:val="22"/>
          <w:szCs w:val="22"/>
        </w:rPr>
        <w:footnoteReference w:id="44"/>
      </w:r>
      <w:r w:rsidRPr="009D1EFA">
        <w:rPr>
          <w:rFonts w:ascii="Calibri Light" w:hAnsi="Calibri Light" w:cs="Arial"/>
          <w:sz w:val="22"/>
          <w:szCs w:val="22"/>
        </w:rPr>
        <w:t xml:space="preserve"> and Magistrates Court,</w:t>
      </w:r>
      <w:r w:rsidRPr="009D1EFA">
        <w:rPr>
          <w:rStyle w:val="FootnoteReference"/>
          <w:rFonts w:ascii="Calibri Light" w:hAnsi="Calibri Light" w:cs="Arial"/>
          <w:sz w:val="22"/>
          <w:szCs w:val="22"/>
        </w:rPr>
        <w:footnoteReference w:id="45"/>
      </w:r>
      <w:r w:rsidRPr="009D1EFA">
        <w:rPr>
          <w:rFonts w:ascii="Calibri Light" w:hAnsi="Calibri Light" w:cs="Arial"/>
          <w:sz w:val="22"/>
          <w:szCs w:val="22"/>
        </w:rPr>
        <w:t xml:space="preserve"> which must meet at least once a year to consider operation of rules, working of the offices of court, and administration and court procedure. These provisions imply, but do not expressly require, consultation. In contrast, there is an express requirement of the agreement of a majority of the judges of the Victorian Supreme Court before the creation of a new office in the court.</w:t>
      </w:r>
    </w:p>
    <w:p w14:paraId="0EC7448B" w14:textId="09CA2F2B" w:rsidR="009D1EFA" w:rsidRPr="009D1EFA" w:rsidRDefault="009D1EFA" w:rsidP="00FB4CC5">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It is clear from these provisions that although the various heads of jurisdiction have some broad powers in relation to the administration of the Court, it is clearly intended that through the council of judges, a collegiate approach is also adopted. How this operates in practice and to what extent it impacts on the power or willingness of a head of jurisdiction to discipline another judicial officer if the circumstances warrant it, is likely to be very fact specific. Informal discussions have indicated that it is not unusual for a Head of Jurisdiction to exercise this power by speaking to members of their jurisdiction when judgments have been significantly delayed for example, but it is not known whether this power could or indeed would be used in the event of other performance or behavioural issues, such as gender-related integrity issues. </w:t>
      </w:r>
    </w:p>
    <w:p w14:paraId="0D9D445E" w14:textId="77777777" w:rsidR="009D1EFA" w:rsidRPr="009D1EFA" w:rsidRDefault="009D1EFA" w:rsidP="00FF3489">
      <w:pPr>
        <w:pStyle w:val="paragraph"/>
        <w:tabs>
          <w:tab w:val="left" w:pos="5333"/>
        </w:tabs>
        <w:spacing w:beforeAutospacing="0" w:after="120" w:afterAutospacing="0" w:line="276" w:lineRule="auto"/>
        <w:textAlignment w:val="baseline"/>
        <w:rPr>
          <w:rStyle w:val="eop"/>
          <w:rFonts w:ascii="Calibri Light" w:hAnsi="Calibri Light" w:cs="Arial"/>
          <w:sz w:val="22"/>
          <w:szCs w:val="22"/>
        </w:rPr>
      </w:pPr>
      <w:r w:rsidRPr="009D1EFA">
        <w:rPr>
          <w:rStyle w:val="eop"/>
          <w:rFonts w:ascii="Calibri Light" w:hAnsi="Calibri Light" w:cs="Arial"/>
          <w:sz w:val="22"/>
          <w:szCs w:val="22"/>
        </w:rPr>
        <w:t>The head of each jurisdiction is also responsible for directing the professional development and continuing education and training of members and may direct all, or some of its judicial officers to participate in a specified professional development or continuing education and training activity.</w:t>
      </w:r>
      <w:r w:rsidRPr="009D1EFA">
        <w:rPr>
          <w:rStyle w:val="FootnoteReference"/>
          <w:rFonts w:ascii="Calibri Light" w:eastAsiaTheme="majorEastAsia" w:hAnsi="Calibri Light" w:cs="Arial"/>
          <w:sz w:val="22"/>
          <w:szCs w:val="22"/>
          <w:lang w:val="en-US"/>
        </w:rPr>
        <w:footnoteReference w:id="46"/>
      </w:r>
    </w:p>
    <w:p w14:paraId="655482A4" w14:textId="67E56BB0"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For example</w:t>
      </w:r>
      <w:r w:rsidR="00137144">
        <w:rPr>
          <w:rFonts w:ascii="Calibri Light" w:hAnsi="Calibri Light" w:cs="Arial"/>
          <w:sz w:val="22"/>
          <w:szCs w:val="22"/>
        </w:rPr>
        <w:t>,</w:t>
      </w:r>
      <w:r w:rsidRPr="009D1EFA">
        <w:rPr>
          <w:rFonts w:ascii="Calibri Light" w:hAnsi="Calibri Light" w:cs="Arial"/>
          <w:sz w:val="22"/>
          <w:szCs w:val="22"/>
        </w:rPr>
        <w:t xml:space="preserve"> section 28A</w:t>
      </w:r>
      <w:r w:rsidR="00FB4CC5">
        <w:rPr>
          <w:rFonts w:ascii="Calibri Light" w:hAnsi="Calibri Light" w:cs="Arial"/>
          <w:sz w:val="22"/>
          <w:szCs w:val="22"/>
        </w:rPr>
        <w:t xml:space="preserve"> </w:t>
      </w:r>
      <w:r w:rsidRPr="009D1EFA">
        <w:rPr>
          <w:rFonts w:ascii="Calibri Light" w:hAnsi="Calibri Light" w:cs="Arial"/>
          <w:sz w:val="22"/>
          <w:szCs w:val="22"/>
        </w:rPr>
        <w:t xml:space="preserve">(3) of the </w:t>
      </w:r>
      <w:r w:rsidRPr="009D1EFA">
        <w:rPr>
          <w:rFonts w:ascii="Calibri Light" w:hAnsi="Calibri Light" w:cs="Arial"/>
          <w:i/>
          <w:iCs/>
          <w:sz w:val="22"/>
          <w:szCs w:val="22"/>
        </w:rPr>
        <w:t xml:space="preserve">Supreme Court Act 1986 </w:t>
      </w:r>
      <w:r w:rsidRPr="009D1EFA">
        <w:rPr>
          <w:rFonts w:ascii="Calibri Light" w:hAnsi="Calibri Light" w:cs="Arial"/>
          <w:sz w:val="22"/>
          <w:szCs w:val="22"/>
        </w:rPr>
        <w:t>provides:</w:t>
      </w:r>
    </w:p>
    <w:p w14:paraId="7624CC21" w14:textId="77777777" w:rsidR="009D1EFA" w:rsidRPr="009D1EFA" w:rsidRDefault="009D1EFA" w:rsidP="00137144">
      <w:pPr>
        <w:autoSpaceDE w:val="0"/>
        <w:autoSpaceDN w:val="0"/>
        <w:adjustRightInd w:val="0"/>
        <w:spacing w:line="276" w:lineRule="auto"/>
        <w:ind w:left="720"/>
        <w:rPr>
          <w:rFonts w:ascii="Calibri Light" w:hAnsi="Calibri Light" w:cs="Arial"/>
          <w:color w:val="333333"/>
          <w:sz w:val="22"/>
          <w:szCs w:val="22"/>
          <w:lang w:bidi="th-TH"/>
        </w:rPr>
      </w:pPr>
      <w:r w:rsidRPr="009D1EFA">
        <w:rPr>
          <w:rFonts w:ascii="Calibri Light" w:hAnsi="Calibri Light" w:cs="Arial"/>
          <w:color w:val="333333"/>
          <w:sz w:val="22"/>
          <w:szCs w:val="22"/>
          <w:lang w:bidi="th-TH"/>
        </w:rPr>
        <w:t>…the Chief Justice may direct—</w:t>
      </w:r>
    </w:p>
    <w:p w14:paraId="7CB8062B" w14:textId="77777777" w:rsidR="009D1EFA" w:rsidRPr="009D1EFA" w:rsidRDefault="009D1EFA" w:rsidP="00137144">
      <w:pPr>
        <w:autoSpaceDE w:val="0"/>
        <w:autoSpaceDN w:val="0"/>
        <w:adjustRightInd w:val="0"/>
        <w:spacing w:line="276" w:lineRule="auto"/>
        <w:ind w:left="720"/>
        <w:rPr>
          <w:rFonts w:ascii="Calibri Light" w:hAnsi="Calibri Light" w:cs="Arial"/>
          <w:color w:val="333333"/>
          <w:sz w:val="22"/>
          <w:szCs w:val="22"/>
          <w:lang w:bidi="th-TH"/>
        </w:rPr>
      </w:pPr>
      <w:r w:rsidRPr="009D1EFA">
        <w:rPr>
          <w:rFonts w:ascii="Calibri Light" w:hAnsi="Calibri Light" w:cs="Arial"/>
          <w:color w:val="333333"/>
          <w:sz w:val="22"/>
          <w:szCs w:val="22"/>
          <w:lang w:bidi="th-TH"/>
        </w:rPr>
        <w:t xml:space="preserve">        (a)     all judicial officers; or</w:t>
      </w:r>
    </w:p>
    <w:p w14:paraId="3AD1AD50" w14:textId="77777777" w:rsidR="009D1EFA" w:rsidRPr="009D1EFA" w:rsidRDefault="009D1EFA" w:rsidP="00137144">
      <w:pPr>
        <w:autoSpaceDE w:val="0"/>
        <w:autoSpaceDN w:val="0"/>
        <w:adjustRightInd w:val="0"/>
        <w:spacing w:line="276" w:lineRule="auto"/>
        <w:ind w:left="720"/>
        <w:rPr>
          <w:rFonts w:ascii="Calibri Light" w:hAnsi="Calibri Light" w:cs="Arial"/>
          <w:color w:val="333333"/>
          <w:sz w:val="22"/>
          <w:szCs w:val="22"/>
          <w:lang w:bidi="th-TH"/>
        </w:rPr>
      </w:pPr>
      <w:r w:rsidRPr="009D1EFA">
        <w:rPr>
          <w:rFonts w:ascii="Calibri Light" w:hAnsi="Calibri Light" w:cs="Arial"/>
          <w:color w:val="333333"/>
          <w:sz w:val="22"/>
          <w:szCs w:val="22"/>
          <w:lang w:bidi="th-TH"/>
        </w:rPr>
        <w:t xml:space="preserve">        (b)     a specified class of judicial officer; or</w:t>
      </w:r>
    </w:p>
    <w:p w14:paraId="18F29C20" w14:textId="77777777" w:rsidR="009D1EFA" w:rsidRPr="009D1EFA" w:rsidRDefault="009D1EFA" w:rsidP="00137144">
      <w:pPr>
        <w:autoSpaceDE w:val="0"/>
        <w:autoSpaceDN w:val="0"/>
        <w:adjustRightInd w:val="0"/>
        <w:spacing w:line="276" w:lineRule="auto"/>
        <w:ind w:left="720"/>
        <w:rPr>
          <w:rFonts w:ascii="Calibri Light" w:hAnsi="Calibri Light" w:cs="Arial"/>
          <w:color w:val="333333"/>
          <w:sz w:val="22"/>
          <w:szCs w:val="22"/>
          <w:lang w:bidi="th-TH"/>
        </w:rPr>
      </w:pPr>
      <w:r w:rsidRPr="009D1EFA">
        <w:rPr>
          <w:rFonts w:ascii="Calibri Light" w:hAnsi="Calibri Light" w:cs="Arial"/>
          <w:color w:val="333333"/>
          <w:sz w:val="22"/>
          <w:szCs w:val="22"/>
          <w:lang w:bidi="th-TH"/>
        </w:rPr>
        <w:t xml:space="preserve">        (c)     a specified judicial officer—</w:t>
      </w:r>
    </w:p>
    <w:p w14:paraId="2E5C24BC" w14:textId="77777777" w:rsidR="009D1EFA" w:rsidRPr="009D1EFA" w:rsidRDefault="009D1EFA" w:rsidP="00FF3489">
      <w:pPr>
        <w:autoSpaceDE w:val="0"/>
        <w:autoSpaceDN w:val="0"/>
        <w:adjustRightInd w:val="0"/>
        <w:spacing w:before="100" w:after="120" w:line="276" w:lineRule="auto"/>
        <w:ind w:left="720"/>
        <w:rPr>
          <w:rFonts w:ascii="Calibri Light" w:hAnsi="Calibri Light" w:cs="Arial"/>
          <w:color w:val="333333"/>
          <w:sz w:val="22"/>
          <w:szCs w:val="22"/>
          <w:lang w:bidi="th-TH"/>
        </w:rPr>
      </w:pPr>
      <w:r w:rsidRPr="009D1EFA">
        <w:rPr>
          <w:rFonts w:ascii="Calibri Light" w:hAnsi="Calibri Light" w:cs="Arial"/>
          <w:color w:val="333333"/>
          <w:sz w:val="22"/>
          <w:szCs w:val="22"/>
          <w:lang w:bidi="th-TH"/>
        </w:rPr>
        <w:t>to participate in a specified professional development or continuing education and training activity.</w:t>
      </w:r>
    </w:p>
    <w:p w14:paraId="1FFA011D" w14:textId="77777777" w:rsidR="009D1EFA" w:rsidRPr="009D1EFA" w:rsidRDefault="009D1EFA" w:rsidP="00FF3489">
      <w:pPr>
        <w:autoSpaceDE w:val="0"/>
        <w:autoSpaceDN w:val="0"/>
        <w:adjustRightInd w:val="0"/>
        <w:spacing w:before="100" w:after="120" w:line="276" w:lineRule="auto"/>
        <w:rPr>
          <w:rFonts w:ascii="Calibri Light" w:hAnsi="Calibri Light" w:cs="Arial"/>
          <w:color w:val="333333"/>
          <w:sz w:val="22"/>
          <w:szCs w:val="22"/>
        </w:rPr>
      </w:pPr>
      <w:r w:rsidRPr="009D1EFA">
        <w:rPr>
          <w:rFonts w:ascii="Calibri Light" w:hAnsi="Calibri Light" w:cs="Arial"/>
          <w:sz w:val="22"/>
          <w:szCs w:val="22"/>
        </w:rPr>
        <w:t>Whilst the power is cast as a discretionary power to ‘direct’ indicating that compliance is required there is no explicit consequence listed for non-compliance unlike in the Federal Court, for example, where the Chief Justice has the explicit power to temporarily restrict a judge to non-sitting duties.</w:t>
      </w:r>
      <w:r w:rsidRPr="009D1EFA">
        <w:rPr>
          <w:rStyle w:val="FootnoteReference"/>
          <w:rFonts w:ascii="Calibri Light" w:hAnsi="Calibri Light" w:cs="Arial"/>
          <w:sz w:val="22"/>
          <w:szCs w:val="22"/>
        </w:rPr>
        <w:footnoteReference w:id="47"/>
      </w:r>
      <w:r w:rsidRPr="009D1EFA">
        <w:rPr>
          <w:rFonts w:ascii="Calibri Light" w:hAnsi="Calibri Light" w:cs="Arial"/>
          <w:color w:val="333333"/>
          <w:sz w:val="22"/>
          <w:szCs w:val="22"/>
        </w:rPr>
        <w:t xml:space="preserve"> </w:t>
      </w:r>
      <w:r w:rsidRPr="009D1EFA">
        <w:rPr>
          <w:rFonts w:ascii="Calibri Light" w:hAnsi="Calibri Light" w:cs="Arial"/>
          <w:sz w:val="22"/>
          <w:szCs w:val="22"/>
        </w:rPr>
        <w:t>Whether or not the general power under section 28AAA includes a power to restrict a judge to non-sitting duties until the directed training activity has been completed in uncertain. For completeness we note also that the question of whether a failure to comply with a direction could amount to misconduct sufficient to warrant dismissal is also uncertain but would appear unlikely.</w:t>
      </w:r>
      <w:r w:rsidRPr="009D1EFA">
        <w:rPr>
          <w:rFonts w:ascii="Calibri Light" w:hAnsi="Calibri Light" w:cs="Arial"/>
          <w:color w:val="333333"/>
          <w:sz w:val="22"/>
          <w:szCs w:val="22"/>
        </w:rPr>
        <w:t xml:space="preserve"> </w:t>
      </w:r>
    </w:p>
    <w:p w14:paraId="7539C106" w14:textId="77777777" w:rsidR="00137144" w:rsidRDefault="009D1EFA" w:rsidP="00FF3489">
      <w:pPr>
        <w:autoSpaceDE w:val="0"/>
        <w:autoSpaceDN w:val="0"/>
        <w:adjustRightInd w:val="0"/>
        <w:spacing w:before="100" w:after="120" w:line="276" w:lineRule="auto"/>
        <w:rPr>
          <w:rFonts w:ascii="Calibri Light" w:hAnsi="Calibri Light" w:cs="Arial"/>
          <w:color w:val="000000"/>
          <w:sz w:val="22"/>
          <w:szCs w:val="22"/>
          <w:shd w:val="clear" w:color="auto" w:fill="FFFFFF"/>
        </w:rPr>
      </w:pPr>
      <w:r w:rsidRPr="009D1EFA">
        <w:rPr>
          <w:rFonts w:ascii="Calibri Light" w:hAnsi="Calibri Light" w:cs="Arial"/>
          <w:sz w:val="22"/>
          <w:szCs w:val="22"/>
        </w:rPr>
        <w:t xml:space="preserve">In Victoria, the role of the Head of Jurisdiction is supplemented by the work of the Judicial Complaints Commission. The </w:t>
      </w:r>
      <w:r w:rsidRPr="009D1EFA">
        <w:rPr>
          <w:rFonts w:ascii="Calibri Light" w:hAnsi="Calibri Light" w:cs="Arial"/>
          <w:color w:val="000000"/>
          <w:sz w:val="22"/>
          <w:szCs w:val="22"/>
          <w:shd w:val="clear" w:color="auto" w:fill="FFFFFF"/>
        </w:rPr>
        <w:t>Judicial Complaints Commission is constituted by heads of jurisdiction of courts and tribunals across the State and four non-judicial members appointed by the Governor in Council.</w:t>
      </w:r>
      <w:r w:rsidRPr="009D1EFA">
        <w:rPr>
          <w:rStyle w:val="FootnoteReference"/>
          <w:rFonts w:ascii="Calibri Light" w:hAnsi="Calibri Light" w:cs="Arial"/>
          <w:color w:val="000000"/>
          <w:sz w:val="22"/>
          <w:szCs w:val="22"/>
          <w:shd w:val="clear" w:color="auto" w:fill="FFFFFF"/>
        </w:rPr>
        <w:footnoteReference w:id="48"/>
      </w:r>
      <w:r w:rsidRPr="009D1EFA">
        <w:rPr>
          <w:rFonts w:ascii="Calibri Light" w:hAnsi="Calibri Light" w:cs="Arial"/>
          <w:color w:val="000000"/>
          <w:sz w:val="22"/>
          <w:szCs w:val="22"/>
          <w:shd w:val="clear" w:color="auto" w:fill="FFFFFF"/>
        </w:rPr>
        <w:t xml:space="preserve"> The Commission receives and investigates complaints against judicial officers.</w:t>
      </w:r>
      <w:r w:rsidR="00137144">
        <w:rPr>
          <w:rFonts w:ascii="Calibri Light" w:hAnsi="Calibri Light" w:cs="Arial"/>
          <w:color w:val="000000"/>
          <w:sz w:val="22"/>
          <w:szCs w:val="22"/>
          <w:shd w:val="clear" w:color="auto" w:fill="FFFFFF"/>
        </w:rPr>
        <w:t xml:space="preserve"> </w:t>
      </w:r>
      <w:r w:rsidRPr="009D1EFA">
        <w:rPr>
          <w:rFonts w:ascii="Calibri Light" w:hAnsi="Calibri Light" w:cs="Arial"/>
          <w:color w:val="000000"/>
          <w:sz w:val="22"/>
          <w:szCs w:val="22"/>
          <w:shd w:val="clear" w:color="auto" w:fill="FFFFFF"/>
        </w:rPr>
        <w:t xml:space="preserve">It has the power to (a) dismiss the complaint; (b) if it is serious enough to warrant removal from office, refer the matter to an investigating panel, or (c) for less serious complaints, refer it to </w:t>
      </w:r>
      <w:r w:rsidRPr="009D1EFA">
        <w:rPr>
          <w:rFonts w:ascii="Calibri Light" w:hAnsi="Calibri Light" w:cs="Arial"/>
          <w:color w:val="000000"/>
          <w:sz w:val="22"/>
          <w:szCs w:val="22"/>
        </w:rPr>
        <w:t xml:space="preserve">the relevant head of jurisdiction with recommendations about the future conduct of the officer concerned. Once a matter is referred back to the head of jurisdiction, they </w:t>
      </w:r>
      <w:r w:rsidRPr="009D1EFA">
        <w:rPr>
          <w:rFonts w:ascii="Calibri Light" w:hAnsi="Calibri Light" w:cs="Arial"/>
          <w:color w:val="000000"/>
          <w:sz w:val="22"/>
          <w:szCs w:val="22"/>
          <w:shd w:val="clear" w:color="auto" w:fill="FFFFFF"/>
        </w:rPr>
        <w:t>have the power to (a) counsel the officer, (b) make recommendations to the officer as to their future conduct or (c) exercise any other powers that the head of jurisdiction has in relation to the officer concerned.</w:t>
      </w:r>
      <w:r w:rsidRPr="009D1EFA">
        <w:rPr>
          <w:rStyle w:val="FootnoteReference"/>
          <w:rFonts w:ascii="Calibri Light" w:hAnsi="Calibri Light" w:cs="Arial"/>
          <w:color w:val="000000"/>
          <w:sz w:val="22"/>
          <w:szCs w:val="22"/>
          <w:shd w:val="clear" w:color="auto" w:fill="FFFFFF"/>
        </w:rPr>
        <w:footnoteReference w:id="49"/>
      </w:r>
      <w:r w:rsidRPr="009D1EFA">
        <w:rPr>
          <w:rFonts w:ascii="Calibri Light" w:hAnsi="Calibri Light" w:cs="Arial"/>
          <w:color w:val="000000"/>
          <w:sz w:val="22"/>
          <w:szCs w:val="22"/>
          <w:shd w:val="clear" w:color="auto" w:fill="FFFFFF"/>
        </w:rPr>
        <w:t xml:space="preserve"> </w:t>
      </w:r>
    </w:p>
    <w:p w14:paraId="55096D95" w14:textId="7A99B175" w:rsidR="009D1EFA" w:rsidRPr="00137144" w:rsidRDefault="009D1EFA" w:rsidP="00FF3489">
      <w:pPr>
        <w:autoSpaceDE w:val="0"/>
        <w:autoSpaceDN w:val="0"/>
        <w:adjustRightInd w:val="0"/>
        <w:spacing w:before="100" w:after="120" w:line="276" w:lineRule="auto"/>
        <w:rPr>
          <w:rFonts w:ascii="Calibri Light" w:hAnsi="Calibri Light" w:cs="Arial"/>
          <w:color w:val="000000"/>
          <w:sz w:val="22"/>
          <w:szCs w:val="22"/>
          <w:shd w:val="clear" w:color="auto" w:fill="FFFFFF"/>
        </w:rPr>
      </w:pPr>
      <w:r w:rsidRPr="009D1EFA">
        <w:rPr>
          <w:rFonts w:ascii="Calibri Light" w:hAnsi="Calibri Light" w:cs="Arial"/>
          <w:color w:val="000000"/>
          <w:sz w:val="22"/>
          <w:szCs w:val="22"/>
          <w:shd w:val="clear" w:color="auto" w:fill="FFFFFF"/>
        </w:rPr>
        <w:t>However as set out above, heads of jurisdiction do not have a vast amount of power over other judges: at common law, by convention or in the legislated regimes. In addition, referring a complaint to a head of jurisdiction removes it from public purview without necessarily leading to an adequate response. Thus, the Victorian approach still means that the ‘chief judge’s unguided and unreviewable interpretation of the conduct in question will dictate if and how discipline is administered’.</w:t>
      </w:r>
      <w:r w:rsidRPr="009D1EFA">
        <w:rPr>
          <w:rStyle w:val="FootnoteReference"/>
          <w:rFonts w:ascii="Calibri Light" w:hAnsi="Calibri Light" w:cs="Arial"/>
          <w:color w:val="000000"/>
          <w:sz w:val="22"/>
          <w:szCs w:val="22"/>
          <w:shd w:val="clear" w:color="auto" w:fill="FFFFFF"/>
        </w:rPr>
        <w:footnoteReference w:id="50"/>
      </w:r>
    </w:p>
    <w:p w14:paraId="65BDC1DF" w14:textId="77777777" w:rsidR="009D1EFA" w:rsidRPr="009D1EFA" w:rsidRDefault="009D1EFA" w:rsidP="00FF3489">
      <w:pPr>
        <w:autoSpaceDE w:val="0"/>
        <w:autoSpaceDN w:val="0"/>
        <w:adjustRightInd w:val="0"/>
        <w:spacing w:before="100" w:after="120" w:line="276" w:lineRule="auto"/>
        <w:rPr>
          <w:rFonts w:ascii="Calibri Light" w:hAnsi="Calibri Light" w:cs="Arial"/>
          <w:color w:val="000000"/>
          <w:sz w:val="22"/>
          <w:szCs w:val="22"/>
        </w:rPr>
      </w:pPr>
      <w:r w:rsidRPr="009D1EFA">
        <w:rPr>
          <w:rFonts w:ascii="Calibri Light" w:hAnsi="Calibri Light" w:cs="Arial"/>
          <w:color w:val="000000"/>
          <w:sz w:val="22"/>
          <w:szCs w:val="22"/>
        </w:rPr>
        <w:t>Thus, despite the introduction of the Judicial Commission of Victoria as a more formalised commission-led process, that process has not negated the need for Heads of Jurisdictions to exercise a degree of day-to-day management in “ensuring the effective, orderly and expeditious discharge of the business of the Court”. Nor has it negated the need to address misconduct that is not of such severity as to warrant a complaint to the Judicial Commission, nor conversely to implement the responses and/or corrective action suggested by the Judicial Commission in response to complaints.</w:t>
      </w:r>
    </w:p>
    <w:p w14:paraId="540EBD07" w14:textId="6256A5A2" w:rsidR="009D1EFA" w:rsidRPr="009D1EFA" w:rsidRDefault="009D1EFA" w:rsidP="00FB4CC5">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color w:val="333333"/>
          <w:sz w:val="22"/>
          <w:szCs w:val="22"/>
        </w:rPr>
        <w:t>The above analysis of constitutional principle, theory and practice demonstrates two clear points. The first is that judicial independence and judicial accountability are both values that are integral to maintaining public confidence in the integrity of the judicial system in Australia. The second is that the design of any judicial oversight mechanism must be done with an eye to strengthening and not diminishing judicial independence. At present in Victoria, the navigation of these principles appears as a compromise between the relatively newly introduced Judicial Complaints Commission, which receives complaints, and the traditional model, maintaining the Head of Jurisdiction’s role in responding to complaints where the conduct involved would not warrant the judge’s removal from office. In this report and its recommendations, we look specifically at whether this current system is adequate to deal with the possible incidence of gender-related misconduct.</w:t>
      </w:r>
    </w:p>
    <w:p w14:paraId="547690A8" w14:textId="77777777" w:rsidR="009D1EFA" w:rsidRPr="009D1EFA" w:rsidRDefault="009D1EFA" w:rsidP="00FF3489">
      <w:pPr>
        <w:pStyle w:val="Heading2"/>
        <w:spacing w:before="100" w:after="120" w:line="276" w:lineRule="auto"/>
        <w:rPr>
          <w:rFonts w:ascii="Calibri Light" w:hAnsi="Calibri Light" w:cs="Arial"/>
          <w:b/>
          <w:bCs/>
          <w:sz w:val="28"/>
          <w:szCs w:val="28"/>
        </w:rPr>
      </w:pPr>
      <w:bookmarkStart w:id="5" w:name="_Toc55656646"/>
      <w:bookmarkStart w:id="6" w:name="_Toc55656822"/>
      <w:r w:rsidRPr="009D1EFA">
        <w:rPr>
          <w:rFonts w:ascii="Calibri Light" w:hAnsi="Calibri Light" w:cs="Arial"/>
          <w:sz w:val="28"/>
          <w:szCs w:val="28"/>
        </w:rPr>
        <w:t>Judicial Immunity</w:t>
      </w:r>
      <w:bookmarkEnd w:id="5"/>
      <w:bookmarkEnd w:id="6"/>
    </w:p>
    <w:p w14:paraId="63985213"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Related to the principle of judicial independence is the common law and statutory rule of judicial immunity. The common law principles governing the immunity of judges of the Supreme Court can be summarised as follows: </w:t>
      </w:r>
    </w:p>
    <w:p w14:paraId="659182F5" w14:textId="77777777" w:rsidR="009D1EFA" w:rsidRPr="009D1EFA" w:rsidRDefault="009D1EFA" w:rsidP="00C3528E">
      <w:pPr>
        <w:autoSpaceDE w:val="0"/>
        <w:autoSpaceDN w:val="0"/>
        <w:adjustRightInd w:val="0"/>
        <w:spacing w:before="100" w:line="276" w:lineRule="auto"/>
        <w:ind w:left="284"/>
        <w:rPr>
          <w:rFonts w:ascii="Calibri Light" w:hAnsi="Calibri Light" w:cs="Arial"/>
          <w:sz w:val="22"/>
          <w:szCs w:val="22"/>
        </w:rPr>
      </w:pPr>
      <w:r w:rsidRPr="009D1EFA">
        <w:rPr>
          <w:rFonts w:ascii="Calibri Light" w:hAnsi="Calibri Light" w:cs="Arial"/>
          <w:sz w:val="22"/>
          <w:szCs w:val="22"/>
        </w:rPr>
        <w:t xml:space="preserve">(1) A judge of a superior court is immune from suit in respect of acts done in the performance of judicial duties and administrative functions intimately associated with judicial duties. </w:t>
      </w:r>
    </w:p>
    <w:p w14:paraId="1A59EBF7" w14:textId="77777777" w:rsidR="009D1EFA" w:rsidRPr="009D1EFA" w:rsidRDefault="009D1EFA" w:rsidP="00C3528E">
      <w:pPr>
        <w:autoSpaceDE w:val="0"/>
        <w:autoSpaceDN w:val="0"/>
        <w:adjustRightInd w:val="0"/>
        <w:spacing w:before="100" w:line="276" w:lineRule="auto"/>
        <w:ind w:left="284"/>
        <w:rPr>
          <w:rFonts w:ascii="Calibri Light" w:hAnsi="Calibri Light" w:cs="Arial"/>
          <w:sz w:val="22"/>
          <w:szCs w:val="22"/>
        </w:rPr>
      </w:pPr>
      <w:r w:rsidRPr="009D1EFA">
        <w:rPr>
          <w:rFonts w:ascii="Calibri Light" w:hAnsi="Calibri Light" w:cs="Arial"/>
          <w:sz w:val="22"/>
          <w:szCs w:val="22"/>
        </w:rPr>
        <w:t xml:space="preserve">(2) The immunity is an immunity from being personally sued and being held personally liable. </w:t>
      </w:r>
    </w:p>
    <w:p w14:paraId="06BE18FB" w14:textId="77777777" w:rsidR="009D1EFA" w:rsidRPr="009D1EFA" w:rsidRDefault="009D1EFA" w:rsidP="00C3528E">
      <w:pPr>
        <w:autoSpaceDE w:val="0"/>
        <w:autoSpaceDN w:val="0"/>
        <w:adjustRightInd w:val="0"/>
        <w:spacing w:before="100" w:line="276" w:lineRule="auto"/>
        <w:ind w:left="284"/>
        <w:rPr>
          <w:rFonts w:ascii="Calibri Light" w:hAnsi="Calibri Light" w:cs="Arial"/>
          <w:sz w:val="22"/>
          <w:szCs w:val="22"/>
        </w:rPr>
      </w:pPr>
      <w:r w:rsidRPr="009D1EFA">
        <w:rPr>
          <w:rFonts w:ascii="Calibri Light" w:hAnsi="Calibri Light" w:cs="Arial"/>
          <w:sz w:val="22"/>
          <w:szCs w:val="22"/>
        </w:rPr>
        <w:t>(3) The immunity also extends to protect a judge from being compelled to disclose any aspect of his or her decision-making process (but not the record upon which the judge acted insofar as it does not reveal any aspect of the decision-making process).</w:t>
      </w:r>
    </w:p>
    <w:p w14:paraId="45D11C24" w14:textId="77777777" w:rsidR="009D1EFA" w:rsidRPr="009D1EFA" w:rsidRDefault="009D1EFA" w:rsidP="00C3528E">
      <w:pPr>
        <w:autoSpaceDE w:val="0"/>
        <w:autoSpaceDN w:val="0"/>
        <w:adjustRightInd w:val="0"/>
        <w:spacing w:before="100" w:after="240" w:line="276" w:lineRule="auto"/>
        <w:ind w:left="284"/>
        <w:rPr>
          <w:rFonts w:ascii="Calibri Light" w:hAnsi="Calibri Light" w:cs="Arial"/>
          <w:sz w:val="22"/>
          <w:szCs w:val="22"/>
        </w:rPr>
      </w:pPr>
      <w:r w:rsidRPr="009D1EFA">
        <w:rPr>
          <w:rFonts w:ascii="Calibri Light" w:hAnsi="Calibri Light" w:cs="Arial"/>
          <w:sz w:val="22"/>
          <w:szCs w:val="22"/>
        </w:rPr>
        <w:t xml:space="preserve">(4) Further, the immunity extends to the revelation, by whatever means (such as the evidence of another person or a subpoena to produce the judge’s notes), of any aspect of the judge’s decision-making process. </w:t>
      </w:r>
    </w:p>
    <w:p w14:paraId="02316B72"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 The immunity has been described as: </w:t>
      </w:r>
    </w:p>
    <w:p w14:paraId="3CF3AA23" w14:textId="77777777" w:rsidR="009D1EFA" w:rsidRPr="009D1EFA" w:rsidRDefault="009D1EFA" w:rsidP="00FF3489">
      <w:pPr>
        <w:autoSpaceDE w:val="0"/>
        <w:autoSpaceDN w:val="0"/>
        <w:adjustRightInd w:val="0"/>
        <w:spacing w:before="100" w:after="120" w:line="276" w:lineRule="auto"/>
        <w:ind w:left="720"/>
        <w:rPr>
          <w:rFonts w:ascii="Calibri Light" w:hAnsi="Calibri Light" w:cs="Arial"/>
          <w:sz w:val="22"/>
          <w:szCs w:val="22"/>
        </w:rPr>
      </w:pPr>
      <w:r w:rsidRPr="009D1EFA">
        <w:rPr>
          <w:rFonts w:ascii="Calibri Light" w:hAnsi="Calibri Light" w:cs="Arial"/>
          <w:sz w:val="22"/>
          <w:szCs w:val="22"/>
        </w:rPr>
        <w:t xml:space="preserve">The principle of judicial immunity is of ancient origin, extending from the time of Lord Coke. In </w:t>
      </w:r>
      <w:r w:rsidRPr="009D1EFA">
        <w:rPr>
          <w:rFonts w:ascii="Calibri Light" w:hAnsi="Calibri Light" w:cs="Arial"/>
          <w:i/>
          <w:iCs/>
          <w:sz w:val="22"/>
          <w:szCs w:val="22"/>
        </w:rPr>
        <w:t>R v Skinner</w:t>
      </w:r>
      <w:r w:rsidRPr="009D1EFA">
        <w:rPr>
          <w:rFonts w:ascii="Calibri Light" w:hAnsi="Calibri Light" w:cs="Arial"/>
          <w:sz w:val="22"/>
          <w:szCs w:val="22"/>
        </w:rPr>
        <w:t xml:space="preserve"> (1772) 98 ER 529, Lord Mansfield (at 530) stated the principle in terms that “neither party, witness, counsel, jury, or Judge can be put to answer, civilly or criminally, for words spoken in office.” The principle was applied in </w:t>
      </w:r>
      <w:r w:rsidRPr="009D1EFA">
        <w:rPr>
          <w:rFonts w:ascii="Calibri Light" w:hAnsi="Calibri Light" w:cs="Arial"/>
          <w:i/>
          <w:iCs/>
          <w:sz w:val="22"/>
          <w:szCs w:val="22"/>
        </w:rPr>
        <w:t>Scott v Stansfield</w:t>
      </w:r>
      <w:r w:rsidRPr="009D1EFA">
        <w:rPr>
          <w:rFonts w:ascii="Calibri Light" w:hAnsi="Calibri Light" w:cs="Arial"/>
          <w:sz w:val="22"/>
          <w:szCs w:val="22"/>
        </w:rPr>
        <w:t xml:space="preserve"> (1868) 3 LR Ex 22, which involved an action for slander brought by a disgruntled litigant against a County Court judge. Kelly CB referred (at 223) to the general proposition that “no action will lie against a judge for any acts done or words spoken in his judicial capacity in a court of justice”.</w:t>
      </w:r>
      <w:r w:rsidRPr="009D1EFA">
        <w:rPr>
          <w:rStyle w:val="FootnoteReference"/>
          <w:rFonts w:ascii="Calibri Light" w:hAnsi="Calibri Light" w:cs="Arial"/>
          <w:sz w:val="22"/>
          <w:szCs w:val="22"/>
        </w:rPr>
        <w:footnoteReference w:id="51"/>
      </w:r>
    </w:p>
    <w:p w14:paraId="6AD2E39F"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In addition, there are statutes that extend the operation of the immunity to various positions, including judges of the County Court (s19 </w:t>
      </w:r>
      <w:r w:rsidRPr="009D1EFA">
        <w:rPr>
          <w:rFonts w:ascii="Calibri Light" w:hAnsi="Calibri Light" w:cs="Arial"/>
          <w:i/>
          <w:iCs/>
          <w:sz w:val="22"/>
          <w:szCs w:val="22"/>
        </w:rPr>
        <w:t>County Court Act 1958</w:t>
      </w:r>
      <w:r w:rsidRPr="009D1EFA">
        <w:rPr>
          <w:rFonts w:ascii="Calibri Light" w:hAnsi="Calibri Light" w:cs="Arial"/>
          <w:sz w:val="22"/>
          <w:szCs w:val="22"/>
        </w:rPr>
        <w:t xml:space="preserve">), magistrates (s14 of the </w:t>
      </w:r>
      <w:r w:rsidRPr="009D1EFA">
        <w:rPr>
          <w:rFonts w:ascii="Calibri Light" w:hAnsi="Calibri Light" w:cs="Arial"/>
          <w:i/>
          <w:iCs/>
          <w:sz w:val="22"/>
          <w:szCs w:val="22"/>
        </w:rPr>
        <w:t>Magistrates’ Court Act 1989</w:t>
      </w:r>
      <w:r w:rsidRPr="009D1EFA">
        <w:rPr>
          <w:rFonts w:ascii="Calibri Light" w:hAnsi="Calibri Light" w:cs="Arial"/>
          <w:sz w:val="22"/>
          <w:szCs w:val="22"/>
        </w:rPr>
        <w:t xml:space="preserve">), VCAT members, and registrars (s24 </w:t>
      </w:r>
      <w:r w:rsidRPr="009D1EFA">
        <w:rPr>
          <w:rFonts w:ascii="Calibri Light" w:hAnsi="Calibri Light" w:cs="Arial"/>
          <w:i/>
          <w:iCs/>
          <w:sz w:val="22"/>
          <w:szCs w:val="22"/>
        </w:rPr>
        <w:t>Magistrates’ Court Act 1989</w:t>
      </w:r>
      <w:r w:rsidRPr="009D1EFA">
        <w:rPr>
          <w:rFonts w:ascii="Calibri Light" w:hAnsi="Calibri Light" w:cs="Arial"/>
          <w:sz w:val="22"/>
          <w:szCs w:val="22"/>
        </w:rPr>
        <w:t xml:space="preserve">, s19 County Court Act 1958, s24F of the Supreme Court Act, 294 of the </w:t>
      </w:r>
      <w:r w:rsidRPr="009D1EFA">
        <w:rPr>
          <w:rFonts w:ascii="Calibri Light" w:hAnsi="Calibri Light" w:cs="Arial"/>
          <w:i/>
          <w:iCs/>
          <w:sz w:val="22"/>
          <w:szCs w:val="22"/>
        </w:rPr>
        <w:t>Coroners Act 2008</w:t>
      </w:r>
      <w:r w:rsidRPr="009D1EFA">
        <w:rPr>
          <w:rFonts w:ascii="Calibri Light" w:hAnsi="Calibri Light" w:cs="Arial"/>
          <w:sz w:val="22"/>
          <w:szCs w:val="22"/>
        </w:rPr>
        <w:t xml:space="preserve">) and mediators. </w:t>
      </w:r>
    </w:p>
    <w:p w14:paraId="58AA2722" w14:textId="77777777" w:rsidR="00C3528E" w:rsidRDefault="00C3528E" w:rsidP="00FF3489">
      <w:pPr>
        <w:autoSpaceDE w:val="0"/>
        <w:autoSpaceDN w:val="0"/>
        <w:adjustRightInd w:val="0"/>
        <w:spacing w:before="100" w:after="120" w:line="276" w:lineRule="auto"/>
        <w:rPr>
          <w:rFonts w:ascii="Calibri Light" w:hAnsi="Calibri Light" w:cs="Arial"/>
          <w:sz w:val="22"/>
          <w:szCs w:val="22"/>
        </w:rPr>
      </w:pPr>
    </w:p>
    <w:p w14:paraId="3773329D" w14:textId="576F01F0"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The Full Federal Court has held that:</w:t>
      </w:r>
    </w:p>
    <w:p w14:paraId="59698195" w14:textId="77777777" w:rsidR="009D1EFA" w:rsidRPr="009D1EFA" w:rsidRDefault="009D1EFA" w:rsidP="00FF3489">
      <w:pPr>
        <w:autoSpaceDE w:val="0"/>
        <w:autoSpaceDN w:val="0"/>
        <w:adjustRightInd w:val="0"/>
        <w:spacing w:before="100" w:after="120" w:line="276" w:lineRule="auto"/>
        <w:ind w:left="720"/>
        <w:rPr>
          <w:rFonts w:ascii="Calibri Light" w:hAnsi="Calibri Light" w:cs="Arial"/>
          <w:sz w:val="22"/>
          <w:szCs w:val="22"/>
        </w:rPr>
      </w:pPr>
      <w:r w:rsidRPr="009D1EFA">
        <w:rPr>
          <w:rFonts w:ascii="Calibri Light" w:hAnsi="Calibri Light" w:cs="Arial"/>
          <w:sz w:val="22"/>
          <w:szCs w:val="22"/>
        </w:rPr>
        <w:t>At least in the performance of judicial functions, judicial officers are not subject to the [</w:t>
      </w:r>
      <w:r w:rsidRPr="009D1EFA">
        <w:rPr>
          <w:rFonts w:ascii="Calibri Light" w:hAnsi="Calibri Light" w:cs="Arial"/>
          <w:i/>
          <w:iCs/>
          <w:sz w:val="22"/>
          <w:szCs w:val="22"/>
        </w:rPr>
        <w:t>Disability Discrimination Act 1992</w:t>
      </w:r>
      <w:r w:rsidRPr="009D1EFA">
        <w:rPr>
          <w:rFonts w:ascii="Calibri Light" w:hAnsi="Calibri Light" w:cs="Arial"/>
          <w:sz w:val="22"/>
          <w:szCs w:val="22"/>
        </w:rPr>
        <w:t>] and any claim of discrimination would be precluded by the principle of judicial immunity… In our view a complaint in respect of action taken or not taken in the exercise of a jurisdiction conferred on a Chapter III judge cannot found an action under the [</w:t>
      </w:r>
      <w:r w:rsidRPr="009D1EFA">
        <w:rPr>
          <w:rFonts w:ascii="Calibri Light" w:hAnsi="Calibri Light" w:cs="Arial"/>
          <w:i/>
          <w:iCs/>
          <w:sz w:val="22"/>
          <w:szCs w:val="22"/>
        </w:rPr>
        <w:t>Disability Discrimination Act 1992</w:t>
      </w:r>
      <w:r w:rsidRPr="009D1EFA">
        <w:rPr>
          <w:rFonts w:ascii="Calibri Light" w:hAnsi="Calibri Light" w:cs="Arial"/>
          <w:sz w:val="22"/>
          <w:szCs w:val="22"/>
        </w:rPr>
        <w:t>].</w:t>
      </w:r>
      <w:r w:rsidRPr="009D1EFA">
        <w:rPr>
          <w:rStyle w:val="FootnoteReference"/>
          <w:rFonts w:ascii="Calibri Light" w:hAnsi="Calibri Light" w:cs="Arial"/>
          <w:sz w:val="22"/>
          <w:szCs w:val="22"/>
        </w:rPr>
        <w:footnoteReference w:id="52"/>
      </w:r>
      <w:r w:rsidRPr="009D1EFA">
        <w:rPr>
          <w:rFonts w:ascii="Calibri Light" w:hAnsi="Calibri Light" w:cs="Arial"/>
          <w:sz w:val="22"/>
          <w:szCs w:val="22"/>
        </w:rPr>
        <w:t xml:space="preserve"> </w:t>
      </w:r>
    </w:p>
    <w:p w14:paraId="3F9D1515" w14:textId="12AC201E"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Similarly</w:t>
      </w:r>
      <w:r w:rsidR="00C3528E">
        <w:rPr>
          <w:rFonts w:ascii="Calibri Light" w:hAnsi="Calibri Light" w:cs="Arial"/>
          <w:sz w:val="22"/>
          <w:szCs w:val="22"/>
        </w:rPr>
        <w:t>,</w:t>
      </w:r>
      <w:r w:rsidRPr="009D1EFA">
        <w:rPr>
          <w:rFonts w:ascii="Calibri Light" w:hAnsi="Calibri Light" w:cs="Arial"/>
          <w:sz w:val="22"/>
          <w:szCs w:val="22"/>
        </w:rPr>
        <w:t xml:space="preserve"> in the Supreme Court of Victoria it has been held that judicial immunity, and the statutory extension of it to registry staff, means that the relevant officers cannot be subject to a claim under the EO Act for acts done that are subject to the immunity. However, significantly it was held that: </w:t>
      </w:r>
    </w:p>
    <w:p w14:paraId="083EAC4F" w14:textId="77777777" w:rsidR="009D1EFA" w:rsidRPr="009D1EFA" w:rsidRDefault="009D1EFA" w:rsidP="00FF3489">
      <w:pPr>
        <w:pStyle w:val="ListParagraph"/>
        <w:numPr>
          <w:ilvl w:val="0"/>
          <w:numId w:val="83"/>
        </w:numPr>
        <w:autoSpaceDE w:val="0"/>
        <w:autoSpaceDN w:val="0"/>
        <w:adjustRightInd w:val="0"/>
        <w:spacing w:before="100" w:after="120" w:line="276" w:lineRule="auto"/>
        <w:rPr>
          <w:rFonts w:ascii="Calibri Light" w:hAnsi="Calibri Light" w:cs="Arial"/>
        </w:rPr>
      </w:pPr>
      <w:r w:rsidRPr="009D1EFA">
        <w:rPr>
          <w:rFonts w:ascii="Calibri Light" w:hAnsi="Calibri Light" w:cs="Arial"/>
        </w:rPr>
        <w:t>whilst the individual officers were protected from liability, because the immunity did not negate the existence of a contravention of a law, s 102 of the EO Act was capable of operating against the employer or principal in relation to the contravention. Accordingly, where an employee or agent contravened the EO Act and was immune from liability for the contravention under another Act, the employer or principal might still be liable if the other Act did not confer immunity;</w:t>
      </w:r>
      <w:r w:rsidRPr="009D1EFA">
        <w:rPr>
          <w:rStyle w:val="FootnoteReference"/>
          <w:rFonts w:ascii="Calibri Light" w:hAnsi="Calibri Light" w:cs="Arial"/>
        </w:rPr>
        <w:footnoteReference w:id="53"/>
      </w:r>
      <w:r w:rsidRPr="009D1EFA">
        <w:rPr>
          <w:rFonts w:ascii="Calibri Light" w:hAnsi="Calibri Light" w:cs="Arial"/>
        </w:rPr>
        <w:t xml:space="preserve"> and</w:t>
      </w:r>
    </w:p>
    <w:p w14:paraId="2C767DD2" w14:textId="7058CD6D" w:rsidR="009D1EFA" w:rsidRPr="00FB4CC5" w:rsidRDefault="009D1EFA" w:rsidP="00FB4CC5">
      <w:pPr>
        <w:pStyle w:val="ListParagraph"/>
        <w:numPr>
          <w:ilvl w:val="0"/>
          <w:numId w:val="83"/>
        </w:numPr>
        <w:spacing w:before="100" w:after="120" w:line="276" w:lineRule="auto"/>
        <w:rPr>
          <w:rFonts w:ascii="Calibri Light" w:hAnsi="Calibri Light" w:cs="Arial"/>
        </w:rPr>
      </w:pPr>
      <w:r w:rsidRPr="009D1EFA">
        <w:rPr>
          <w:rFonts w:ascii="Calibri Light" w:hAnsi="Calibri Light" w:cs="Arial"/>
        </w:rPr>
        <w:t>The State cannot be vicariously liable for a judge’s or other judicial officer’s acts falling within the immunity because judicial officers, in performing acts falling within the immunity, are not acting as employees or agents of the State but as independent judicial officers. However</w:t>
      </w:r>
      <w:r w:rsidR="00C3528E">
        <w:rPr>
          <w:rFonts w:ascii="Calibri Light" w:hAnsi="Calibri Light" w:cs="Arial"/>
        </w:rPr>
        <w:t>,</w:t>
      </w:r>
      <w:r w:rsidRPr="009D1EFA">
        <w:rPr>
          <w:rFonts w:ascii="Calibri Light" w:hAnsi="Calibri Light" w:cs="Arial"/>
        </w:rPr>
        <w:t xml:space="preserve"> the State can be a respondent to a claim under the EO Act on the basis of direct rather than vicarious liability so that even where an officer (other than a judicial officer) is protected by an immunity an action may lie directly against the State.</w:t>
      </w:r>
      <w:r w:rsidRPr="009D1EFA">
        <w:rPr>
          <w:rStyle w:val="FootnoteReference"/>
          <w:rFonts w:ascii="Calibri Light" w:hAnsi="Calibri Light" w:cs="Arial"/>
        </w:rPr>
        <w:footnoteReference w:id="54"/>
      </w:r>
      <w:r w:rsidRPr="009D1EFA">
        <w:rPr>
          <w:rFonts w:ascii="Calibri Light" w:hAnsi="Calibri Light" w:cs="Arial"/>
        </w:rPr>
        <w:t xml:space="preserve">   </w:t>
      </w:r>
    </w:p>
    <w:p w14:paraId="58C59DFB" w14:textId="77777777" w:rsidR="009D1EFA" w:rsidRPr="009D1EFA" w:rsidRDefault="009D1EFA" w:rsidP="00FF3489">
      <w:pPr>
        <w:pStyle w:val="RSHVCHeading1"/>
        <w:spacing w:before="100" w:after="120" w:line="276" w:lineRule="auto"/>
        <w:rPr>
          <w:rFonts w:cs="Calibri Light"/>
          <w:b/>
          <w:bCs/>
          <w:color w:val="000000" w:themeColor="text1"/>
          <w:sz w:val="22"/>
          <w:szCs w:val="22"/>
        </w:rPr>
      </w:pPr>
      <w:r w:rsidRPr="009D1EFA">
        <w:rPr>
          <w:rFonts w:cs="Calibri Light"/>
          <w:b/>
          <w:bCs/>
          <w:color w:val="000000" w:themeColor="text1"/>
          <w:sz w:val="22"/>
          <w:szCs w:val="22"/>
        </w:rPr>
        <w:t>The independent exercise of judicial power and the protection from liability for judicial decisions or the exercise of related judicial functions should not be conflated with, or seen as any sort of limitation on, the ability of the Parliament to legislate to prohibit, investigate and punish sexual harassment by judicial officers.</w:t>
      </w:r>
    </w:p>
    <w:p w14:paraId="304A84F8" w14:textId="77777777" w:rsidR="009D1EFA" w:rsidRPr="009D1EFA" w:rsidRDefault="009D1EFA" w:rsidP="00FF3489">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Whilst the immunity may operate to prevent a private action being taken for harassment that occurred in the exercise of a judicial function, for example a comment made by a judicial officer in the course of a hearing, the immunity does not have the effect of converting otherwise unlawful behaviour into lawful behaviour.</w:t>
      </w:r>
      <w:r w:rsidRPr="009D1EFA">
        <w:rPr>
          <w:rStyle w:val="FootnoteReference"/>
          <w:rFonts w:ascii="Calibri Light" w:hAnsi="Calibri Light" w:cs="Arial"/>
          <w:sz w:val="22"/>
          <w:szCs w:val="22"/>
        </w:rPr>
        <w:footnoteReference w:id="55"/>
      </w:r>
      <w:r w:rsidRPr="009D1EFA">
        <w:rPr>
          <w:rFonts w:ascii="Calibri Light" w:hAnsi="Calibri Light" w:cs="Arial"/>
          <w:sz w:val="22"/>
          <w:szCs w:val="22"/>
        </w:rPr>
        <w:t xml:space="preserve"> The behaviour remains unlawful however the remedies under the EO Act for example will not be available. </w:t>
      </w:r>
    </w:p>
    <w:p w14:paraId="482D2D11" w14:textId="319E68BD" w:rsidR="00E43198" w:rsidRPr="00FB4CC5" w:rsidRDefault="009D1EFA" w:rsidP="00FB4CC5">
      <w:pPr>
        <w:autoSpaceDE w:val="0"/>
        <w:autoSpaceDN w:val="0"/>
        <w:adjustRightInd w:val="0"/>
        <w:spacing w:before="100" w:after="120" w:line="276" w:lineRule="auto"/>
        <w:rPr>
          <w:rFonts w:ascii="Calibri Light" w:hAnsi="Calibri Light" w:cs="Arial"/>
          <w:sz w:val="22"/>
          <w:szCs w:val="22"/>
        </w:rPr>
      </w:pPr>
      <w:r w:rsidRPr="009D1EFA">
        <w:rPr>
          <w:rFonts w:ascii="Calibri Light" w:hAnsi="Calibri Light" w:cs="Arial"/>
          <w:sz w:val="22"/>
          <w:szCs w:val="22"/>
        </w:rPr>
        <w:t xml:space="preserve">Given that sexual harassment is most likely to occur in private or outside of formal court hearings and not in the course of exercising a judicial function and, like the acceptance of a bribe, can never fall with the performance of the person’s duties, the doctrine of judicial immunity or similar statutory immunities does not operate as a barrier to regulating judicial conduct or sanctioning judicial misconduct including sexual harassment. </w:t>
      </w:r>
    </w:p>
    <w:sectPr w:rsidR="00E43198" w:rsidRPr="00FB4CC5" w:rsidSect="00A9356C">
      <w:footerReference w:type="even" r:id="rId8"/>
      <w:footerReference w:type="default" r:id="rId9"/>
      <w:headerReference w:type="first" r:id="rId10"/>
      <w:footerReference w:type="first" r:id="rId11"/>
      <w:type w:val="continuous"/>
      <w:pgSz w:w="11900" w:h="16820"/>
      <w:pgMar w:top="1418" w:right="1127" w:bottom="1418" w:left="1418"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DF8E" w14:textId="77777777" w:rsidR="006962AE" w:rsidRDefault="006962AE" w:rsidP="00B52611">
      <w:r>
        <w:separator/>
      </w:r>
    </w:p>
  </w:endnote>
  <w:endnote w:type="continuationSeparator" w:id="0">
    <w:p w14:paraId="30E5416C" w14:textId="77777777" w:rsidR="006962AE" w:rsidRDefault="006962AE" w:rsidP="00B5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Warnock Pro">
    <w:altName w:val="Times New Roman"/>
    <w:panose1 w:val="00000000000000000000"/>
    <w:charset w:val="00"/>
    <w:family w:val="roma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031677"/>
      <w:docPartObj>
        <w:docPartGallery w:val="Page Numbers (Bottom of Page)"/>
        <w:docPartUnique/>
      </w:docPartObj>
    </w:sdtPr>
    <w:sdtEndPr>
      <w:rPr>
        <w:rStyle w:val="PageNumber"/>
      </w:rPr>
    </w:sdtEndPr>
    <w:sdtContent>
      <w:p w14:paraId="561DA3BE" w14:textId="77777777" w:rsidR="00E43198" w:rsidRDefault="00EB3685" w:rsidP="00F77EF3">
        <w:pPr>
          <w:pStyle w:val="Footer"/>
          <w:framePr w:wrap="none" w:vAnchor="text" w:hAnchor="margin" w:y="1"/>
          <w:rPr>
            <w:rStyle w:val="PageNumber"/>
          </w:rPr>
        </w:pPr>
      </w:p>
    </w:sdtContent>
  </w:sdt>
  <w:p w14:paraId="4A1FA6A2" w14:textId="77777777" w:rsidR="00E43198" w:rsidRDefault="00E43198" w:rsidP="00CE6AD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755656"/>
      <w:docPartObj>
        <w:docPartGallery w:val="Page Numbers (Bottom of Page)"/>
        <w:docPartUnique/>
      </w:docPartObj>
    </w:sdtPr>
    <w:sdtEndPr>
      <w:rPr>
        <w:noProof/>
      </w:rPr>
    </w:sdtEndPr>
    <w:sdtContent>
      <w:p w14:paraId="37B22A63" w14:textId="77777777" w:rsidR="00A9356C" w:rsidRDefault="00A9356C">
        <w:pPr>
          <w:pStyle w:val="Footer"/>
          <w:jc w:val="right"/>
          <w:rPr>
            <w:rFonts w:ascii="Calibri Light" w:hAnsi="Calibri Light"/>
            <w:sz w:val="22"/>
            <w:szCs w:val="22"/>
          </w:rPr>
        </w:pPr>
      </w:p>
      <w:p w14:paraId="398CB70E" w14:textId="4E589753" w:rsidR="00A9356C" w:rsidRDefault="00A9356C">
        <w:pPr>
          <w:pStyle w:val="Footer"/>
          <w:jc w:val="right"/>
        </w:pPr>
        <w:r w:rsidRPr="00A9356C">
          <w:rPr>
            <w:rFonts w:ascii="Calibri Light" w:hAnsi="Calibri Light"/>
            <w:noProof/>
            <w:sz w:val="22"/>
            <w:szCs w:val="22"/>
          </w:rPr>
          <w:t>2</w:t>
        </w:r>
      </w:p>
    </w:sdtContent>
  </w:sdt>
  <w:p w14:paraId="5C1EE2C7" w14:textId="69A6A820" w:rsidR="00E43198" w:rsidRDefault="00E43198" w:rsidP="00E43198">
    <w:pPr>
      <w:pStyle w:val="RSHVC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1202" w14:textId="77777777" w:rsidR="00E43198" w:rsidRDefault="00E43198" w:rsidP="00F77E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6C9B" w14:textId="77777777" w:rsidR="006962AE" w:rsidRDefault="006962AE" w:rsidP="00B52611">
      <w:r>
        <w:separator/>
      </w:r>
    </w:p>
  </w:footnote>
  <w:footnote w:type="continuationSeparator" w:id="0">
    <w:p w14:paraId="13C01F95" w14:textId="77777777" w:rsidR="006962AE" w:rsidRDefault="006962AE" w:rsidP="00B52611">
      <w:r>
        <w:continuationSeparator/>
      </w:r>
    </w:p>
  </w:footnote>
  <w:footnote w:id="1">
    <w:p w14:paraId="5178CC5E" w14:textId="77777777" w:rsidR="009D1EFA" w:rsidRPr="00D9479B" w:rsidRDefault="009D1EFA" w:rsidP="009D1EFA">
      <w:pPr>
        <w:pStyle w:val="FootnoteText"/>
        <w:ind w:left="567" w:hanging="567"/>
        <w:rPr>
          <w:rFonts w:ascii="Calibri Light" w:hAnsi="Calibri Light" w:cs="Arial"/>
          <w:sz w:val="18"/>
          <w:szCs w:val="18"/>
        </w:rPr>
      </w:pPr>
      <w:r w:rsidRPr="009D1EFA">
        <w:rPr>
          <w:rStyle w:val="FootnoteReference"/>
          <w:rFonts w:ascii="Calibri Light" w:eastAsiaTheme="majorEastAsia" w:hAnsi="Calibri Light" w:cs="Arial"/>
        </w:rPr>
        <w:footnoteRef/>
      </w:r>
      <w:r w:rsidRPr="009D1EFA">
        <w:rPr>
          <w:rFonts w:ascii="Calibri Light" w:hAnsi="Calibri Light" w:cs="Arial"/>
        </w:rPr>
        <w:t xml:space="preserve"> </w:t>
      </w:r>
      <w:r w:rsidRPr="009D1EFA">
        <w:rPr>
          <w:rFonts w:ascii="Calibri Light" w:hAnsi="Calibri Light" w:cs="Arial"/>
        </w:rPr>
        <w:tab/>
      </w:r>
      <w:r w:rsidRPr="00D9479B">
        <w:rPr>
          <w:rFonts w:ascii="Calibri Light" w:hAnsi="Calibri Light" w:cs="Arial"/>
          <w:i/>
          <w:iCs/>
          <w:sz w:val="18"/>
          <w:szCs w:val="18"/>
        </w:rPr>
        <w:t xml:space="preserve">Kable v Director of Public Prosecutions (NSW) </w:t>
      </w:r>
      <w:r w:rsidRPr="00D9479B">
        <w:rPr>
          <w:rFonts w:ascii="Calibri Light" w:hAnsi="Calibri Light" w:cs="Arial"/>
          <w:sz w:val="18"/>
          <w:szCs w:val="18"/>
        </w:rPr>
        <w:t>(1996) 189 CLR 51.</w:t>
      </w:r>
    </w:p>
  </w:footnote>
  <w:footnote w:id="2">
    <w:p w14:paraId="2245191A"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r>
      <w:r w:rsidRPr="00D9479B">
        <w:rPr>
          <w:rFonts w:ascii="Calibri Light" w:hAnsi="Calibri Light" w:cs="Arial"/>
          <w:i/>
          <w:sz w:val="18"/>
          <w:szCs w:val="18"/>
        </w:rPr>
        <w:t>North Australian Aboriginal Legal Aid Service v Bradley</w:t>
      </w:r>
      <w:r w:rsidRPr="00D9479B">
        <w:rPr>
          <w:rFonts w:ascii="Calibri Light" w:hAnsi="Calibri Light" w:cs="Arial"/>
          <w:sz w:val="18"/>
          <w:szCs w:val="18"/>
        </w:rPr>
        <w:t xml:space="preserve"> (2004) 218 CLR 146, 163 (McHugh, Gummow, Kirby, Hayne, Callinan and Heydon JJ) (‘</w:t>
      </w:r>
      <w:r w:rsidRPr="00D9479B">
        <w:rPr>
          <w:rFonts w:ascii="Calibri Light" w:hAnsi="Calibri Light" w:cs="Arial"/>
          <w:i/>
          <w:iCs/>
          <w:sz w:val="18"/>
          <w:szCs w:val="18"/>
        </w:rPr>
        <w:t>Bradley</w:t>
      </w:r>
      <w:r w:rsidRPr="00D9479B">
        <w:rPr>
          <w:rFonts w:ascii="Calibri Light" w:hAnsi="Calibri Light" w:cs="Arial"/>
          <w:sz w:val="18"/>
          <w:szCs w:val="18"/>
        </w:rPr>
        <w:t xml:space="preserve">’); </w:t>
      </w:r>
      <w:r w:rsidRPr="00D9479B">
        <w:rPr>
          <w:rFonts w:ascii="Calibri Light" w:hAnsi="Calibri Light" w:cs="Arial"/>
          <w:i/>
          <w:sz w:val="18"/>
          <w:szCs w:val="18"/>
        </w:rPr>
        <w:t xml:space="preserve">Forge v Australian Securities and Investments Commission </w:t>
      </w:r>
      <w:r w:rsidRPr="00D9479B">
        <w:rPr>
          <w:rFonts w:ascii="Calibri Light" w:hAnsi="Calibri Light" w:cs="Arial"/>
          <w:sz w:val="18"/>
          <w:szCs w:val="18"/>
        </w:rPr>
        <w:t>(2006) 228 CLR 45, 76 (Gummow, Hayne and Crennan JJ) (‘</w:t>
      </w:r>
      <w:r w:rsidRPr="00D9479B">
        <w:rPr>
          <w:rFonts w:ascii="Calibri Light" w:hAnsi="Calibri Light" w:cs="Arial"/>
          <w:i/>
          <w:iCs/>
          <w:sz w:val="18"/>
          <w:szCs w:val="18"/>
        </w:rPr>
        <w:t>Forge</w:t>
      </w:r>
      <w:r w:rsidRPr="00D9479B">
        <w:rPr>
          <w:rFonts w:ascii="Calibri Light" w:hAnsi="Calibri Light" w:cs="Arial"/>
          <w:sz w:val="18"/>
          <w:szCs w:val="18"/>
        </w:rPr>
        <w:t xml:space="preserve">’).  </w:t>
      </w:r>
    </w:p>
  </w:footnote>
  <w:footnote w:id="3">
    <w:p w14:paraId="4FE0C3F3"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t xml:space="preserve">See, eg, </w:t>
      </w:r>
      <w:r w:rsidRPr="00D9479B">
        <w:rPr>
          <w:rStyle w:val="xitalic"/>
          <w:rFonts w:ascii="Calibri Light" w:hAnsi="Calibri Light" w:cs="Arial"/>
          <w:sz w:val="18"/>
          <w:szCs w:val="18"/>
          <w:lang w:val="en-GB"/>
        </w:rPr>
        <w:t>North Australian Aboriginal Legal Aid Service Inc v Bradley</w:t>
      </w:r>
      <w:r w:rsidRPr="00D9479B">
        <w:rPr>
          <w:rFonts w:ascii="Calibri Light" w:hAnsi="Calibri Light" w:cs="Arial"/>
          <w:sz w:val="18"/>
          <w:szCs w:val="18"/>
          <w:lang w:val="en-GB"/>
        </w:rPr>
        <w:t xml:space="preserve"> (2004) 218 CLR 146, 163 (McHugh, Gummow, Kirby, Hayne, Callinan and Heydon JJ).</w:t>
      </w:r>
    </w:p>
  </w:footnote>
  <w:footnote w:id="4">
    <w:p w14:paraId="7CCA2262"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r>
      <w:r w:rsidRPr="00D9479B">
        <w:rPr>
          <w:rStyle w:val="xitalic"/>
          <w:rFonts w:ascii="Calibri Light" w:hAnsi="Calibri Light" w:cs="Arial"/>
          <w:sz w:val="18"/>
          <w:szCs w:val="18"/>
          <w:lang w:val="en-GB"/>
        </w:rPr>
        <w:t>International Finance Trust Company v New South Wales Crime Commission</w:t>
      </w:r>
      <w:r w:rsidRPr="00D9479B">
        <w:rPr>
          <w:rFonts w:ascii="Calibri Light" w:hAnsi="Calibri Light" w:cs="Arial"/>
          <w:sz w:val="18"/>
          <w:szCs w:val="18"/>
          <w:lang w:val="en-GB"/>
        </w:rPr>
        <w:t xml:space="preserve"> (2009) 240 CLR 319; </w:t>
      </w:r>
      <w:r w:rsidRPr="00D9479B">
        <w:rPr>
          <w:rStyle w:val="xitalic"/>
          <w:rFonts w:ascii="Calibri Light" w:hAnsi="Calibri Light" w:cs="Arial"/>
          <w:sz w:val="18"/>
          <w:szCs w:val="18"/>
        </w:rPr>
        <w:t>Condon v Pompano</w:t>
      </w:r>
      <w:r w:rsidRPr="00D9479B">
        <w:rPr>
          <w:rFonts w:ascii="Calibri Light" w:hAnsi="Calibri Light" w:cs="Arial"/>
          <w:sz w:val="18"/>
          <w:szCs w:val="18"/>
        </w:rPr>
        <w:t xml:space="preserve"> (2013) 252 CLR 38.</w:t>
      </w:r>
    </w:p>
  </w:footnote>
  <w:footnote w:id="5">
    <w:p w14:paraId="7195F306"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t xml:space="preserve">See discussion in </w:t>
      </w:r>
      <w:r w:rsidRPr="00D9479B">
        <w:rPr>
          <w:rStyle w:val="xitalic"/>
          <w:rFonts w:ascii="Calibri Light" w:hAnsi="Calibri Light" w:cs="Arial"/>
          <w:sz w:val="18"/>
          <w:szCs w:val="18"/>
          <w:lang w:val="en-GB"/>
        </w:rPr>
        <w:t>K-Generation Pty Ltd v Liquor Licensing Court</w:t>
      </w:r>
      <w:r w:rsidRPr="00D9479B">
        <w:rPr>
          <w:rFonts w:ascii="Calibri Light" w:hAnsi="Calibri Light" w:cs="Arial"/>
          <w:sz w:val="18"/>
          <w:szCs w:val="18"/>
          <w:lang w:val="en-GB"/>
        </w:rPr>
        <w:t xml:space="preserve"> (2009) 237 CLR 501; </w:t>
      </w:r>
      <w:r w:rsidRPr="00D9479B">
        <w:rPr>
          <w:rStyle w:val="xitalic"/>
          <w:rFonts w:ascii="Calibri Light" w:hAnsi="Calibri Light" w:cs="Arial"/>
          <w:sz w:val="18"/>
          <w:szCs w:val="18"/>
          <w:lang w:val="en-GB"/>
        </w:rPr>
        <w:t>Gypsy Jokers Motorcycle Club Incorporated Inc v Commissioner of Police (WA)</w:t>
      </w:r>
      <w:r w:rsidRPr="00D9479B">
        <w:rPr>
          <w:rFonts w:ascii="Calibri Light" w:hAnsi="Calibri Light" w:cs="Arial"/>
          <w:sz w:val="18"/>
          <w:szCs w:val="18"/>
          <w:lang w:val="en-GB"/>
        </w:rPr>
        <w:t xml:space="preserve"> (2008) 234 CLR 53; </w:t>
      </w:r>
      <w:r w:rsidRPr="00D9479B">
        <w:rPr>
          <w:rStyle w:val="xitalic"/>
          <w:rFonts w:ascii="Calibri Light" w:hAnsi="Calibri Light" w:cs="Arial"/>
          <w:sz w:val="18"/>
          <w:szCs w:val="18"/>
        </w:rPr>
        <w:t>Condon v Pompano</w:t>
      </w:r>
      <w:r w:rsidRPr="00D9479B">
        <w:rPr>
          <w:rFonts w:ascii="Calibri Light" w:hAnsi="Calibri Light" w:cs="Arial"/>
          <w:sz w:val="18"/>
          <w:szCs w:val="18"/>
        </w:rPr>
        <w:t xml:space="preserve"> (2013) 252 CLR 38, 72 [68].</w:t>
      </w:r>
    </w:p>
  </w:footnote>
  <w:footnote w:id="6">
    <w:p w14:paraId="20991CE6"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r>
      <w:r w:rsidRPr="00D9479B">
        <w:rPr>
          <w:rFonts w:ascii="Calibri Light" w:hAnsi="Calibri Light" w:cs="Arial"/>
          <w:i/>
          <w:iCs/>
          <w:sz w:val="18"/>
          <w:szCs w:val="18"/>
        </w:rPr>
        <w:t>Wainohu v New South Wales</w:t>
      </w:r>
      <w:r w:rsidRPr="00D9479B">
        <w:rPr>
          <w:rFonts w:ascii="Calibri Light" w:hAnsi="Calibri Light" w:cs="Arial"/>
          <w:sz w:val="18"/>
          <w:szCs w:val="18"/>
        </w:rPr>
        <w:t xml:space="preserve"> </w:t>
      </w:r>
      <w:r w:rsidRPr="00D9479B">
        <w:rPr>
          <w:rFonts w:ascii="Calibri Light" w:hAnsi="Calibri Light" w:cs="Arial"/>
          <w:sz w:val="18"/>
          <w:szCs w:val="18"/>
          <w:lang w:val="en-GB"/>
        </w:rPr>
        <w:t>(2011) 243 CLR 181.</w:t>
      </w:r>
    </w:p>
  </w:footnote>
  <w:footnote w:id="7">
    <w:p w14:paraId="2CF676CD"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t xml:space="preserve">See the decision in </w:t>
      </w:r>
      <w:r w:rsidRPr="00D9479B">
        <w:rPr>
          <w:rFonts w:ascii="Calibri Light" w:hAnsi="Calibri Light" w:cs="Arial"/>
          <w:i/>
          <w:iCs/>
          <w:sz w:val="18"/>
          <w:szCs w:val="18"/>
        </w:rPr>
        <w:t>Kable</w:t>
      </w:r>
      <w:r w:rsidRPr="00D9479B">
        <w:rPr>
          <w:rFonts w:ascii="Calibri Light" w:hAnsi="Calibri Light" w:cs="Arial"/>
          <w:sz w:val="18"/>
          <w:szCs w:val="18"/>
        </w:rPr>
        <w:t xml:space="preserve"> itself, and also </w:t>
      </w:r>
      <w:r w:rsidRPr="00D9479B">
        <w:rPr>
          <w:rStyle w:val="xitalic"/>
          <w:rFonts w:ascii="Calibri Light" w:hAnsi="Calibri Light" w:cs="Arial"/>
          <w:sz w:val="18"/>
          <w:szCs w:val="18"/>
          <w:lang w:val="en-GB"/>
        </w:rPr>
        <w:t>South Australia v Totani</w:t>
      </w:r>
      <w:r w:rsidRPr="00D9479B">
        <w:rPr>
          <w:rFonts w:ascii="Calibri Light" w:hAnsi="Calibri Light" w:cs="Arial"/>
          <w:sz w:val="18"/>
          <w:szCs w:val="18"/>
          <w:lang w:val="en-GB"/>
        </w:rPr>
        <w:t xml:space="preserve"> (2010) 242 CLR 1.</w:t>
      </w:r>
    </w:p>
  </w:footnote>
  <w:footnote w:id="8">
    <w:p w14:paraId="063868BF" w14:textId="77777777" w:rsidR="009D1EFA" w:rsidRPr="00D9479B" w:rsidRDefault="009D1EFA" w:rsidP="009D1EFA">
      <w:pPr>
        <w:pStyle w:val="FootnoteText"/>
        <w:ind w:left="567" w:hanging="567"/>
        <w:rPr>
          <w:rFonts w:ascii="Calibri Light" w:hAnsi="Calibri Light" w:cs="Arial"/>
          <w:sz w:val="18"/>
          <w:szCs w:val="18"/>
        </w:rPr>
      </w:pPr>
      <w:r w:rsidRPr="00D9479B">
        <w:rPr>
          <w:rStyle w:val="FootnoteReference"/>
          <w:rFonts w:ascii="Calibri Light" w:eastAsiaTheme="majorEastAsia"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r>
      <w:r w:rsidRPr="00D9479B">
        <w:rPr>
          <w:rStyle w:val="xitalic"/>
          <w:rFonts w:ascii="Calibri Light" w:hAnsi="Calibri Light" w:cs="Arial"/>
          <w:sz w:val="18"/>
          <w:szCs w:val="18"/>
        </w:rPr>
        <w:t xml:space="preserve">Kirk v Industrial Court of New South Wales </w:t>
      </w:r>
      <w:r w:rsidRPr="00D9479B">
        <w:rPr>
          <w:rFonts w:ascii="Calibri Light" w:hAnsi="Calibri Light" w:cs="Arial"/>
          <w:sz w:val="18"/>
          <w:szCs w:val="18"/>
          <w:lang w:val="en-GB"/>
        </w:rPr>
        <w:t>(2010) 239 CLR 531.</w:t>
      </w:r>
    </w:p>
  </w:footnote>
  <w:footnote w:id="9">
    <w:p w14:paraId="3D172BCC" w14:textId="77777777" w:rsidR="009D1EFA" w:rsidRPr="00D9479B" w:rsidRDefault="009D1EFA" w:rsidP="009D1EFA">
      <w:pPr>
        <w:ind w:left="567" w:hanging="567"/>
        <w:rPr>
          <w:rFonts w:ascii="Calibri Light" w:hAnsi="Calibri Light" w:cs="Arial"/>
          <w:sz w:val="18"/>
          <w:szCs w:val="18"/>
        </w:rPr>
      </w:pPr>
      <w:r w:rsidRPr="00D9479B">
        <w:rPr>
          <w:rStyle w:val="FootnoteReference"/>
          <w:rFonts w:ascii="Calibri Light" w:hAnsi="Calibri Light" w:cs="Arial"/>
          <w:sz w:val="18"/>
          <w:szCs w:val="18"/>
        </w:rPr>
        <w:footnoteRef/>
      </w:r>
      <w:r w:rsidRPr="00D9479B">
        <w:rPr>
          <w:rFonts w:ascii="Calibri Light" w:hAnsi="Calibri Light" w:cs="Arial"/>
          <w:sz w:val="18"/>
          <w:szCs w:val="18"/>
        </w:rPr>
        <w:t xml:space="preserve"> </w:t>
      </w:r>
      <w:r w:rsidRPr="00D9479B">
        <w:rPr>
          <w:rFonts w:ascii="Calibri Light" w:hAnsi="Calibri Light" w:cs="Arial"/>
          <w:sz w:val="18"/>
          <w:szCs w:val="18"/>
        </w:rPr>
        <w:tab/>
        <w:t>See Richard Devlin and Adam Dodek, ‘Regulating Judges: Challenges, Controversies and Choices’ in Richard Devlin and Adam Dodek</w:t>
      </w:r>
      <w:r w:rsidRPr="00D9479B">
        <w:rPr>
          <w:rFonts w:ascii="Calibri Light" w:hAnsi="Calibri Light" w:cs="Arial"/>
          <w:i/>
          <w:sz w:val="18"/>
          <w:szCs w:val="18"/>
        </w:rPr>
        <w:t xml:space="preserve"> </w:t>
      </w:r>
      <w:r w:rsidRPr="00D9479B">
        <w:rPr>
          <w:rFonts w:ascii="Calibri Light" w:hAnsi="Calibri Light" w:cs="Arial"/>
          <w:sz w:val="18"/>
          <w:szCs w:val="18"/>
        </w:rPr>
        <w:t xml:space="preserve">(eds) </w:t>
      </w:r>
      <w:r w:rsidRPr="00D9479B">
        <w:rPr>
          <w:rFonts w:ascii="Calibri Light" w:hAnsi="Calibri Light" w:cs="Arial"/>
          <w:i/>
          <w:sz w:val="18"/>
          <w:szCs w:val="18"/>
        </w:rPr>
        <w:t xml:space="preserve">Regulating Judges: Beyond Independence and Accountability </w:t>
      </w:r>
      <w:r w:rsidRPr="00D9479B">
        <w:rPr>
          <w:rFonts w:ascii="Calibri Light" w:hAnsi="Calibri Light" w:cs="Arial"/>
          <w:sz w:val="18"/>
          <w:szCs w:val="18"/>
        </w:rPr>
        <w:t xml:space="preserve">(Edward Elgar, 2016) 1, 9. See also Richard Devlin and </w:t>
      </w:r>
      <w:r w:rsidRPr="00D9479B">
        <w:rPr>
          <w:rFonts w:ascii="Calibri Light" w:hAnsi="Calibri Light" w:cs="Arial"/>
          <w:color w:val="000000"/>
          <w:sz w:val="18"/>
          <w:szCs w:val="18"/>
        </w:rPr>
        <w:t xml:space="preserve">Sheila Wildeman, </w:t>
      </w:r>
      <w:r w:rsidRPr="00D9479B">
        <w:rPr>
          <w:rFonts w:ascii="Calibri Light" w:hAnsi="Calibri Light" w:cs="Arial"/>
          <w:i/>
          <w:iCs/>
          <w:color w:val="000000"/>
          <w:sz w:val="18"/>
          <w:szCs w:val="18"/>
        </w:rPr>
        <w:t xml:space="preserve">Discipling Judges: Contemporary Challenges and Controversies </w:t>
      </w:r>
      <w:r w:rsidRPr="00D9479B">
        <w:rPr>
          <w:rFonts w:ascii="Calibri Light" w:hAnsi="Calibri Light" w:cs="Arial"/>
          <w:color w:val="000000"/>
          <w:sz w:val="18"/>
          <w:szCs w:val="18"/>
        </w:rPr>
        <w:t xml:space="preserve">(Edward Elgar, 2020). </w:t>
      </w:r>
    </w:p>
  </w:footnote>
  <w:footnote w:id="10">
    <w:p w14:paraId="3CF804BB" w14:textId="77777777" w:rsidR="009D1EFA" w:rsidRPr="00742211" w:rsidRDefault="009D1EFA" w:rsidP="009D1EFA">
      <w:pPr>
        <w:ind w:left="567" w:hanging="567"/>
        <w:rPr>
          <w:rFonts w:ascii="Calibri Light" w:hAnsi="Calibri Light" w:cs="Arial"/>
          <w:sz w:val="18"/>
          <w:szCs w:val="18"/>
        </w:rPr>
      </w:pPr>
      <w:r w:rsidRPr="00742211">
        <w:rPr>
          <w:rStyle w:val="FootnoteReference"/>
          <w:rFonts w:ascii="Calibri Light"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See explanation of the manifestation of the value of accountability in these constitutional requirements in Gabrielle Appleby and Heather Roberts, ‘The Chief Justice: Under Relational and Institutional Pressure’ in Gabrielle Appleby and Andrew Lynch (eds) </w:t>
      </w:r>
      <w:r w:rsidRPr="00742211">
        <w:rPr>
          <w:rFonts w:ascii="Calibri Light" w:hAnsi="Calibri Light" w:cs="Arial"/>
          <w:i/>
          <w:iCs/>
          <w:sz w:val="18"/>
          <w:szCs w:val="18"/>
        </w:rPr>
        <w:t>The Judge, the Judiciary and the Court: Individual, Collegial and Institutional Judicial Dynamics in Australia </w:t>
      </w:r>
      <w:r w:rsidRPr="00742211">
        <w:rPr>
          <w:rFonts w:ascii="Calibri Light" w:hAnsi="Calibri Light" w:cs="Arial"/>
          <w:sz w:val="18"/>
          <w:szCs w:val="18"/>
        </w:rPr>
        <w:t>(Cambridge University Press, forthcoming 2021)</w:t>
      </w:r>
      <w:r w:rsidRPr="00742211">
        <w:rPr>
          <w:rFonts w:ascii="Calibri Light" w:hAnsi="Calibri Light" w:cs="Arial"/>
          <w:sz w:val="18"/>
          <w:szCs w:val="18"/>
          <w:lang w:val="en-GB"/>
        </w:rPr>
        <w:t>.</w:t>
      </w:r>
    </w:p>
  </w:footnote>
  <w:footnote w:id="11">
    <w:p w14:paraId="11DA48B0" w14:textId="77777777" w:rsidR="009D1EFA" w:rsidRPr="00742211" w:rsidRDefault="009D1EFA" w:rsidP="009D1EFA">
      <w:pPr>
        <w:pStyle w:val="FootnoteText"/>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Gabrielle Appleby and Heather Roberts, ‘The Chief Justice: Under Relational and Institutional Pressure’ </w:t>
      </w:r>
      <w:r w:rsidRPr="00742211">
        <w:rPr>
          <w:rFonts w:ascii="Calibri Light" w:hAnsi="Calibri Light" w:cs="Arial"/>
          <w:sz w:val="18"/>
          <w:szCs w:val="18"/>
          <w:lang w:eastAsia="zh-CN"/>
        </w:rPr>
        <w:t>in Gabrielle Appleby and Andrew Lynch (eds) </w:t>
      </w:r>
      <w:r w:rsidRPr="00742211">
        <w:rPr>
          <w:rFonts w:ascii="Calibri Light" w:hAnsi="Calibri Light" w:cs="Arial"/>
          <w:i/>
          <w:iCs/>
          <w:sz w:val="18"/>
          <w:szCs w:val="18"/>
          <w:lang w:eastAsia="zh-CN"/>
        </w:rPr>
        <w:t>The Judge, the Judiciary and the Court: Individual, Collegial and Institutional Judicial Dynamics in Australia </w:t>
      </w:r>
      <w:r w:rsidRPr="00742211">
        <w:rPr>
          <w:rFonts w:ascii="Calibri Light" w:hAnsi="Calibri Light" w:cs="Arial"/>
          <w:sz w:val="18"/>
          <w:szCs w:val="18"/>
          <w:lang w:eastAsia="zh-CN"/>
        </w:rPr>
        <w:t>(Cambridge University Press, forthcoming 2021).</w:t>
      </w:r>
    </w:p>
  </w:footnote>
  <w:footnote w:id="12">
    <w:p w14:paraId="7E2337BD" w14:textId="77777777" w:rsidR="009D1EFA" w:rsidRPr="00742211" w:rsidRDefault="009D1EFA" w:rsidP="009D1EFA">
      <w:pPr>
        <w:pStyle w:val="FootnoteText"/>
        <w:spacing w:after="80"/>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Laura Cahillane, ‘Ireland’s system for disciplining and removing judges’, 38(1) </w:t>
      </w:r>
      <w:r w:rsidRPr="00742211">
        <w:rPr>
          <w:rFonts w:ascii="Calibri Light" w:hAnsi="Calibri Light" w:cs="Arial"/>
          <w:i/>
          <w:iCs/>
          <w:sz w:val="18"/>
          <w:szCs w:val="18"/>
        </w:rPr>
        <w:t xml:space="preserve">Dublin University Law Journal </w:t>
      </w:r>
      <w:r w:rsidRPr="00742211">
        <w:rPr>
          <w:rFonts w:ascii="Calibri Light" w:hAnsi="Calibri Light" w:cs="Arial"/>
          <w:sz w:val="18"/>
          <w:szCs w:val="18"/>
        </w:rPr>
        <w:t xml:space="preserve">(2015), 55-83, 64. </w:t>
      </w:r>
    </w:p>
  </w:footnote>
  <w:footnote w:id="13">
    <w:p w14:paraId="281E4985" w14:textId="77777777" w:rsidR="009D1EFA" w:rsidRPr="00742211" w:rsidRDefault="009D1EFA" w:rsidP="009D1EFA">
      <w:pPr>
        <w:pStyle w:val="FootnoteText"/>
        <w:spacing w:after="80"/>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Laura Cahillane, ‘Ireland’s system for disciplining and removing judges’, 38(1) </w:t>
      </w:r>
      <w:r w:rsidRPr="00742211">
        <w:rPr>
          <w:rFonts w:ascii="Calibri Light" w:hAnsi="Calibri Light" w:cs="Arial"/>
          <w:i/>
          <w:iCs/>
          <w:sz w:val="18"/>
          <w:szCs w:val="18"/>
        </w:rPr>
        <w:t xml:space="preserve">Dublin University Law Journal </w:t>
      </w:r>
      <w:r w:rsidRPr="00742211">
        <w:rPr>
          <w:rFonts w:ascii="Calibri Light" w:hAnsi="Calibri Light" w:cs="Arial"/>
          <w:sz w:val="18"/>
          <w:szCs w:val="18"/>
        </w:rPr>
        <w:t xml:space="preserve">(2015), 55-83, 64. </w:t>
      </w:r>
    </w:p>
  </w:footnote>
  <w:footnote w:id="14">
    <w:p w14:paraId="2CF73089" w14:textId="77777777" w:rsidR="009D1EFA" w:rsidRPr="00742211" w:rsidRDefault="009D1EFA" w:rsidP="009D1EFA">
      <w:pPr>
        <w:pStyle w:val="FootnoteText"/>
        <w:spacing w:after="80"/>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See, eg, The Australasian Institute of Judicial Administration Incorporated, </w:t>
      </w:r>
      <w:r w:rsidRPr="00742211">
        <w:rPr>
          <w:rFonts w:ascii="Calibri Light" w:hAnsi="Calibri Light" w:cs="Arial"/>
          <w:i/>
          <w:iCs/>
          <w:sz w:val="18"/>
          <w:szCs w:val="18"/>
        </w:rPr>
        <w:t xml:space="preserve">Guide to Judicial Conduct </w:t>
      </w:r>
      <w:r w:rsidRPr="00742211">
        <w:rPr>
          <w:rFonts w:ascii="Calibri Light" w:hAnsi="Calibri Light" w:cs="Arial"/>
          <w:sz w:val="18"/>
          <w:szCs w:val="18"/>
        </w:rPr>
        <w:t>(3</w:t>
      </w:r>
      <w:r w:rsidRPr="00742211">
        <w:rPr>
          <w:rFonts w:ascii="Calibri Light" w:hAnsi="Calibri Light" w:cs="Arial"/>
          <w:sz w:val="18"/>
          <w:szCs w:val="18"/>
          <w:vertAlign w:val="superscript"/>
        </w:rPr>
        <w:t>rd</w:t>
      </w:r>
      <w:r w:rsidRPr="00742211">
        <w:rPr>
          <w:rFonts w:ascii="Calibri Light" w:hAnsi="Calibri Light" w:cs="Arial"/>
          <w:sz w:val="18"/>
          <w:szCs w:val="18"/>
        </w:rPr>
        <w:t xml:space="preserve"> Edition, 2017), 6.</w:t>
      </w:r>
    </w:p>
  </w:footnote>
  <w:footnote w:id="15">
    <w:p w14:paraId="220DBA9C" w14:textId="77777777" w:rsidR="009D1EFA" w:rsidRPr="00742211" w:rsidRDefault="009D1EFA" w:rsidP="009D1EFA">
      <w:pPr>
        <w:pStyle w:val="FootnoteText"/>
        <w:spacing w:after="80"/>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L Susan Denham, "The Diamond in a Democracy: An Independent, Accountable Judiciary' (2001) 5 </w:t>
      </w:r>
      <w:r w:rsidRPr="00742211">
        <w:rPr>
          <w:rFonts w:ascii="Calibri Light" w:hAnsi="Calibri Light" w:cs="Arial"/>
          <w:i/>
          <w:iCs/>
          <w:sz w:val="18"/>
          <w:szCs w:val="18"/>
        </w:rPr>
        <w:t>The Judicial Review</w:t>
      </w:r>
      <w:r w:rsidRPr="00742211">
        <w:rPr>
          <w:rFonts w:ascii="Calibri Light" w:hAnsi="Calibri Light" w:cs="Arial"/>
          <w:sz w:val="18"/>
          <w:szCs w:val="18"/>
        </w:rPr>
        <w:t xml:space="preserve"> 31, 58.</w:t>
      </w:r>
    </w:p>
  </w:footnote>
  <w:footnote w:id="16">
    <w:p w14:paraId="03BCA70D" w14:textId="77777777" w:rsidR="009D1EFA" w:rsidRPr="009D1EFA" w:rsidRDefault="009D1EFA" w:rsidP="009D1EFA">
      <w:pPr>
        <w:autoSpaceDE w:val="0"/>
        <w:autoSpaceDN w:val="0"/>
        <w:adjustRightInd w:val="0"/>
        <w:ind w:left="567" w:hanging="567"/>
        <w:rPr>
          <w:rFonts w:ascii="Calibri Light" w:hAnsi="Calibri Light" w:cs="Arial"/>
          <w:sz w:val="20"/>
          <w:szCs w:val="20"/>
          <w:lang w:val="en-GB"/>
        </w:rPr>
      </w:pPr>
      <w:r w:rsidRPr="00742211">
        <w:rPr>
          <w:rStyle w:val="FootnoteReference"/>
          <w:rFonts w:ascii="Calibri Light"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r>
      <w:r w:rsidRPr="00742211">
        <w:rPr>
          <w:rFonts w:ascii="Calibri Light" w:hAnsi="Calibri Light" w:cs="Arial"/>
          <w:sz w:val="18"/>
          <w:szCs w:val="18"/>
          <w:lang w:val="en-GB"/>
        </w:rPr>
        <w:t xml:space="preserve">Gabrielle Appleby and Suzanne Le Mire, ‘Judicial Conduct: Crafting a System that Enhances Institutional Integrity’ (2014) 38(1) </w:t>
      </w:r>
      <w:r w:rsidRPr="00742211">
        <w:rPr>
          <w:rFonts w:ascii="Calibri Light" w:hAnsi="Calibri Light" w:cs="Arial"/>
          <w:i/>
          <w:sz w:val="18"/>
          <w:szCs w:val="18"/>
          <w:lang w:val="en-GB"/>
        </w:rPr>
        <w:t>Melbourne University Law Review</w:t>
      </w:r>
      <w:r w:rsidRPr="00742211">
        <w:rPr>
          <w:rFonts w:ascii="Calibri Light" w:hAnsi="Calibri Light" w:cs="Arial"/>
          <w:sz w:val="18"/>
          <w:szCs w:val="18"/>
          <w:lang w:val="en-GB"/>
        </w:rPr>
        <w:t xml:space="preserve"> 1</w:t>
      </w:r>
      <w:r w:rsidRPr="00742211">
        <w:rPr>
          <w:rFonts w:ascii="Calibri Light" w:hAnsi="Calibri Light" w:cs="Arial"/>
          <w:sz w:val="18"/>
          <w:szCs w:val="18"/>
        </w:rPr>
        <w:t xml:space="preserve">, 38; referring to </w:t>
      </w:r>
      <w:r w:rsidRPr="00742211">
        <w:rPr>
          <w:rFonts w:ascii="Calibri Light" w:hAnsi="Calibri Light" w:cs="Arial"/>
          <w:sz w:val="18"/>
          <w:szCs w:val="18"/>
          <w:lang w:val="en-GB"/>
        </w:rPr>
        <w:t xml:space="preserve">Francesco Contini and Richard Mohr, ‘Reconciling Independence and Accountability in Judicial Systems' (2007) 3(2) </w:t>
      </w:r>
      <w:r w:rsidRPr="00742211">
        <w:rPr>
          <w:rFonts w:ascii="Calibri Light" w:hAnsi="Calibri Light" w:cs="Arial"/>
          <w:i/>
          <w:iCs/>
          <w:sz w:val="18"/>
          <w:szCs w:val="18"/>
          <w:lang w:val="en-GB"/>
        </w:rPr>
        <w:t>Utrecht Law Review</w:t>
      </w:r>
      <w:r w:rsidRPr="00742211">
        <w:rPr>
          <w:rFonts w:ascii="Calibri Light" w:hAnsi="Calibri Light" w:cs="Arial"/>
          <w:sz w:val="18"/>
          <w:szCs w:val="18"/>
          <w:lang w:val="en-GB"/>
        </w:rPr>
        <w:t xml:space="preserve"> 26, 29-30.</w:t>
      </w:r>
    </w:p>
  </w:footnote>
  <w:footnote w:id="17">
    <w:p w14:paraId="77614FEC" w14:textId="77777777" w:rsidR="009D1EFA" w:rsidRPr="00742211" w:rsidRDefault="009D1EFA" w:rsidP="009D1EFA">
      <w:pPr>
        <w:autoSpaceDE w:val="0"/>
        <w:autoSpaceDN w:val="0"/>
        <w:adjustRightInd w:val="0"/>
        <w:ind w:left="567" w:hanging="567"/>
        <w:rPr>
          <w:rFonts w:ascii="Calibri Light" w:hAnsi="Calibri Light" w:cs="Arial"/>
          <w:color w:val="000000"/>
          <w:sz w:val="18"/>
          <w:szCs w:val="18"/>
          <w:lang w:val="en-GB"/>
        </w:rPr>
      </w:pPr>
      <w:r w:rsidRPr="00742211">
        <w:rPr>
          <w:rStyle w:val="FootnoteReference"/>
          <w:rFonts w:ascii="Calibri Light"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r>
      <w:r w:rsidRPr="00742211">
        <w:rPr>
          <w:rFonts w:ascii="Calibri Light" w:hAnsi="Calibri Light" w:cs="Arial"/>
          <w:i/>
          <w:iCs/>
          <w:color w:val="000000"/>
          <w:sz w:val="18"/>
          <w:szCs w:val="18"/>
          <w:lang w:val="en-GB"/>
        </w:rPr>
        <w:t>Re Certain Com</w:t>
      </w:r>
      <w:r w:rsidRPr="00742211">
        <w:rPr>
          <w:rFonts w:ascii="Calibri Light" w:hAnsi="Calibri Light" w:cs="Arial"/>
          <w:i/>
          <w:iCs/>
          <w:color w:val="000000" w:themeColor="text1"/>
          <w:sz w:val="18"/>
          <w:szCs w:val="18"/>
          <w:lang w:val="en-GB"/>
        </w:rPr>
        <w:t>plaints under Investigation; Williams v Mercer</w:t>
      </w:r>
      <w:r w:rsidRPr="00742211">
        <w:rPr>
          <w:rFonts w:ascii="Calibri Light" w:hAnsi="Calibri Light" w:cs="Arial"/>
          <w:color w:val="000000" w:themeColor="text1"/>
          <w:sz w:val="18"/>
          <w:szCs w:val="18"/>
          <w:lang w:val="en-GB"/>
        </w:rPr>
        <w:t>, 783 F 2d 1488, 1507 (Campbell CJ for Campbell CJ, Kearse J and Pell SJ) (11th Cir, 1986), citing Judicial Councils Reform and Judicial Conduct and Disability Act of 1980, 28 USCS §§ 331-2, 372.</w:t>
      </w:r>
    </w:p>
  </w:footnote>
  <w:footnote w:id="18">
    <w:p w14:paraId="6B440565" w14:textId="77777777" w:rsidR="009D1EFA" w:rsidRPr="00742211" w:rsidRDefault="009D1EFA" w:rsidP="009D1EFA">
      <w:pPr>
        <w:pStyle w:val="FootnoteText"/>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Gabrielle Appleby and Heather Roberts, ‘The Chief Justice: Under Relational and Institutional Pressure’ in </w:t>
      </w:r>
      <w:r w:rsidRPr="00742211">
        <w:rPr>
          <w:rFonts w:ascii="Calibri Light" w:hAnsi="Calibri Light" w:cs="Arial"/>
          <w:sz w:val="18"/>
          <w:szCs w:val="18"/>
          <w:lang w:eastAsia="zh-CN"/>
        </w:rPr>
        <w:t>Gabrielle Appleby and Andrew Lynch (eds) </w:t>
      </w:r>
      <w:r w:rsidRPr="00742211">
        <w:rPr>
          <w:rFonts w:ascii="Calibri Light" w:hAnsi="Calibri Light" w:cs="Arial"/>
          <w:i/>
          <w:iCs/>
          <w:sz w:val="18"/>
          <w:szCs w:val="18"/>
          <w:lang w:eastAsia="zh-CN"/>
        </w:rPr>
        <w:t>The Judge, the Judiciary and the Court: Individual, Collegial and Institutional Judicial Dynamics in Australia </w:t>
      </w:r>
      <w:r w:rsidRPr="00742211">
        <w:rPr>
          <w:rFonts w:ascii="Calibri Light" w:hAnsi="Calibri Light" w:cs="Arial"/>
          <w:sz w:val="18"/>
          <w:szCs w:val="18"/>
          <w:lang w:eastAsia="zh-CN"/>
        </w:rPr>
        <w:t>(Cambridge University Press, forthcoming 2021).</w:t>
      </w:r>
    </w:p>
  </w:footnote>
  <w:footnote w:id="19">
    <w:p w14:paraId="2B8FECDA" w14:textId="77777777" w:rsidR="009D1EFA" w:rsidRPr="00742211" w:rsidRDefault="009D1EFA" w:rsidP="009D1EFA">
      <w:pPr>
        <w:pStyle w:val="FootnoteText"/>
        <w:spacing w:after="80"/>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Shimon Shetreet, </w:t>
      </w:r>
      <w:r w:rsidRPr="00742211">
        <w:rPr>
          <w:rFonts w:ascii="Calibri Light" w:hAnsi="Calibri Light" w:cs="Arial"/>
          <w:color w:val="333333"/>
          <w:sz w:val="18"/>
          <w:szCs w:val="18"/>
        </w:rPr>
        <w:t xml:space="preserve">“The Limits of Judicial Accountability: A Hard Look at the </w:t>
      </w:r>
      <w:r w:rsidRPr="00742211">
        <w:rPr>
          <w:rStyle w:val="Emphasis"/>
          <w:rFonts w:ascii="Calibri Light" w:hAnsi="Calibri Light" w:cs="Arial"/>
          <w:color w:val="333333"/>
          <w:sz w:val="18"/>
          <w:szCs w:val="18"/>
        </w:rPr>
        <w:t>Judicial Officers Act</w:t>
      </w:r>
      <w:r w:rsidRPr="00742211">
        <w:rPr>
          <w:rFonts w:ascii="Calibri Light" w:hAnsi="Calibri Light" w:cs="Arial"/>
          <w:color w:val="333333"/>
          <w:sz w:val="18"/>
          <w:szCs w:val="18"/>
        </w:rPr>
        <w:t xml:space="preserve"> 1986”, (1987) 10 </w:t>
      </w:r>
      <w:r w:rsidRPr="00742211">
        <w:rPr>
          <w:rFonts w:ascii="Calibri Light" w:hAnsi="Calibri Light" w:cs="Arial"/>
          <w:i/>
          <w:iCs/>
          <w:color w:val="333333"/>
          <w:sz w:val="18"/>
          <w:szCs w:val="18"/>
        </w:rPr>
        <w:t>UNSW Law Journal</w:t>
      </w:r>
      <w:r w:rsidRPr="00742211">
        <w:rPr>
          <w:rFonts w:ascii="Calibri Light" w:hAnsi="Calibri Light" w:cs="Arial"/>
          <w:color w:val="333333"/>
          <w:sz w:val="18"/>
          <w:szCs w:val="18"/>
        </w:rPr>
        <w:t xml:space="preserve"> 7, as cited in </w:t>
      </w:r>
      <w:bookmarkStart w:id="3" w:name="OLE_LINK1"/>
      <w:bookmarkStart w:id="4" w:name="OLE_LINK2"/>
      <w:r w:rsidRPr="00742211">
        <w:rPr>
          <w:rFonts w:ascii="Calibri Light" w:hAnsi="Calibri Light" w:cs="Arial"/>
          <w:i/>
          <w:iCs/>
          <w:sz w:val="18"/>
          <w:szCs w:val="18"/>
        </w:rPr>
        <w:t>Cornack v Fingleton</w:t>
      </w:r>
      <w:r w:rsidRPr="00742211">
        <w:rPr>
          <w:rFonts w:ascii="Calibri Light" w:hAnsi="Calibri Light" w:cs="Arial"/>
          <w:sz w:val="18"/>
          <w:szCs w:val="18"/>
        </w:rPr>
        <w:t xml:space="preserve"> [2002] QSC 391 </w:t>
      </w:r>
      <w:bookmarkEnd w:id="3"/>
      <w:bookmarkEnd w:id="4"/>
      <w:r w:rsidRPr="00742211">
        <w:rPr>
          <w:rFonts w:ascii="Calibri Light" w:hAnsi="Calibri Light" w:cs="Arial"/>
          <w:sz w:val="18"/>
          <w:szCs w:val="18"/>
        </w:rPr>
        <w:t>[30].</w:t>
      </w:r>
    </w:p>
  </w:footnote>
  <w:footnote w:id="20">
    <w:p w14:paraId="4B7E3618" w14:textId="77777777" w:rsidR="009D1EFA" w:rsidRPr="009D1EFA" w:rsidRDefault="009D1EFA" w:rsidP="009D1EFA">
      <w:pPr>
        <w:pStyle w:val="FootnoteText"/>
        <w:ind w:left="567" w:hanging="567"/>
        <w:rPr>
          <w:rFonts w:ascii="Calibri Light" w:hAnsi="Calibri Light" w:cs="Arial"/>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t xml:space="preserve">Richard Devlin and </w:t>
      </w:r>
      <w:r w:rsidRPr="00742211">
        <w:rPr>
          <w:rFonts w:ascii="Calibri Light" w:hAnsi="Calibri Light" w:cs="Arial"/>
          <w:color w:val="000000"/>
          <w:sz w:val="18"/>
          <w:szCs w:val="18"/>
          <w:lang w:eastAsia="zh-CN"/>
        </w:rPr>
        <w:t xml:space="preserve">Sheila Wildeman, </w:t>
      </w:r>
      <w:r w:rsidRPr="00742211">
        <w:rPr>
          <w:rFonts w:ascii="Calibri Light" w:hAnsi="Calibri Light" w:cs="Arial"/>
          <w:i/>
          <w:iCs/>
          <w:color w:val="000000"/>
          <w:sz w:val="18"/>
          <w:szCs w:val="18"/>
          <w:lang w:eastAsia="zh-CN"/>
        </w:rPr>
        <w:t xml:space="preserve">Discipling Judges: Contemporary Challenges and Controversies </w:t>
      </w:r>
      <w:r w:rsidRPr="00742211">
        <w:rPr>
          <w:rFonts w:ascii="Calibri Light" w:hAnsi="Calibri Light" w:cs="Arial"/>
          <w:color w:val="000000"/>
          <w:sz w:val="18"/>
          <w:szCs w:val="18"/>
          <w:lang w:eastAsia="zh-CN"/>
        </w:rPr>
        <w:t>(Edward Elgar, 2020).</w:t>
      </w:r>
    </w:p>
  </w:footnote>
  <w:footnote w:id="21">
    <w:p w14:paraId="43EE1AD3" w14:textId="77777777" w:rsidR="009D1EFA" w:rsidRPr="00742211" w:rsidRDefault="009D1EFA" w:rsidP="009D1EFA">
      <w:pPr>
        <w:pStyle w:val="FootnoteText"/>
        <w:ind w:left="567" w:hanging="567"/>
        <w:rPr>
          <w:rFonts w:ascii="Calibri Light" w:hAnsi="Calibri Light" w:cs="Calibri Light"/>
          <w:sz w:val="18"/>
          <w:szCs w:val="18"/>
        </w:rPr>
      </w:pPr>
      <w:r w:rsidRPr="00742211">
        <w:rPr>
          <w:rStyle w:val="FootnoteReference"/>
          <w:rFonts w:ascii="Calibri Light" w:eastAsiaTheme="majorEastAsia" w:hAnsi="Calibri Light" w:cs="Calibri Light"/>
          <w:sz w:val="18"/>
          <w:szCs w:val="18"/>
        </w:rPr>
        <w:footnoteRef/>
      </w:r>
      <w:r w:rsidRPr="00742211">
        <w:rPr>
          <w:rFonts w:ascii="Calibri Light" w:hAnsi="Calibri Light" w:cs="Calibri Light"/>
          <w:sz w:val="18"/>
          <w:szCs w:val="18"/>
        </w:rPr>
        <w:t xml:space="preserve">  </w:t>
      </w:r>
      <w:r w:rsidRPr="00742211">
        <w:rPr>
          <w:rFonts w:ascii="Calibri Light" w:hAnsi="Calibri Light" w:cs="Calibri Light"/>
          <w:sz w:val="18"/>
          <w:szCs w:val="18"/>
        </w:rPr>
        <w:tab/>
        <w:t xml:space="preserve">The Australasian Institute of Judicial Administration Incorporated, </w:t>
      </w:r>
      <w:r w:rsidRPr="00742211">
        <w:rPr>
          <w:rFonts w:ascii="Calibri Light" w:hAnsi="Calibri Light" w:cs="Calibri Light"/>
          <w:i/>
          <w:iCs/>
          <w:sz w:val="18"/>
          <w:szCs w:val="18"/>
        </w:rPr>
        <w:t xml:space="preserve">Guide to Judicial Conduct </w:t>
      </w:r>
      <w:r w:rsidRPr="00742211">
        <w:rPr>
          <w:rFonts w:ascii="Calibri Light" w:hAnsi="Calibri Light" w:cs="Calibri Light"/>
          <w:sz w:val="18"/>
          <w:szCs w:val="18"/>
        </w:rPr>
        <w:t>(3</w:t>
      </w:r>
      <w:r w:rsidRPr="00742211">
        <w:rPr>
          <w:rFonts w:ascii="Calibri Light" w:hAnsi="Calibri Light" w:cs="Calibri Light"/>
          <w:sz w:val="18"/>
          <w:szCs w:val="18"/>
          <w:vertAlign w:val="superscript"/>
        </w:rPr>
        <w:t>rd</w:t>
      </w:r>
      <w:r w:rsidRPr="00742211">
        <w:rPr>
          <w:rFonts w:ascii="Calibri Light" w:hAnsi="Calibri Light" w:cs="Calibri Light"/>
          <w:sz w:val="18"/>
          <w:szCs w:val="18"/>
        </w:rPr>
        <w:t xml:space="preserve"> Edition, 2017), 3</w:t>
      </w:r>
    </w:p>
  </w:footnote>
  <w:footnote w:id="22">
    <w:p w14:paraId="2087DDE8" w14:textId="77777777" w:rsidR="009D1EFA" w:rsidRPr="00742211" w:rsidRDefault="009D1EFA" w:rsidP="009D1EFA">
      <w:pPr>
        <w:pStyle w:val="FootnoteText"/>
        <w:ind w:left="567" w:hanging="567"/>
        <w:rPr>
          <w:rFonts w:ascii="Calibri Light" w:hAnsi="Calibri Light" w:cs="Calibri Light"/>
          <w:sz w:val="18"/>
          <w:szCs w:val="18"/>
        </w:rPr>
      </w:pPr>
      <w:r w:rsidRPr="00742211">
        <w:rPr>
          <w:rStyle w:val="FootnoteReference"/>
          <w:rFonts w:ascii="Calibri Light" w:eastAsiaTheme="majorEastAsia" w:hAnsi="Calibri Light" w:cs="Calibri Light"/>
          <w:sz w:val="18"/>
          <w:szCs w:val="18"/>
        </w:rPr>
        <w:footnoteRef/>
      </w:r>
      <w:r w:rsidRPr="00742211">
        <w:rPr>
          <w:rFonts w:ascii="Calibri Light" w:hAnsi="Calibri Light" w:cs="Calibri Light"/>
          <w:sz w:val="18"/>
          <w:szCs w:val="18"/>
        </w:rPr>
        <w:t xml:space="preserve"> </w:t>
      </w:r>
      <w:r w:rsidRPr="00742211">
        <w:rPr>
          <w:rFonts w:ascii="Calibri Light" w:hAnsi="Calibri Light" w:cs="Calibri Light"/>
          <w:sz w:val="18"/>
          <w:szCs w:val="18"/>
        </w:rPr>
        <w:tab/>
        <w:t xml:space="preserve">The Australasian Institute of Judicial Administration Incorporated, </w:t>
      </w:r>
      <w:r w:rsidRPr="00742211">
        <w:rPr>
          <w:rFonts w:ascii="Calibri Light" w:hAnsi="Calibri Light" w:cs="Calibri Light"/>
          <w:i/>
          <w:iCs/>
          <w:sz w:val="18"/>
          <w:szCs w:val="18"/>
        </w:rPr>
        <w:t xml:space="preserve">Guide to Judicial Conduct </w:t>
      </w:r>
      <w:r w:rsidRPr="00742211">
        <w:rPr>
          <w:rFonts w:ascii="Calibri Light" w:hAnsi="Calibri Light" w:cs="Calibri Light"/>
          <w:sz w:val="18"/>
          <w:szCs w:val="18"/>
        </w:rPr>
        <w:t>(3</w:t>
      </w:r>
      <w:r w:rsidRPr="00742211">
        <w:rPr>
          <w:rFonts w:ascii="Calibri Light" w:hAnsi="Calibri Light" w:cs="Calibri Light"/>
          <w:sz w:val="18"/>
          <w:szCs w:val="18"/>
          <w:vertAlign w:val="superscript"/>
        </w:rPr>
        <w:t>rd</w:t>
      </w:r>
      <w:r w:rsidRPr="00742211">
        <w:rPr>
          <w:rFonts w:ascii="Calibri Light" w:hAnsi="Calibri Light" w:cs="Calibri Light"/>
          <w:sz w:val="18"/>
          <w:szCs w:val="18"/>
        </w:rPr>
        <w:t xml:space="preserve"> Edition, 2017), 1-2.</w:t>
      </w:r>
    </w:p>
  </w:footnote>
  <w:footnote w:id="23">
    <w:p w14:paraId="1758CB2D" w14:textId="77777777" w:rsidR="009D1EFA" w:rsidRPr="00742211" w:rsidRDefault="009D1EFA" w:rsidP="009D1EFA">
      <w:pPr>
        <w:pStyle w:val="FootnoteText"/>
        <w:ind w:left="567" w:hanging="567"/>
        <w:rPr>
          <w:rFonts w:ascii="Calibri Light" w:hAnsi="Calibri Light" w:cs="Calibri Light"/>
          <w:sz w:val="18"/>
          <w:szCs w:val="18"/>
        </w:rPr>
      </w:pPr>
      <w:r w:rsidRPr="00742211">
        <w:rPr>
          <w:rStyle w:val="FootnoteReference"/>
          <w:rFonts w:ascii="Calibri Light" w:eastAsiaTheme="majorEastAsia" w:hAnsi="Calibri Light" w:cs="Calibri Light"/>
          <w:sz w:val="18"/>
          <w:szCs w:val="18"/>
        </w:rPr>
        <w:footnoteRef/>
      </w:r>
      <w:r w:rsidRPr="00742211">
        <w:rPr>
          <w:rFonts w:ascii="Calibri Light" w:hAnsi="Calibri Light" w:cs="Calibri Light"/>
          <w:sz w:val="18"/>
          <w:szCs w:val="18"/>
        </w:rPr>
        <w:t xml:space="preserve"> </w:t>
      </w:r>
      <w:r w:rsidRPr="00742211">
        <w:rPr>
          <w:rFonts w:ascii="Calibri Light" w:hAnsi="Calibri Light" w:cs="Calibri Light"/>
          <w:sz w:val="18"/>
          <w:szCs w:val="18"/>
        </w:rPr>
        <w:tab/>
        <w:t>See, in relation to this point, letter written by more than 500 women working in the law to the federal Attorney-General, available here: “</w:t>
      </w:r>
      <w:r w:rsidRPr="00742211">
        <w:rPr>
          <w:rStyle w:val="Strong"/>
          <w:rFonts w:ascii="Calibri Light" w:hAnsi="Calibri Light" w:cs="Calibri Light"/>
          <w:color w:val="383838"/>
          <w:sz w:val="18"/>
          <w:szCs w:val="18"/>
          <w:bdr w:val="none" w:sz="0" w:space="0" w:color="auto" w:frame="1"/>
        </w:rPr>
        <w:t xml:space="preserve">Deep cultural shifts required: open letter from 500 legal women calls for reform of way judges are appointed and disciplined” </w:t>
      </w:r>
      <w:r w:rsidRPr="00742211">
        <w:rPr>
          <w:rStyle w:val="Strong"/>
          <w:rFonts w:ascii="Calibri Light" w:hAnsi="Calibri Light" w:cs="Calibri Light"/>
          <w:i/>
          <w:iCs/>
          <w:color w:val="383838"/>
          <w:sz w:val="18"/>
          <w:szCs w:val="18"/>
          <w:bdr w:val="none" w:sz="0" w:space="0" w:color="auto" w:frame="1"/>
        </w:rPr>
        <w:t xml:space="preserve">The Conversation </w:t>
      </w:r>
      <w:r w:rsidRPr="00742211">
        <w:rPr>
          <w:rStyle w:val="Strong"/>
          <w:rFonts w:ascii="Calibri Light" w:hAnsi="Calibri Light" w:cs="Calibri Light"/>
          <w:color w:val="383838"/>
          <w:sz w:val="18"/>
          <w:szCs w:val="18"/>
          <w:bdr w:val="none" w:sz="0" w:space="0" w:color="auto" w:frame="1"/>
        </w:rPr>
        <w:t>(6 July 2020) &lt;</w:t>
      </w:r>
      <w:r w:rsidRPr="00742211">
        <w:rPr>
          <w:rFonts w:ascii="Calibri Light" w:hAnsi="Calibri Light" w:cs="Calibri Light"/>
          <w:sz w:val="18"/>
          <w:szCs w:val="18"/>
        </w:rPr>
        <w:t xml:space="preserve"> </w:t>
      </w:r>
      <w:hyperlink r:id="rId1" w:history="1">
        <w:r w:rsidRPr="00742211">
          <w:rPr>
            <w:rStyle w:val="Hyperlink"/>
            <w:rFonts w:ascii="Calibri Light" w:hAnsi="Calibri Light" w:cs="Calibri Light"/>
            <w:sz w:val="18"/>
            <w:szCs w:val="18"/>
            <w:bdr w:val="none" w:sz="0" w:space="0" w:color="auto" w:frame="1"/>
          </w:rPr>
          <w:t>https://theconversation.com/deep-cultural-shifts-required-open-letter-from-500-legal-women-calls-for-reform-of-way-judges-are-appointed-and-disciplined-142042</w:t>
        </w:r>
      </w:hyperlink>
      <w:r w:rsidRPr="00742211">
        <w:rPr>
          <w:rStyle w:val="Strong"/>
          <w:rFonts w:ascii="Calibri Light" w:hAnsi="Calibri Light" w:cs="Calibri Light"/>
          <w:color w:val="383838"/>
          <w:sz w:val="18"/>
          <w:szCs w:val="18"/>
          <w:bdr w:val="none" w:sz="0" w:space="0" w:color="auto" w:frame="1"/>
        </w:rPr>
        <w:t>&gt;.</w:t>
      </w:r>
    </w:p>
  </w:footnote>
  <w:footnote w:id="24">
    <w:p w14:paraId="4477322C" w14:textId="77777777" w:rsidR="009D1EFA" w:rsidRPr="00742211" w:rsidRDefault="009D1EFA" w:rsidP="009D1EFA">
      <w:pPr>
        <w:pStyle w:val="FootnoteText"/>
        <w:ind w:left="567" w:hanging="567"/>
        <w:rPr>
          <w:rFonts w:ascii="Calibri Light" w:hAnsi="Calibri Light" w:cs="Arial"/>
          <w:sz w:val="18"/>
          <w:szCs w:val="18"/>
        </w:rPr>
      </w:pPr>
      <w:r w:rsidRPr="00742211">
        <w:rPr>
          <w:rStyle w:val="FootnoteReference"/>
          <w:rFonts w:ascii="Calibri Light" w:eastAsiaTheme="majorEastAsia" w:hAnsi="Calibri Light" w:cs="Calibri Light"/>
          <w:sz w:val="18"/>
          <w:szCs w:val="18"/>
        </w:rPr>
        <w:footnoteRef/>
      </w:r>
      <w:r w:rsidRPr="00742211">
        <w:rPr>
          <w:rFonts w:ascii="Calibri Light" w:hAnsi="Calibri Light" w:cs="Calibri Light"/>
          <w:sz w:val="18"/>
          <w:szCs w:val="18"/>
        </w:rPr>
        <w:t xml:space="preserve"> </w:t>
      </w:r>
      <w:r w:rsidRPr="00742211">
        <w:rPr>
          <w:rFonts w:ascii="Calibri Light" w:hAnsi="Calibri Light" w:cs="Calibri Light"/>
          <w:sz w:val="18"/>
          <w:szCs w:val="18"/>
        </w:rPr>
        <w:tab/>
        <w:t xml:space="preserve">James Crawford, </w:t>
      </w:r>
      <w:r w:rsidRPr="00742211">
        <w:rPr>
          <w:rFonts w:ascii="Calibri Light" w:hAnsi="Calibri Light" w:cs="Calibri Light"/>
          <w:i/>
          <w:iCs/>
          <w:sz w:val="18"/>
          <w:szCs w:val="18"/>
        </w:rPr>
        <w:t>Australian Courts of Law</w:t>
      </w:r>
      <w:r w:rsidRPr="00742211">
        <w:rPr>
          <w:rFonts w:ascii="Calibri Light" w:hAnsi="Calibri Light" w:cs="Calibri Light"/>
          <w:sz w:val="18"/>
          <w:szCs w:val="18"/>
        </w:rPr>
        <w:t xml:space="preserve"> (3rd ed, 1993) 67.</w:t>
      </w:r>
    </w:p>
  </w:footnote>
  <w:footnote w:id="25">
    <w:p w14:paraId="2BCC9DFF" w14:textId="77777777" w:rsidR="009D1EFA" w:rsidRPr="00F32CCC" w:rsidRDefault="009D1EFA" w:rsidP="009D1EFA">
      <w:pPr>
        <w:pStyle w:val="FootnoteText"/>
        <w:ind w:left="567" w:hanging="567"/>
        <w:rPr>
          <w:rFonts w:ascii="Calibri Light" w:hAnsi="Calibri Light" w:cs="Arial"/>
          <w:sz w:val="18"/>
          <w:szCs w:val="18"/>
        </w:rPr>
      </w:pPr>
      <w:r w:rsidRPr="00742211">
        <w:rPr>
          <w:rStyle w:val="FootnoteReference"/>
          <w:rFonts w:ascii="Calibri Light" w:eastAsiaTheme="majorEastAsia" w:hAnsi="Calibri Light" w:cs="Arial"/>
          <w:sz w:val="18"/>
          <w:szCs w:val="18"/>
        </w:rPr>
        <w:footnoteRef/>
      </w:r>
      <w:r w:rsidRPr="00742211">
        <w:rPr>
          <w:rFonts w:ascii="Calibri Light" w:hAnsi="Calibri Light" w:cs="Arial"/>
          <w:sz w:val="18"/>
          <w:szCs w:val="18"/>
        </w:rPr>
        <w:t xml:space="preserve"> </w:t>
      </w:r>
      <w:r w:rsidRPr="00742211">
        <w:rPr>
          <w:rFonts w:ascii="Calibri Light" w:hAnsi="Calibri Light" w:cs="Arial"/>
          <w:sz w:val="18"/>
          <w:szCs w:val="18"/>
        </w:rPr>
        <w:tab/>
      </w:r>
      <w:r w:rsidRPr="00742211">
        <w:rPr>
          <w:rFonts w:ascii="Calibri Light" w:hAnsi="Calibri Light" w:cs="Arial"/>
          <w:color w:val="000000"/>
          <w:sz w:val="18"/>
          <w:szCs w:val="18"/>
        </w:rPr>
        <w:t xml:space="preserve">Victoria (the Judicial Commission of Victoria in 2016: </w:t>
      </w:r>
      <w:r w:rsidRPr="00742211">
        <w:rPr>
          <w:rFonts w:ascii="Calibri Light" w:hAnsi="Calibri Light" w:cs="Arial"/>
          <w:i/>
          <w:sz w:val="18"/>
          <w:szCs w:val="18"/>
        </w:rPr>
        <w:t>Judicial Commission of Victoria Act 2016</w:t>
      </w:r>
      <w:r w:rsidRPr="00742211">
        <w:rPr>
          <w:rFonts w:ascii="Calibri Light" w:hAnsi="Calibri Light" w:cs="Arial"/>
          <w:sz w:val="18"/>
          <w:szCs w:val="18"/>
        </w:rPr>
        <w:t xml:space="preserve"> (Vic)</w:t>
      </w:r>
      <w:r w:rsidRPr="00742211">
        <w:rPr>
          <w:rFonts w:ascii="Calibri Light" w:hAnsi="Calibri Light" w:cs="Arial"/>
          <w:color w:val="000000"/>
          <w:sz w:val="18"/>
          <w:szCs w:val="18"/>
        </w:rPr>
        <w:t>), New South Wales (which established its Judicial Commission of NSW in 1986:</w:t>
      </w:r>
      <w:r w:rsidRPr="00742211">
        <w:rPr>
          <w:rFonts w:ascii="Calibri Light" w:hAnsi="Calibri Light" w:cs="Arial"/>
          <w:i/>
          <w:color w:val="000000"/>
          <w:sz w:val="18"/>
          <w:szCs w:val="18"/>
        </w:rPr>
        <w:t xml:space="preserve"> Judicial Officers Act 1986</w:t>
      </w:r>
      <w:r w:rsidRPr="00742211">
        <w:rPr>
          <w:rFonts w:ascii="Calibri Light" w:hAnsi="Calibri Light" w:cs="Arial"/>
          <w:color w:val="000000"/>
          <w:sz w:val="18"/>
          <w:szCs w:val="18"/>
        </w:rPr>
        <w:t xml:space="preserve"> (NSW)), South Australia (the</w:t>
      </w:r>
      <w:r w:rsidRPr="009D1EFA">
        <w:rPr>
          <w:rFonts w:ascii="Calibri Light" w:hAnsi="Calibri Light" w:cs="Arial"/>
          <w:color w:val="000000"/>
        </w:rPr>
        <w:t xml:space="preserve"> </w:t>
      </w:r>
      <w:r w:rsidRPr="00F32CCC">
        <w:rPr>
          <w:rFonts w:ascii="Calibri Light" w:hAnsi="Calibri Light" w:cs="Arial"/>
          <w:color w:val="000000"/>
          <w:sz w:val="18"/>
          <w:szCs w:val="18"/>
        </w:rPr>
        <w:t xml:space="preserve">Judicial Conduct Commissioner established in 2015: </w:t>
      </w:r>
      <w:r w:rsidRPr="00F32CCC">
        <w:rPr>
          <w:rFonts w:ascii="Calibri Light" w:hAnsi="Calibri Light" w:cs="Arial"/>
          <w:i/>
          <w:color w:val="000000"/>
          <w:sz w:val="18"/>
          <w:szCs w:val="18"/>
        </w:rPr>
        <w:t xml:space="preserve">Judicial Conduct Commissioner Act 2015 </w:t>
      </w:r>
      <w:r w:rsidRPr="00F32CCC">
        <w:rPr>
          <w:rFonts w:ascii="Calibri Light" w:hAnsi="Calibri Light" w:cs="Arial"/>
          <w:sz w:val="18"/>
          <w:szCs w:val="18"/>
        </w:rPr>
        <w:t>(SA)</w:t>
      </w:r>
      <w:r w:rsidRPr="00F32CCC">
        <w:rPr>
          <w:rFonts w:ascii="Calibri Light" w:hAnsi="Calibri Light" w:cs="Arial"/>
          <w:color w:val="000000"/>
          <w:sz w:val="18"/>
          <w:szCs w:val="18"/>
        </w:rPr>
        <w:t xml:space="preserve">), and the ACT (ACT Judicial Council in 2017 via amendments to the </w:t>
      </w:r>
      <w:r w:rsidRPr="00F32CCC">
        <w:rPr>
          <w:rFonts w:ascii="Calibri Light" w:hAnsi="Calibri Light" w:cs="Arial"/>
          <w:i/>
          <w:iCs/>
          <w:color w:val="000000"/>
          <w:sz w:val="18"/>
          <w:szCs w:val="18"/>
        </w:rPr>
        <w:t xml:space="preserve">Judicial Commissions Act 1994 </w:t>
      </w:r>
      <w:r w:rsidRPr="00F32CCC">
        <w:rPr>
          <w:rFonts w:ascii="Calibri Light" w:hAnsi="Calibri Light" w:cs="Arial"/>
          <w:color w:val="000000"/>
          <w:sz w:val="18"/>
          <w:szCs w:val="18"/>
        </w:rPr>
        <w:t>(ACT)).</w:t>
      </w:r>
    </w:p>
  </w:footnote>
  <w:footnote w:id="26">
    <w:p w14:paraId="63D61B92" w14:textId="77777777" w:rsidR="009D1EFA" w:rsidRPr="00F32CCC" w:rsidRDefault="009D1EFA" w:rsidP="009D1EFA">
      <w:pPr>
        <w:pStyle w:val="FootnoteText"/>
        <w:ind w:left="567" w:hanging="567"/>
        <w:rPr>
          <w:rFonts w:ascii="Calibri Light" w:hAnsi="Calibri Light" w:cs="Arial"/>
          <w:sz w:val="18"/>
          <w:szCs w:val="18"/>
          <w:highlight w:val="yellow"/>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Kathy Mack and Sharyn Roach Anleu, ‘The Administrative Authority of Chief Judicial Officers in Australia’ (2004) 8 </w:t>
      </w:r>
      <w:r w:rsidRPr="00F32CCC">
        <w:rPr>
          <w:rFonts w:ascii="Calibri Light" w:hAnsi="Calibri Light" w:cs="Arial"/>
          <w:i/>
          <w:iCs/>
          <w:sz w:val="18"/>
          <w:szCs w:val="18"/>
        </w:rPr>
        <w:t xml:space="preserve">Newcastle Law Review </w:t>
      </w:r>
      <w:r w:rsidRPr="00F32CCC">
        <w:rPr>
          <w:rFonts w:ascii="Calibri Light" w:hAnsi="Calibri Light" w:cs="Arial"/>
          <w:sz w:val="18"/>
          <w:szCs w:val="18"/>
        </w:rPr>
        <w:t>1, 6.</w:t>
      </w:r>
    </w:p>
  </w:footnote>
  <w:footnote w:id="27">
    <w:p w14:paraId="27ECAB5F" w14:textId="77777777" w:rsidR="009D1EFA" w:rsidRPr="00F32CCC" w:rsidRDefault="009D1EFA" w:rsidP="009D1EFA">
      <w:pPr>
        <w:ind w:left="567" w:hanging="567"/>
        <w:rPr>
          <w:rFonts w:ascii="Calibri Light" w:hAnsi="Calibri Light" w:cs="Arial"/>
          <w:sz w:val="18"/>
          <w:szCs w:val="18"/>
        </w:rPr>
      </w:pPr>
      <w:r w:rsidRPr="00F32CCC">
        <w:rPr>
          <w:rStyle w:val="FootnoteReference"/>
          <w:rFonts w:ascii="Calibri Light"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Enid Campbell, 'Suspension of Judges from Office' (1999) 18 </w:t>
      </w:r>
      <w:r w:rsidRPr="00F32CCC">
        <w:rPr>
          <w:rFonts w:ascii="Calibri Light" w:hAnsi="Calibri Light" w:cs="Arial"/>
          <w:i/>
          <w:iCs/>
          <w:sz w:val="18"/>
          <w:szCs w:val="18"/>
        </w:rPr>
        <w:t>Australian Bar Review</w:t>
      </w:r>
      <w:r w:rsidRPr="00F32CCC">
        <w:rPr>
          <w:rFonts w:ascii="Calibri Light" w:hAnsi="Calibri Light" w:cs="Arial"/>
          <w:sz w:val="18"/>
          <w:szCs w:val="18"/>
        </w:rPr>
        <w:t xml:space="preserve"> 6, 77-8; Shimon Shetreet, 'Judicial Independence: New Conceptual Dimensions and Contemporary Challenges' in Shimon Shetreet and Jules Deschenes, </w:t>
      </w:r>
      <w:r w:rsidRPr="00F32CCC">
        <w:rPr>
          <w:rFonts w:ascii="Calibri Light" w:hAnsi="Calibri Light" w:cs="Arial"/>
          <w:i/>
          <w:iCs/>
          <w:sz w:val="18"/>
          <w:szCs w:val="18"/>
        </w:rPr>
        <w:t xml:space="preserve">Judicial Independence: The Contemporary Debate </w:t>
      </w:r>
      <w:r w:rsidRPr="00F32CCC">
        <w:rPr>
          <w:rFonts w:ascii="Calibri Light" w:hAnsi="Calibri Light" w:cs="Arial"/>
          <w:sz w:val="18"/>
          <w:szCs w:val="18"/>
        </w:rPr>
        <w:t>(1985) 590,608.</w:t>
      </w:r>
    </w:p>
  </w:footnote>
  <w:footnote w:id="28">
    <w:p w14:paraId="3D77349A" w14:textId="77777777" w:rsidR="009D1EFA" w:rsidRPr="00F32CCC" w:rsidRDefault="009D1EFA" w:rsidP="009D1EFA">
      <w:pPr>
        <w:ind w:left="567" w:hanging="567"/>
        <w:rPr>
          <w:rFonts w:ascii="Calibri Light" w:hAnsi="Calibri Light" w:cs="Arial"/>
          <w:sz w:val="18"/>
          <w:szCs w:val="18"/>
        </w:rPr>
      </w:pPr>
      <w:r w:rsidRPr="00F32CCC">
        <w:rPr>
          <w:rStyle w:val="FootnoteReference"/>
          <w:rFonts w:ascii="Calibri Light"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Elizabeth Handsley, 'Issues Paper on Judicial Accountability' (2001) 10 </w:t>
      </w:r>
      <w:r w:rsidRPr="00F32CCC">
        <w:rPr>
          <w:rFonts w:ascii="Calibri Light" w:hAnsi="Calibri Light" w:cs="Arial"/>
          <w:i/>
          <w:iCs/>
          <w:sz w:val="18"/>
          <w:szCs w:val="18"/>
        </w:rPr>
        <w:t>Journal of Judicial Administration</w:t>
      </w:r>
      <w:r w:rsidRPr="00F32CCC">
        <w:rPr>
          <w:rFonts w:ascii="Calibri Light" w:hAnsi="Calibri Light" w:cs="Arial"/>
          <w:sz w:val="18"/>
          <w:szCs w:val="18"/>
        </w:rPr>
        <w:t xml:space="preserve"> 179,187-8; P H Lane, 'Constitutional Aspects of Judicial Independence' in Helen Cunningham (ed), </w:t>
      </w:r>
      <w:r w:rsidRPr="00F32CCC">
        <w:rPr>
          <w:rFonts w:ascii="Calibri Light" w:hAnsi="Calibri Light" w:cs="Arial"/>
          <w:i/>
          <w:iCs/>
          <w:sz w:val="18"/>
          <w:szCs w:val="18"/>
        </w:rPr>
        <w:t>Fragile Bastion: Judicial independence in the Nineties and Beyond</w:t>
      </w:r>
      <w:r w:rsidRPr="00F32CCC">
        <w:rPr>
          <w:rFonts w:ascii="Calibri Light" w:hAnsi="Calibri Light" w:cs="Arial"/>
          <w:sz w:val="18"/>
          <w:szCs w:val="18"/>
        </w:rPr>
        <w:t xml:space="preserve"> (1997) 4; George Winterton, </w:t>
      </w:r>
      <w:r w:rsidRPr="00F32CCC">
        <w:rPr>
          <w:rFonts w:ascii="Calibri Light" w:hAnsi="Calibri Light" w:cs="Arial"/>
          <w:i/>
          <w:iCs/>
          <w:sz w:val="18"/>
          <w:szCs w:val="18"/>
          <w:lang w:val="en-GB"/>
        </w:rPr>
        <w:t>Judicial Remuneration in Australia</w:t>
      </w:r>
      <w:r w:rsidRPr="00F32CCC">
        <w:rPr>
          <w:rFonts w:ascii="Calibri Light" w:hAnsi="Calibri Light" w:cs="Arial"/>
          <w:sz w:val="18"/>
          <w:szCs w:val="18"/>
          <w:lang w:val="en-GB"/>
        </w:rPr>
        <w:t xml:space="preserve"> (1995)</w:t>
      </w:r>
      <w:r w:rsidRPr="00F32CCC">
        <w:rPr>
          <w:rFonts w:ascii="Calibri Light" w:hAnsi="Calibri Light" w:cs="Arial"/>
          <w:sz w:val="18"/>
          <w:szCs w:val="18"/>
        </w:rPr>
        <w:t xml:space="preserve">; Alan Bamard and Glenn Withers, </w:t>
      </w:r>
      <w:r w:rsidRPr="00F32CCC">
        <w:rPr>
          <w:rFonts w:ascii="Calibri Light" w:hAnsi="Calibri Light" w:cs="Arial"/>
          <w:i/>
          <w:iCs/>
          <w:sz w:val="18"/>
          <w:szCs w:val="18"/>
        </w:rPr>
        <w:t>Financing the Australian Courts</w:t>
      </w:r>
      <w:r w:rsidRPr="00F32CCC">
        <w:rPr>
          <w:rFonts w:ascii="Calibri Light" w:hAnsi="Calibri Light" w:cs="Arial"/>
          <w:sz w:val="18"/>
          <w:szCs w:val="18"/>
        </w:rPr>
        <w:t xml:space="preserve"> (1989).</w:t>
      </w:r>
    </w:p>
  </w:footnote>
  <w:footnote w:id="29">
    <w:p w14:paraId="2129D0AA" w14:textId="77777777"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r>
      <w:r w:rsidRPr="00F32CCC">
        <w:rPr>
          <w:rFonts w:ascii="Calibri Light" w:hAnsi="Calibri Light" w:cs="Arial"/>
          <w:sz w:val="18"/>
          <w:szCs w:val="18"/>
          <w:lang w:val="en-GB"/>
        </w:rPr>
        <w:t xml:space="preserve">Stephen Colbran, 'Judicial Performance Evaluation: Accountability without Compliance' (2002) 76(4) </w:t>
      </w:r>
      <w:r w:rsidRPr="00F32CCC">
        <w:rPr>
          <w:rFonts w:ascii="Calibri Light" w:hAnsi="Calibri Light" w:cs="Arial"/>
          <w:i/>
          <w:iCs/>
          <w:sz w:val="18"/>
          <w:szCs w:val="18"/>
          <w:lang w:val="en-GB"/>
        </w:rPr>
        <w:t>Australian Law Journal</w:t>
      </w:r>
      <w:r w:rsidRPr="00F32CCC">
        <w:rPr>
          <w:rFonts w:ascii="Calibri Light" w:hAnsi="Calibri Light" w:cs="Arial"/>
          <w:sz w:val="18"/>
          <w:szCs w:val="18"/>
          <w:lang w:val="en-GB"/>
        </w:rPr>
        <w:t xml:space="preserve"> 235, 244; Douglas Drummond, 'Towards a More Compliant Judiciary? - Part I' (2001) 75 </w:t>
      </w:r>
      <w:r w:rsidRPr="00F32CCC">
        <w:rPr>
          <w:rFonts w:ascii="Calibri Light" w:hAnsi="Calibri Light" w:cs="Arial"/>
          <w:i/>
          <w:iCs/>
          <w:sz w:val="18"/>
          <w:szCs w:val="18"/>
          <w:lang w:val="en-GB"/>
        </w:rPr>
        <w:t>Australian Law Journal</w:t>
      </w:r>
      <w:r w:rsidRPr="00F32CCC">
        <w:rPr>
          <w:rFonts w:ascii="Calibri Light" w:hAnsi="Calibri Light" w:cs="Arial"/>
          <w:sz w:val="18"/>
          <w:szCs w:val="18"/>
          <w:lang w:val="en-GB"/>
        </w:rPr>
        <w:t xml:space="preserve"> 304.</w:t>
      </w:r>
    </w:p>
  </w:footnote>
  <w:footnote w:id="30">
    <w:p w14:paraId="5C36BFA1" w14:textId="77777777" w:rsidR="009D1EFA" w:rsidRPr="00F32CCC" w:rsidRDefault="009D1EFA" w:rsidP="009D1EFA">
      <w:pPr>
        <w:pStyle w:val="FootnoteText"/>
        <w:spacing w:after="80"/>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r>
      <w:r w:rsidRPr="00F32CCC">
        <w:rPr>
          <w:rFonts w:ascii="Calibri Light" w:hAnsi="Calibri Light" w:cs="Arial"/>
          <w:i/>
          <w:iCs/>
          <w:sz w:val="18"/>
          <w:szCs w:val="18"/>
        </w:rPr>
        <w:t>Cornack v Fingleton</w:t>
      </w:r>
      <w:r w:rsidRPr="00F32CCC">
        <w:rPr>
          <w:rFonts w:ascii="Calibri Light" w:hAnsi="Calibri Light" w:cs="Arial"/>
          <w:sz w:val="18"/>
          <w:szCs w:val="18"/>
        </w:rPr>
        <w:t xml:space="preserve"> [2002] QSC 391 [34].</w:t>
      </w:r>
    </w:p>
  </w:footnote>
  <w:footnote w:id="31">
    <w:p w14:paraId="3B627455" w14:textId="77777777" w:rsidR="009D1EFA" w:rsidRPr="009D1EFA" w:rsidRDefault="009D1EFA" w:rsidP="009D1EFA">
      <w:pPr>
        <w:pStyle w:val="FootnoteText"/>
        <w:spacing w:after="80"/>
        <w:ind w:left="567" w:hanging="567"/>
        <w:rPr>
          <w:rFonts w:ascii="Calibri Light" w:hAnsi="Calibri Light" w:cs="Arial"/>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Simon Shetreet, </w:t>
      </w:r>
      <w:r w:rsidRPr="00F32CCC">
        <w:rPr>
          <w:rFonts w:ascii="Calibri Light" w:hAnsi="Calibri Light" w:cs="Arial"/>
          <w:color w:val="333333"/>
          <w:sz w:val="18"/>
          <w:szCs w:val="18"/>
        </w:rPr>
        <w:t xml:space="preserve">“The Limits of Judicial Accountability: A Hard Look at the </w:t>
      </w:r>
      <w:r w:rsidRPr="00F32CCC">
        <w:rPr>
          <w:rStyle w:val="Emphasis"/>
          <w:rFonts w:ascii="Calibri Light" w:hAnsi="Calibri Light" w:cs="Arial"/>
          <w:color w:val="333333"/>
          <w:sz w:val="18"/>
          <w:szCs w:val="18"/>
        </w:rPr>
        <w:t>Judicial Officers Act</w:t>
      </w:r>
      <w:r w:rsidRPr="00F32CCC">
        <w:rPr>
          <w:rFonts w:ascii="Calibri Light" w:hAnsi="Calibri Light" w:cs="Arial"/>
          <w:color w:val="333333"/>
          <w:sz w:val="18"/>
          <w:szCs w:val="18"/>
        </w:rPr>
        <w:t xml:space="preserve"> 1986”, (1987) 10 </w:t>
      </w:r>
      <w:r w:rsidRPr="00F32CCC">
        <w:rPr>
          <w:rFonts w:ascii="Calibri Light" w:hAnsi="Calibri Light" w:cs="Arial"/>
          <w:i/>
          <w:iCs/>
          <w:color w:val="333333"/>
          <w:sz w:val="18"/>
          <w:szCs w:val="18"/>
        </w:rPr>
        <w:t>UNSW Law Journal</w:t>
      </w:r>
      <w:r w:rsidRPr="00F32CCC">
        <w:rPr>
          <w:rFonts w:ascii="Calibri Light" w:hAnsi="Calibri Light" w:cs="Arial"/>
          <w:color w:val="333333"/>
          <w:sz w:val="18"/>
          <w:szCs w:val="18"/>
        </w:rPr>
        <w:t xml:space="preserve"> 3</w:t>
      </w:r>
    </w:p>
  </w:footnote>
  <w:footnote w:id="32">
    <w:p w14:paraId="4B15A97C" w14:textId="77777777" w:rsidR="009D1EFA" w:rsidRPr="00F32CCC" w:rsidRDefault="009D1EFA" w:rsidP="009D1EFA">
      <w:pPr>
        <w:pStyle w:val="FootnoteText"/>
        <w:spacing w:after="80"/>
        <w:ind w:left="567" w:hanging="567"/>
        <w:rPr>
          <w:rFonts w:ascii="Calibri Light" w:hAnsi="Calibri Light" w:cs="Arial"/>
          <w:sz w:val="18"/>
          <w:szCs w:val="18"/>
        </w:rPr>
      </w:pPr>
      <w:r w:rsidRPr="009D1EFA">
        <w:rPr>
          <w:rStyle w:val="FootnoteReference"/>
          <w:rFonts w:ascii="Calibri Light" w:eastAsiaTheme="majorEastAsia" w:hAnsi="Calibri Light" w:cs="Arial"/>
        </w:rPr>
        <w:footnoteRef/>
      </w:r>
      <w:r w:rsidRPr="009D1EFA">
        <w:rPr>
          <w:rFonts w:ascii="Calibri Light" w:hAnsi="Calibri Light" w:cs="Arial"/>
        </w:rPr>
        <w:t xml:space="preserve"> </w:t>
      </w:r>
      <w:r w:rsidRPr="009D1EFA">
        <w:rPr>
          <w:rFonts w:ascii="Calibri Light" w:hAnsi="Calibri Light" w:cs="Arial"/>
        </w:rPr>
        <w:tab/>
      </w:r>
      <w:r w:rsidRPr="00F32CCC">
        <w:rPr>
          <w:rFonts w:ascii="Calibri Light" w:hAnsi="Calibri Light" w:cs="Arial"/>
          <w:sz w:val="18"/>
          <w:szCs w:val="18"/>
        </w:rPr>
        <w:t xml:space="preserve">Simon Shetreet, </w:t>
      </w:r>
      <w:r w:rsidRPr="00F32CCC">
        <w:rPr>
          <w:rFonts w:ascii="Calibri Light" w:hAnsi="Calibri Light" w:cs="Arial"/>
          <w:color w:val="333333"/>
          <w:sz w:val="18"/>
          <w:szCs w:val="18"/>
        </w:rPr>
        <w:t xml:space="preserve">“The Limits of Judicial Accountability: A Hard Look at the </w:t>
      </w:r>
      <w:r w:rsidRPr="00F32CCC">
        <w:rPr>
          <w:rStyle w:val="Emphasis"/>
          <w:rFonts w:ascii="Calibri Light" w:hAnsi="Calibri Light" w:cs="Arial"/>
          <w:color w:val="333333"/>
          <w:sz w:val="18"/>
          <w:szCs w:val="18"/>
        </w:rPr>
        <w:t>Judicial Officers Act</w:t>
      </w:r>
      <w:r w:rsidRPr="00F32CCC">
        <w:rPr>
          <w:rFonts w:ascii="Calibri Light" w:hAnsi="Calibri Light" w:cs="Arial"/>
          <w:color w:val="333333"/>
          <w:sz w:val="18"/>
          <w:szCs w:val="18"/>
        </w:rPr>
        <w:t xml:space="preserve"> 1986”, (1987) 10 </w:t>
      </w:r>
      <w:r w:rsidRPr="00F32CCC">
        <w:rPr>
          <w:rFonts w:ascii="Calibri Light" w:hAnsi="Calibri Light" w:cs="Arial"/>
          <w:i/>
          <w:iCs/>
          <w:color w:val="333333"/>
          <w:sz w:val="18"/>
          <w:szCs w:val="18"/>
        </w:rPr>
        <w:t>UNSW Law Journal</w:t>
      </w:r>
      <w:r w:rsidRPr="00F32CCC">
        <w:rPr>
          <w:rFonts w:ascii="Calibri Light" w:hAnsi="Calibri Light" w:cs="Arial"/>
          <w:color w:val="333333"/>
          <w:sz w:val="18"/>
          <w:szCs w:val="18"/>
        </w:rPr>
        <w:t xml:space="preserve"> 3</w:t>
      </w:r>
    </w:p>
  </w:footnote>
  <w:footnote w:id="33">
    <w:p w14:paraId="1913D443" w14:textId="77777777" w:rsidR="009D1EFA" w:rsidRPr="00F32CCC" w:rsidRDefault="009D1EFA" w:rsidP="009D1EFA">
      <w:pPr>
        <w:autoSpaceDE w:val="0"/>
        <w:autoSpaceDN w:val="0"/>
        <w:adjustRightInd w:val="0"/>
        <w:ind w:left="567" w:hanging="567"/>
        <w:rPr>
          <w:rFonts w:ascii="Calibri Light" w:hAnsi="Calibri Light" w:cs="Arial"/>
          <w:color w:val="000000"/>
          <w:sz w:val="18"/>
          <w:szCs w:val="18"/>
          <w:lang w:val="en-GB"/>
        </w:rPr>
      </w:pPr>
      <w:r w:rsidRPr="00F32CCC">
        <w:rPr>
          <w:rStyle w:val="FootnoteReference"/>
          <w:rFonts w:ascii="Calibri Light"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r>
      <w:r w:rsidRPr="00F32CCC">
        <w:rPr>
          <w:rFonts w:ascii="Calibri Light" w:hAnsi="Calibri Light" w:cs="Arial"/>
          <w:color w:val="000000"/>
          <w:sz w:val="18"/>
          <w:szCs w:val="18"/>
          <w:lang w:val="en-GB"/>
        </w:rPr>
        <w:t xml:space="preserve">Senate Legal and Constitutional Affairs References Committee, Parliament of Australia, Australia's Judicial System and the </w:t>
      </w:r>
      <w:r w:rsidRPr="00F32CCC">
        <w:rPr>
          <w:rFonts w:ascii="Calibri Light" w:hAnsi="Calibri Light" w:cs="Arial"/>
          <w:color w:val="252525"/>
          <w:sz w:val="18"/>
          <w:szCs w:val="18"/>
          <w:lang w:val="en-GB"/>
        </w:rPr>
        <w:t xml:space="preserve">Role </w:t>
      </w:r>
      <w:r w:rsidRPr="00F32CCC">
        <w:rPr>
          <w:rFonts w:ascii="Calibri Light" w:hAnsi="Calibri Light" w:cs="Arial"/>
          <w:color w:val="000000"/>
          <w:sz w:val="18"/>
          <w:szCs w:val="18"/>
          <w:lang w:val="en-GB"/>
        </w:rPr>
        <w:t xml:space="preserve">of Judges (2009), 69 [6.33], quoting Letter from </w:t>
      </w:r>
      <w:r w:rsidRPr="00F32CCC">
        <w:rPr>
          <w:rFonts w:ascii="Calibri Light" w:hAnsi="Calibri Light" w:cs="Arial"/>
          <w:color w:val="252525"/>
          <w:sz w:val="18"/>
          <w:szCs w:val="18"/>
          <w:lang w:val="en-GB"/>
        </w:rPr>
        <w:t xml:space="preserve">Chief Justice </w:t>
      </w:r>
      <w:r w:rsidRPr="00F32CCC">
        <w:rPr>
          <w:rFonts w:ascii="Calibri Light" w:hAnsi="Calibri Light" w:cs="Arial"/>
          <w:color w:val="000000"/>
          <w:sz w:val="18"/>
          <w:szCs w:val="18"/>
          <w:lang w:val="en-GB"/>
        </w:rPr>
        <w:t>Wayne Martin to Jim McGinty, Attorney-General (WA), 10 November 2006, 2.</w:t>
      </w:r>
    </w:p>
  </w:footnote>
  <w:footnote w:id="34">
    <w:p w14:paraId="28C2DC7E" w14:textId="77777777"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For example, the conduct of Judge Greg Borches in the Northern Territory: see further Jacqueline Breen, ‘NT Chief Judge Elizabeth Morris finalises investigation into complain against judge Greg Borches’ (ABC News, 11 December 2019) &lt;https://www.abc.net.au/news/2019-12-11/nt-chief-judges-investigates-complaint-against-greg-borchers/11784300&gt;.</w:t>
      </w:r>
    </w:p>
  </w:footnote>
  <w:footnote w:id="35">
    <w:p w14:paraId="5691928E" w14:textId="77777777" w:rsidR="009D1EFA" w:rsidRPr="00F32CCC" w:rsidRDefault="009D1EFA" w:rsidP="009D1EFA">
      <w:pPr>
        <w:ind w:left="567" w:hanging="567"/>
        <w:rPr>
          <w:rFonts w:ascii="Calibri Light" w:hAnsi="Calibri Light" w:cs="Arial"/>
          <w:color w:val="000000" w:themeColor="text1"/>
          <w:sz w:val="18"/>
          <w:szCs w:val="18"/>
          <w:shd w:val="clear" w:color="auto" w:fill="FFFFFF"/>
        </w:rPr>
      </w:pPr>
      <w:r w:rsidRPr="00F32CCC">
        <w:rPr>
          <w:rStyle w:val="FootnoteReference"/>
          <w:rFonts w:ascii="Calibri Light"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r>
      <w:r w:rsidRPr="00F32CCC">
        <w:rPr>
          <w:rFonts w:ascii="Calibri Light" w:hAnsi="Calibri Light" w:cs="Arial"/>
          <w:color w:val="000000" w:themeColor="text1"/>
          <w:sz w:val="18"/>
          <w:szCs w:val="18"/>
        </w:rPr>
        <w:t xml:space="preserve">See, for instance, the comments about the behaviour of Judge Guy Andrew by the Full Court of the Family Court in </w:t>
      </w:r>
      <w:r w:rsidRPr="00F32CCC">
        <w:rPr>
          <w:rFonts w:ascii="Calibri Light" w:hAnsi="Calibri Light" w:cs="Arial"/>
          <w:color w:val="000000" w:themeColor="text1"/>
          <w:sz w:val="18"/>
          <w:szCs w:val="18"/>
          <w:shd w:val="clear" w:color="auto" w:fill="FFFFFF"/>
        </w:rPr>
        <w:t xml:space="preserve">Adacot &amp; Sowle [2020] FamCAFC 215 (28 August 2020). Following this decision, the Chief Judge of the Federal Circuit Court brought this judge down to the Brisbane registry, where he undertook counselling, mentoring, judicial education, and his sittings were monitored: Michaela Whitbourn, ‘Judge moved, receiving training after “rude” conduct triggered retrial’ (3 September 2020, SMH) </w:t>
      </w:r>
      <w:hyperlink r:id="rId2" w:history="1">
        <w:r w:rsidRPr="00F32CCC">
          <w:rPr>
            <w:rStyle w:val="Hyperlink"/>
            <w:rFonts w:ascii="Calibri Light" w:hAnsi="Calibri Light" w:cs="Arial"/>
            <w:color w:val="000000" w:themeColor="text1"/>
            <w:sz w:val="18"/>
            <w:szCs w:val="18"/>
          </w:rPr>
          <w:t>https://www.smh.com.au/national/judge-moved-receiving-training-after-rude-conduct-triggered-retrial-20200903-p55s7a.html</w:t>
        </w:r>
      </w:hyperlink>
      <w:r w:rsidRPr="00F32CCC">
        <w:rPr>
          <w:rFonts w:ascii="Calibri Light" w:hAnsi="Calibri Light" w:cs="Arial"/>
          <w:color w:val="000000" w:themeColor="text1"/>
          <w:sz w:val="18"/>
          <w:szCs w:val="18"/>
        </w:rPr>
        <w:t>. Tragically, the judge took his own life just weeks later.</w:t>
      </w:r>
    </w:p>
  </w:footnote>
  <w:footnote w:id="36">
    <w:p w14:paraId="29B0480D" w14:textId="77777777"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For example, the conduct of Anne Bampton in South Australia: Sean Fewster, ‘Future of newly-appointed SA Supreme Court Justice Anne Bampton in doubt after allegedly collided with cyclist while drink-driving’ (2 December 2013, Adelaide Now) &lt;https://www.adelaidenow.com.au/future-of-newlyappointed-sa-supreme-court-justice-anne-bampton-in-doubt-after-allegedly-collided-with-cyclist-while-drinkdriving/news-story/08cbddc5743443e6ccaab196adad554a&gt;.</w:t>
      </w:r>
    </w:p>
  </w:footnote>
  <w:footnote w:id="37">
    <w:p w14:paraId="6AC8D4DD" w14:textId="77777777"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See further </w:t>
      </w:r>
      <w:r w:rsidRPr="00F32CCC">
        <w:rPr>
          <w:rFonts w:ascii="Calibri Light" w:hAnsi="Calibri Light" w:cs="Arial"/>
          <w:sz w:val="18"/>
          <w:szCs w:val="18"/>
          <w:lang w:val="en-GB" w:eastAsia="zh-CN"/>
        </w:rPr>
        <w:t xml:space="preserve">Michael Kirby, 'Judicial Stress and Judicial Bullying' (2013) 87 </w:t>
      </w:r>
      <w:r w:rsidRPr="00F32CCC">
        <w:rPr>
          <w:rFonts w:ascii="Calibri Light" w:hAnsi="Calibri Light" w:cs="Arial"/>
          <w:i/>
          <w:iCs/>
          <w:sz w:val="18"/>
          <w:szCs w:val="18"/>
          <w:lang w:val="en-GB" w:eastAsia="zh-CN"/>
        </w:rPr>
        <w:t>Australian Law Journal</w:t>
      </w:r>
      <w:r w:rsidRPr="00F32CCC">
        <w:rPr>
          <w:rFonts w:ascii="Calibri Light" w:hAnsi="Calibri Light" w:cs="Arial"/>
          <w:sz w:val="18"/>
          <w:szCs w:val="18"/>
          <w:lang w:val="en-GB" w:eastAsia="zh-CN"/>
        </w:rPr>
        <w:t xml:space="preserve"> 516, 524.</w:t>
      </w:r>
    </w:p>
  </w:footnote>
  <w:footnote w:id="38">
    <w:p w14:paraId="359B20B1" w14:textId="77777777" w:rsidR="009D1EFA" w:rsidRPr="009D1EFA" w:rsidRDefault="009D1EFA" w:rsidP="009D1EFA">
      <w:pPr>
        <w:pStyle w:val="FootnoteText"/>
        <w:ind w:left="567" w:hanging="567"/>
        <w:rPr>
          <w:rFonts w:ascii="Calibri Light" w:hAnsi="Calibri Light" w:cs="Arial"/>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See full press release: Chief Justice Chris Kourakis, (Media Release, Court Administration Authority of South Australia, 15 January 2014) &lt;http://www.courts.sa.gov.au/ForMedia/Pages/General-Media-Releases.aspx?IsDlg=1&amp;Filter=41&gt;.</w:t>
      </w:r>
    </w:p>
  </w:footnote>
  <w:footnote w:id="39">
    <w:p w14:paraId="1B41EA43" w14:textId="77777777" w:rsidR="009D1EFA" w:rsidRPr="009D1EFA" w:rsidRDefault="009D1EFA" w:rsidP="009D1EFA">
      <w:pPr>
        <w:pStyle w:val="FootnoteText"/>
        <w:spacing w:after="80"/>
        <w:ind w:left="567" w:hanging="567"/>
        <w:rPr>
          <w:rFonts w:ascii="Calibri Light" w:hAnsi="Calibri Light" w:cs="Arial"/>
          <w:color w:val="000000" w:themeColor="text1"/>
        </w:rPr>
      </w:pPr>
      <w:r w:rsidRPr="009D1EFA">
        <w:rPr>
          <w:rStyle w:val="FootnoteReference"/>
          <w:rFonts w:ascii="Calibri Light" w:eastAsiaTheme="majorEastAsia" w:hAnsi="Calibri Light" w:cs="Arial"/>
          <w:color w:val="000000" w:themeColor="text1"/>
        </w:rPr>
        <w:footnoteRef/>
      </w:r>
      <w:r w:rsidRPr="009D1EFA">
        <w:rPr>
          <w:rFonts w:ascii="Calibri Light" w:hAnsi="Calibri Light" w:cs="Arial"/>
          <w:color w:val="000000" w:themeColor="text1"/>
        </w:rPr>
        <w:t xml:space="preserve"> </w:t>
      </w:r>
      <w:r w:rsidRPr="009D1EFA">
        <w:rPr>
          <w:rFonts w:ascii="Calibri Light" w:hAnsi="Calibri Light" w:cs="Arial"/>
          <w:color w:val="000000" w:themeColor="text1"/>
        </w:rPr>
        <w:tab/>
      </w:r>
      <w:r w:rsidRPr="00F32CCC">
        <w:rPr>
          <w:rFonts w:ascii="Calibri Light" w:hAnsi="Calibri Light" w:cs="Arial"/>
          <w:color w:val="000000" w:themeColor="text1"/>
          <w:sz w:val="18"/>
          <w:szCs w:val="18"/>
        </w:rPr>
        <w:t>Delivered at the 6</w:t>
      </w:r>
      <w:r w:rsidRPr="00F32CCC">
        <w:rPr>
          <w:rFonts w:ascii="Calibri Light" w:hAnsi="Calibri Light" w:cs="Arial"/>
          <w:color w:val="000000" w:themeColor="text1"/>
          <w:sz w:val="18"/>
          <w:szCs w:val="18"/>
          <w:vertAlign w:val="superscript"/>
        </w:rPr>
        <w:t>th</w:t>
      </w:r>
      <w:r w:rsidRPr="00F32CCC">
        <w:rPr>
          <w:rFonts w:ascii="Calibri Light" w:hAnsi="Calibri Light" w:cs="Arial"/>
          <w:color w:val="000000" w:themeColor="text1"/>
          <w:sz w:val="18"/>
          <w:szCs w:val="18"/>
        </w:rPr>
        <w:t xml:space="preserve"> Colloquium of the Judicial Conference of Australia at Launceston on 26 April 2002, and reproduced on the High Court of Australia website, cited in </w:t>
      </w:r>
      <w:r w:rsidRPr="00F32CCC">
        <w:rPr>
          <w:rFonts w:ascii="Calibri Light" w:hAnsi="Calibri Light" w:cs="Arial"/>
          <w:i/>
          <w:iCs/>
          <w:color w:val="000000" w:themeColor="text1"/>
          <w:sz w:val="18"/>
          <w:szCs w:val="18"/>
        </w:rPr>
        <w:t>Cornack v Fingleton</w:t>
      </w:r>
      <w:r w:rsidRPr="00F32CCC">
        <w:rPr>
          <w:rFonts w:ascii="Calibri Light" w:hAnsi="Calibri Light" w:cs="Arial"/>
          <w:color w:val="000000" w:themeColor="text1"/>
          <w:sz w:val="18"/>
          <w:szCs w:val="18"/>
        </w:rPr>
        <w:t xml:space="preserve"> [2002] QSC 391 [31].</w:t>
      </w:r>
    </w:p>
  </w:footnote>
  <w:footnote w:id="40">
    <w:p w14:paraId="4AC4DC83" w14:textId="77777777"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See further discussion of comparative models in </w:t>
      </w:r>
      <w:r w:rsidRPr="00F32CCC">
        <w:rPr>
          <w:rFonts w:ascii="Calibri Light" w:hAnsi="Calibri Light" w:cs="Arial"/>
          <w:sz w:val="18"/>
          <w:szCs w:val="18"/>
          <w:lang w:val="en-GB"/>
        </w:rPr>
        <w:t xml:space="preserve">Gabrielle Appleby and Suzanne Le Mire, ‘Judicial Conduct: Crafting a System that Enhances Institutional Integrity’ (2014) 38(1) </w:t>
      </w:r>
      <w:r w:rsidRPr="00F32CCC">
        <w:rPr>
          <w:rFonts w:ascii="Calibri Light" w:hAnsi="Calibri Light" w:cs="Arial"/>
          <w:i/>
          <w:sz w:val="18"/>
          <w:szCs w:val="18"/>
          <w:lang w:val="en-GB"/>
        </w:rPr>
        <w:t>Melbourne University Law Review</w:t>
      </w:r>
      <w:r w:rsidRPr="00F32CCC">
        <w:rPr>
          <w:rFonts w:ascii="Calibri Light" w:hAnsi="Calibri Light" w:cs="Arial"/>
          <w:sz w:val="18"/>
          <w:szCs w:val="18"/>
          <w:lang w:val="en-GB"/>
        </w:rPr>
        <w:t xml:space="preserve"> 1</w:t>
      </w:r>
      <w:r w:rsidRPr="00F32CCC">
        <w:rPr>
          <w:rFonts w:ascii="Calibri Light" w:hAnsi="Calibri Light" w:cs="Arial"/>
          <w:sz w:val="18"/>
          <w:szCs w:val="18"/>
        </w:rPr>
        <w:t>, 56-57.</w:t>
      </w:r>
    </w:p>
  </w:footnote>
  <w:footnote w:id="41">
    <w:p w14:paraId="7D4C7510" w14:textId="77777777" w:rsidR="009D1EFA" w:rsidRPr="009D1EFA" w:rsidRDefault="009D1EFA" w:rsidP="009D1EFA">
      <w:pPr>
        <w:pStyle w:val="FootnoteText"/>
        <w:spacing w:after="80"/>
        <w:ind w:left="567" w:hanging="567"/>
        <w:rPr>
          <w:rFonts w:ascii="Calibri Light" w:hAnsi="Calibri Light" w:cs="Arial"/>
          <w:b/>
          <w:iCs/>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t xml:space="preserve">David Sachar, </w:t>
      </w:r>
      <w:r w:rsidRPr="00F32CCC">
        <w:rPr>
          <w:rFonts w:ascii="Calibri Light" w:hAnsi="Calibri Light" w:cs="Arial"/>
          <w:bCs/>
          <w:i/>
          <w:iCs/>
          <w:sz w:val="18"/>
          <w:szCs w:val="18"/>
        </w:rPr>
        <w:t>#MeToo in the Judicial Workplace:</w:t>
      </w:r>
      <w:r w:rsidRPr="00F32CCC">
        <w:rPr>
          <w:rFonts w:ascii="Calibri Light" w:hAnsi="Calibri Light" w:cs="Arial"/>
          <w:b/>
          <w:sz w:val="18"/>
          <w:szCs w:val="18"/>
        </w:rPr>
        <w:t xml:space="preserve"> </w:t>
      </w:r>
      <w:r w:rsidRPr="00F32CCC">
        <w:rPr>
          <w:rFonts w:ascii="Calibri Light" w:hAnsi="Calibri Light" w:cs="Arial"/>
          <w:i/>
          <w:sz w:val="18"/>
          <w:szCs w:val="18"/>
        </w:rPr>
        <w:t xml:space="preserve">The Role of Judicial Conduct Commissions in Enforcing and Preventing Sexual Harassment and Gender Related Corruption in the Judicial Workplace, </w:t>
      </w:r>
      <w:r w:rsidRPr="00F32CCC">
        <w:rPr>
          <w:rFonts w:ascii="Calibri Light" w:hAnsi="Calibri Light" w:cs="Arial"/>
          <w:iCs/>
          <w:sz w:val="18"/>
          <w:szCs w:val="18"/>
        </w:rPr>
        <w:t>Paper presented to Expert Group Meeting on Gender-Related Judicial Integrity Issues (Seoul) 6-7 December 2018, 23.</w:t>
      </w:r>
    </w:p>
  </w:footnote>
  <w:footnote w:id="42">
    <w:p w14:paraId="7933E118" w14:textId="7C77DA6B" w:rsidR="009D1EFA" w:rsidRPr="00F32CCC" w:rsidRDefault="009D1EFA" w:rsidP="009D1EFA">
      <w:pPr>
        <w:pStyle w:val="FootnoteText"/>
        <w:ind w:left="567" w:hanging="567"/>
        <w:rPr>
          <w:rFonts w:ascii="Calibri Light" w:hAnsi="Calibri Light" w:cs="Arial"/>
          <w:sz w:val="18"/>
          <w:szCs w:val="18"/>
        </w:rPr>
      </w:pPr>
      <w:r w:rsidRPr="00F32CCC">
        <w:rPr>
          <w:rStyle w:val="FootnoteReference"/>
          <w:rFonts w:ascii="Calibri Light" w:eastAsiaTheme="majorEastAsia" w:hAnsi="Calibri Light" w:cs="Arial"/>
          <w:sz w:val="18"/>
          <w:szCs w:val="18"/>
        </w:rPr>
        <w:footnoteRef/>
      </w:r>
      <w:r w:rsidRPr="00F32CCC">
        <w:rPr>
          <w:rFonts w:ascii="Calibri Light" w:hAnsi="Calibri Light" w:cs="Arial"/>
          <w:sz w:val="18"/>
          <w:szCs w:val="18"/>
        </w:rPr>
        <w:t xml:space="preserve"> </w:t>
      </w:r>
      <w:r w:rsidRPr="00F32CCC">
        <w:rPr>
          <w:rFonts w:ascii="Calibri Light" w:hAnsi="Calibri Light" w:cs="Arial"/>
          <w:sz w:val="18"/>
          <w:szCs w:val="18"/>
        </w:rPr>
        <w:tab/>
      </w:r>
      <w:r w:rsidR="00F32CCC">
        <w:rPr>
          <w:rFonts w:ascii="Calibri Light" w:hAnsi="Calibri Light" w:cs="Arial"/>
          <w:sz w:val="18"/>
          <w:szCs w:val="18"/>
        </w:rPr>
        <w:tab/>
      </w:r>
      <w:r w:rsidRPr="00F32CCC">
        <w:rPr>
          <w:rFonts w:ascii="Calibri Light" w:hAnsi="Calibri Light" w:cs="Arial"/>
          <w:i/>
          <w:iCs/>
          <w:sz w:val="18"/>
          <w:szCs w:val="18"/>
        </w:rPr>
        <w:t>Magistrates' Court Act 1989</w:t>
      </w:r>
      <w:r w:rsidRPr="00F32CCC">
        <w:rPr>
          <w:rFonts w:ascii="Calibri Light" w:hAnsi="Calibri Light" w:cs="Arial"/>
          <w:sz w:val="18"/>
          <w:szCs w:val="18"/>
        </w:rPr>
        <w:t xml:space="preserve"> (Vic) sections 5(3), 5A, 6(1), 13(1).</w:t>
      </w:r>
    </w:p>
  </w:footnote>
  <w:footnote w:id="43">
    <w:p w14:paraId="564F4057" w14:textId="77777777" w:rsidR="009D1EFA" w:rsidRPr="00F32CCC" w:rsidRDefault="009D1EFA" w:rsidP="009D1EFA">
      <w:pPr>
        <w:pStyle w:val="FootnoteText"/>
        <w:rPr>
          <w:rFonts w:ascii="Calibri Light" w:hAnsi="Calibri Light"/>
          <w:sz w:val="18"/>
          <w:szCs w:val="18"/>
        </w:rPr>
      </w:pPr>
      <w:r w:rsidRPr="00F32CCC">
        <w:rPr>
          <w:rStyle w:val="FootnoteReference"/>
          <w:rFonts w:ascii="Calibri Light" w:eastAsiaTheme="majorEastAsia" w:hAnsi="Calibri Light"/>
          <w:sz w:val="18"/>
          <w:szCs w:val="18"/>
        </w:rPr>
        <w:footnoteRef/>
      </w:r>
      <w:r w:rsidRPr="00F32CCC">
        <w:rPr>
          <w:rFonts w:ascii="Calibri Light" w:hAnsi="Calibri Light"/>
          <w:sz w:val="18"/>
          <w:szCs w:val="18"/>
        </w:rPr>
        <w:t xml:space="preserve"> </w:t>
      </w:r>
      <w:r w:rsidRPr="00F32CCC">
        <w:rPr>
          <w:rFonts w:ascii="Calibri Light" w:hAnsi="Calibri Light"/>
          <w:sz w:val="18"/>
          <w:szCs w:val="18"/>
        </w:rPr>
        <w:tab/>
      </w:r>
      <w:r w:rsidRPr="00F32CCC">
        <w:rPr>
          <w:rFonts w:ascii="Calibri Light" w:hAnsi="Calibri Light" w:cs="Arial"/>
          <w:i/>
          <w:iCs/>
          <w:sz w:val="18"/>
          <w:szCs w:val="18"/>
        </w:rPr>
        <w:t>Supreme Court Act 1986</w:t>
      </w:r>
      <w:r w:rsidRPr="00F32CCC">
        <w:rPr>
          <w:rFonts w:ascii="Calibri Light" w:hAnsi="Calibri Light" w:cs="Arial"/>
          <w:sz w:val="18"/>
          <w:szCs w:val="18"/>
        </w:rPr>
        <w:t xml:space="preserve"> (Vic) section 28.</w:t>
      </w:r>
    </w:p>
  </w:footnote>
  <w:footnote w:id="44">
    <w:p w14:paraId="396435BA" w14:textId="77777777" w:rsidR="009D1EFA" w:rsidRPr="00F32CCC" w:rsidRDefault="009D1EFA" w:rsidP="009D1EFA">
      <w:pPr>
        <w:pStyle w:val="FootnoteText"/>
        <w:rPr>
          <w:rFonts w:ascii="Calibri Light" w:hAnsi="Calibri Light"/>
          <w:sz w:val="18"/>
          <w:szCs w:val="18"/>
        </w:rPr>
      </w:pPr>
      <w:r w:rsidRPr="00F32CCC">
        <w:rPr>
          <w:rStyle w:val="FootnoteReference"/>
          <w:rFonts w:ascii="Calibri Light" w:eastAsiaTheme="majorEastAsia" w:hAnsi="Calibri Light"/>
          <w:sz w:val="18"/>
          <w:szCs w:val="18"/>
        </w:rPr>
        <w:footnoteRef/>
      </w:r>
      <w:r w:rsidRPr="00F32CCC">
        <w:rPr>
          <w:rFonts w:ascii="Calibri Light" w:hAnsi="Calibri Light"/>
          <w:sz w:val="18"/>
          <w:szCs w:val="18"/>
        </w:rPr>
        <w:t xml:space="preserve"> </w:t>
      </w:r>
      <w:r w:rsidRPr="00F32CCC">
        <w:rPr>
          <w:rFonts w:ascii="Calibri Light" w:hAnsi="Calibri Light"/>
          <w:sz w:val="18"/>
          <w:szCs w:val="18"/>
        </w:rPr>
        <w:tab/>
      </w:r>
      <w:r w:rsidRPr="00F32CCC">
        <w:rPr>
          <w:rFonts w:ascii="Calibri Light" w:hAnsi="Calibri Light" w:cs="Arial"/>
          <w:i/>
          <w:iCs/>
          <w:sz w:val="18"/>
          <w:szCs w:val="18"/>
        </w:rPr>
        <w:t>County Court Act 1958</w:t>
      </w:r>
      <w:r w:rsidRPr="00F32CCC">
        <w:rPr>
          <w:rFonts w:ascii="Calibri Light" w:hAnsi="Calibri Light" w:cs="Arial"/>
          <w:sz w:val="18"/>
          <w:szCs w:val="18"/>
        </w:rPr>
        <w:t xml:space="preserve"> (Vic) section 87.</w:t>
      </w:r>
    </w:p>
  </w:footnote>
  <w:footnote w:id="45">
    <w:p w14:paraId="546DFE88" w14:textId="1E4FF507" w:rsidR="009D1EFA" w:rsidRPr="009D1EFA" w:rsidRDefault="009D1EFA" w:rsidP="009D1EFA">
      <w:pPr>
        <w:pStyle w:val="FootnoteText"/>
        <w:rPr>
          <w:rFonts w:ascii="Calibri Light" w:hAnsi="Calibri Light"/>
        </w:rPr>
      </w:pPr>
      <w:r w:rsidRPr="00F32CCC">
        <w:rPr>
          <w:rStyle w:val="FootnoteReference"/>
          <w:rFonts w:ascii="Calibri Light" w:eastAsiaTheme="majorEastAsia" w:hAnsi="Calibri Light"/>
          <w:sz w:val="18"/>
          <w:szCs w:val="18"/>
        </w:rPr>
        <w:footnoteRef/>
      </w:r>
      <w:r w:rsidRPr="00F32CCC">
        <w:rPr>
          <w:rFonts w:ascii="Calibri Light" w:hAnsi="Calibri Light"/>
          <w:sz w:val="18"/>
          <w:szCs w:val="18"/>
        </w:rPr>
        <w:t xml:space="preserve"> </w:t>
      </w:r>
      <w:r w:rsidR="00F32CCC">
        <w:rPr>
          <w:rFonts w:ascii="Calibri Light" w:hAnsi="Calibri Light"/>
          <w:sz w:val="18"/>
          <w:szCs w:val="18"/>
        </w:rPr>
        <w:tab/>
      </w:r>
      <w:r w:rsidRPr="00F32CCC">
        <w:rPr>
          <w:rFonts w:ascii="Calibri Light" w:hAnsi="Calibri Light" w:cs="Arial"/>
          <w:i/>
          <w:iCs/>
          <w:sz w:val="18"/>
          <w:szCs w:val="18"/>
        </w:rPr>
        <w:t>Magistrates’ Court Act 1989</w:t>
      </w:r>
      <w:r w:rsidRPr="00F32CCC">
        <w:rPr>
          <w:rFonts w:ascii="Calibri Light" w:hAnsi="Calibri Light" w:cs="Arial"/>
          <w:sz w:val="18"/>
          <w:szCs w:val="18"/>
        </w:rPr>
        <w:t xml:space="preserve"> section 15.</w:t>
      </w:r>
    </w:p>
  </w:footnote>
  <w:footnote w:id="46">
    <w:p w14:paraId="1ACA78B5" w14:textId="77777777" w:rsidR="009D1EFA" w:rsidRPr="00137144" w:rsidRDefault="009D1EFA" w:rsidP="009D1EFA">
      <w:pPr>
        <w:pStyle w:val="paragraph"/>
        <w:tabs>
          <w:tab w:val="left" w:pos="5333"/>
        </w:tabs>
        <w:spacing w:before="0" w:beforeAutospacing="0" w:after="0" w:afterAutospacing="0"/>
        <w:ind w:left="567" w:hanging="567"/>
        <w:textAlignment w:val="baseline"/>
        <w:rPr>
          <w:rFonts w:ascii="Calibri Light" w:hAnsi="Calibri Light" w:cs="Arial"/>
          <w:sz w:val="18"/>
          <w:szCs w:val="18"/>
        </w:rPr>
      </w:pPr>
      <w:r w:rsidRPr="00137144">
        <w:rPr>
          <w:rStyle w:val="FootnoteReference"/>
          <w:rFonts w:ascii="Calibri Light" w:eastAsiaTheme="majorEastAsia" w:hAnsi="Calibri Light" w:cs="Arial"/>
          <w:sz w:val="18"/>
          <w:szCs w:val="18"/>
        </w:rPr>
        <w:footnoteRef/>
      </w:r>
      <w:r w:rsidRPr="00137144">
        <w:rPr>
          <w:rFonts w:ascii="Calibri Light" w:hAnsi="Calibri Light" w:cs="Arial"/>
          <w:sz w:val="18"/>
          <w:szCs w:val="18"/>
        </w:rPr>
        <w:t xml:space="preserve"> </w:t>
      </w:r>
      <w:r w:rsidRPr="00137144">
        <w:rPr>
          <w:rFonts w:ascii="Calibri Light" w:hAnsi="Calibri Light" w:cs="Arial"/>
          <w:sz w:val="18"/>
          <w:szCs w:val="18"/>
        </w:rPr>
        <w:tab/>
        <w:t xml:space="preserve">See </w:t>
      </w:r>
      <w:r w:rsidRPr="00137144">
        <w:rPr>
          <w:rStyle w:val="eop"/>
          <w:rFonts w:ascii="Calibri Light" w:hAnsi="Calibri Light" w:cs="Arial"/>
          <w:sz w:val="18"/>
          <w:szCs w:val="18"/>
        </w:rPr>
        <w:t xml:space="preserve">section 28A of the </w:t>
      </w:r>
      <w:r w:rsidRPr="00137144">
        <w:rPr>
          <w:rStyle w:val="eop"/>
          <w:rFonts w:ascii="Calibri Light" w:hAnsi="Calibri Light" w:cs="Arial"/>
          <w:i/>
          <w:iCs/>
          <w:sz w:val="18"/>
          <w:szCs w:val="18"/>
        </w:rPr>
        <w:t>Supreme Court Act 1986</w:t>
      </w:r>
      <w:r w:rsidRPr="00137144">
        <w:rPr>
          <w:rStyle w:val="eop"/>
          <w:rFonts w:ascii="Calibri Light" w:hAnsi="Calibri Light" w:cs="Arial"/>
          <w:sz w:val="18"/>
          <w:szCs w:val="18"/>
        </w:rPr>
        <w:t xml:space="preserve">; section 17AAA of the </w:t>
      </w:r>
      <w:r w:rsidRPr="00137144">
        <w:rPr>
          <w:rStyle w:val="eop"/>
          <w:rFonts w:ascii="Calibri Light" w:hAnsi="Calibri Light" w:cs="Arial"/>
          <w:i/>
          <w:iCs/>
          <w:sz w:val="18"/>
          <w:szCs w:val="18"/>
        </w:rPr>
        <w:t>County Court Act 1958</w:t>
      </w:r>
      <w:r w:rsidRPr="00137144">
        <w:rPr>
          <w:rStyle w:val="eop"/>
          <w:rFonts w:ascii="Calibri Light" w:hAnsi="Calibri Light" w:cs="Arial"/>
          <w:sz w:val="18"/>
          <w:szCs w:val="18"/>
        </w:rPr>
        <w:t xml:space="preserve">; section 13B of the </w:t>
      </w:r>
      <w:r w:rsidRPr="00137144">
        <w:rPr>
          <w:rStyle w:val="eop"/>
          <w:rFonts w:ascii="Calibri Light" w:hAnsi="Calibri Light" w:cs="Arial"/>
          <w:i/>
          <w:iCs/>
          <w:sz w:val="18"/>
          <w:szCs w:val="18"/>
        </w:rPr>
        <w:t>Magistrates’ Court Act 1989</w:t>
      </w:r>
      <w:r w:rsidRPr="00137144">
        <w:rPr>
          <w:rStyle w:val="eop"/>
          <w:rFonts w:ascii="Calibri Light" w:hAnsi="Calibri Light" w:cs="Arial"/>
          <w:sz w:val="18"/>
          <w:szCs w:val="18"/>
        </w:rPr>
        <w:t xml:space="preserve">; section 108 of the </w:t>
      </w:r>
      <w:r w:rsidRPr="00137144">
        <w:rPr>
          <w:rStyle w:val="eop"/>
          <w:rFonts w:ascii="Calibri Light" w:hAnsi="Calibri Light" w:cs="Arial"/>
          <w:i/>
          <w:iCs/>
          <w:sz w:val="18"/>
          <w:szCs w:val="18"/>
        </w:rPr>
        <w:t>Coroners Act 2008</w:t>
      </w:r>
      <w:r w:rsidRPr="00137144">
        <w:rPr>
          <w:rStyle w:val="eop"/>
          <w:rFonts w:ascii="Calibri Light" w:hAnsi="Calibri Light" w:cs="Arial"/>
          <w:sz w:val="18"/>
          <w:szCs w:val="18"/>
        </w:rPr>
        <w:t xml:space="preserve"> and section 38A of the </w:t>
      </w:r>
      <w:r w:rsidRPr="00137144">
        <w:rPr>
          <w:rStyle w:val="eop"/>
          <w:rFonts w:ascii="Calibri Light" w:hAnsi="Calibri Light" w:cs="Arial"/>
          <w:i/>
          <w:iCs/>
          <w:sz w:val="18"/>
          <w:szCs w:val="18"/>
        </w:rPr>
        <w:t>VCAT Act 1998</w:t>
      </w:r>
      <w:r w:rsidRPr="00137144">
        <w:rPr>
          <w:rStyle w:val="eop"/>
          <w:rFonts w:ascii="Calibri Light" w:hAnsi="Calibri Light" w:cs="Arial"/>
          <w:sz w:val="18"/>
          <w:szCs w:val="18"/>
        </w:rPr>
        <w:t>.</w:t>
      </w:r>
    </w:p>
  </w:footnote>
  <w:footnote w:id="47">
    <w:p w14:paraId="64856E4D" w14:textId="77777777" w:rsidR="009D1EFA" w:rsidRPr="00137144" w:rsidRDefault="009D1EFA" w:rsidP="009D1EFA">
      <w:pPr>
        <w:pStyle w:val="FootnoteText"/>
        <w:ind w:left="567" w:hanging="567"/>
        <w:rPr>
          <w:rFonts w:ascii="Calibri Light" w:hAnsi="Calibri Light" w:cs="Arial"/>
          <w:sz w:val="18"/>
          <w:szCs w:val="18"/>
        </w:rPr>
      </w:pPr>
      <w:r w:rsidRPr="00137144">
        <w:rPr>
          <w:rStyle w:val="FootnoteReference"/>
          <w:rFonts w:ascii="Calibri Light" w:eastAsiaTheme="majorEastAsia" w:hAnsi="Calibri Light" w:cs="Arial"/>
          <w:sz w:val="18"/>
          <w:szCs w:val="18"/>
        </w:rPr>
        <w:footnoteRef/>
      </w:r>
      <w:r w:rsidRPr="00137144">
        <w:rPr>
          <w:rFonts w:ascii="Calibri Light" w:hAnsi="Calibri Light" w:cs="Arial"/>
          <w:sz w:val="18"/>
          <w:szCs w:val="18"/>
        </w:rPr>
        <w:t xml:space="preserve"> </w:t>
      </w:r>
      <w:r w:rsidRPr="00137144">
        <w:rPr>
          <w:rFonts w:ascii="Calibri Light" w:hAnsi="Calibri Light" w:cs="Arial"/>
          <w:sz w:val="18"/>
          <w:szCs w:val="18"/>
        </w:rPr>
        <w:tab/>
      </w:r>
      <w:r w:rsidRPr="00137144">
        <w:rPr>
          <w:rFonts w:ascii="Calibri Light" w:hAnsi="Calibri Light" w:cs="Arial"/>
          <w:i/>
          <w:iCs/>
          <w:sz w:val="18"/>
          <w:szCs w:val="18"/>
        </w:rPr>
        <w:t>Federal Court of Australia Act 1976</w:t>
      </w:r>
      <w:r w:rsidRPr="00137144">
        <w:rPr>
          <w:rFonts w:ascii="Calibri Light" w:hAnsi="Calibri Light" w:cs="Arial"/>
          <w:sz w:val="18"/>
          <w:szCs w:val="18"/>
        </w:rPr>
        <w:t>, section 15.</w:t>
      </w:r>
    </w:p>
  </w:footnote>
  <w:footnote w:id="48">
    <w:p w14:paraId="6DE562CD" w14:textId="77777777" w:rsidR="009D1EFA" w:rsidRPr="00137144" w:rsidRDefault="009D1EFA" w:rsidP="009D1EFA">
      <w:pPr>
        <w:pStyle w:val="FootnoteText"/>
        <w:ind w:left="567" w:hanging="567"/>
        <w:rPr>
          <w:rFonts w:ascii="Calibri Light" w:hAnsi="Calibri Light" w:cs="Arial"/>
          <w:sz w:val="18"/>
          <w:szCs w:val="18"/>
        </w:rPr>
      </w:pPr>
      <w:r w:rsidRPr="00137144">
        <w:rPr>
          <w:rStyle w:val="FootnoteReference"/>
          <w:rFonts w:ascii="Calibri Light" w:eastAsiaTheme="majorEastAsia" w:hAnsi="Calibri Light" w:cs="Arial"/>
          <w:sz w:val="18"/>
          <w:szCs w:val="18"/>
        </w:rPr>
        <w:footnoteRef/>
      </w:r>
      <w:r w:rsidRPr="00137144">
        <w:rPr>
          <w:rFonts w:ascii="Calibri Light" w:hAnsi="Calibri Light" w:cs="Arial"/>
          <w:sz w:val="18"/>
          <w:szCs w:val="18"/>
        </w:rPr>
        <w:t xml:space="preserve"> </w:t>
      </w:r>
      <w:r w:rsidRPr="00137144">
        <w:rPr>
          <w:rFonts w:ascii="Calibri Light" w:hAnsi="Calibri Light" w:cs="Arial"/>
          <w:sz w:val="18"/>
          <w:szCs w:val="18"/>
        </w:rPr>
        <w:tab/>
      </w:r>
      <w:r w:rsidRPr="00137144">
        <w:rPr>
          <w:rFonts w:ascii="Calibri Light" w:hAnsi="Calibri Light" w:cs="Arial"/>
          <w:i/>
          <w:iCs/>
          <w:sz w:val="18"/>
          <w:szCs w:val="18"/>
        </w:rPr>
        <w:t>Constitution Act 1975</w:t>
      </w:r>
      <w:r w:rsidRPr="00137144">
        <w:rPr>
          <w:rFonts w:ascii="Calibri Light" w:hAnsi="Calibri Light" w:cs="Arial"/>
          <w:sz w:val="18"/>
          <w:szCs w:val="18"/>
        </w:rPr>
        <w:t xml:space="preserve"> (Vic) section 87AAM-87AAO.</w:t>
      </w:r>
    </w:p>
  </w:footnote>
  <w:footnote w:id="49">
    <w:p w14:paraId="140C42B8" w14:textId="77777777" w:rsidR="009D1EFA" w:rsidRPr="00137144" w:rsidRDefault="009D1EFA" w:rsidP="009D1EFA">
      <w:pPr>
        <w:pStyle w:val="FootnoteText"/>
        <w:ind w:left="567" w:hanging="567"/>
        <w:rPr>
          <w:rFonts w:ascii="Calibri Light" w:hAnsi="Calibri Light" w:cs="Arial"/>
          <w:sz w:val="18"/>
          <w:szCs w:val="18"/>
        </w:rPr>
      </w:pPr>
      <w:r w:rsidRPr="00137144">
        <w:rPr>
          <w:rStyle w:val="FootnoteReference"/>
          <w:rFonts w:ascii="Calibri Light" w:eastAsiaTheme="majorEastAsia" w:hAnsi="Calibri Light" w:cs="Arial"/>
          <w:sz w:val="18"/>
          <w:szCs w:val="18"/>
        </w:rPr>
        <w:footnoteRef/>
      </w:r>
      <w:r w:rsidRPr="00137144">
        <w:rPr>
          <w:rFonts w:ascii="Calibri Light" w:hAnsi="Calibri Light" w:cs="Arial"/>
          <w:sz w:val="18"/>
          <w:szCs w:val="18"/>
        </w:rPr>
        <w:t xml:space="preserve"> </w:t>
      </w:r>
      <w:r w:rsidRPr="00137144">
        <w:rPr>
          <w:rFonts w:ascii="Calibri Light" w:hAnsi="Calibri Light" w:cs="Arial"/>
          <w:sz w:val="18"/>
          <w:szCs w:val="18"/>
        </w:rPr>
        <w:tab/>
      </w:r>
      <w:r w:rsidRPr="00137144">
        <w:rPr>
          <w:rFonts w:ascii="Calibri Light" w:hAnsi="Calibri Light" w:cs="Arial"/>
          <w:i/>
          <w:iCs/>
          <w:sz w:val="18"/>
          <w:szCs w:val="18"/>
        </w:rPr>
        <w:t xml:space="preserve">Judicial Commission of Victoria Act 2016 </w:t>
      </w:r>
      <w:r w:rsidRPr="00137144">
        <w:rPr>
          <w:rFonts w:ascii="Calibri Light" w:hAnsi="Calibri Light" w:cs="Arial"/>
          <w:sz w:val="18"/>
          <w:szCs w:val="18"/>
        </w:rPr>
        <w:t>(Vic), section 115.</w:t>
      </w:r>
    </w:p>
  </w:footnote>
  <w:footnote w:id="50">
    <w:p w14:paraId="35684437" w14:textId="77777777" w:rsidR="009D1EFA" w:rsidRPr="009D1EFA" w:rsidRDefault="009D1EFA" w:rsidP="009D1EFA">
      <w:pPr>
        <w:pStyle w:val="FootnoteText"/>
        <w:ind w:left="567" w:hanging="567"/>
        <w:rPr>
          <w:rFonts w:ascii="Calibri Light" w:hAnsi="Calibri Light" w:cs="Arial"/>
        </w:rPr>
      </w:pPr>
      <w:r w:rsidRPr="00137144">
        <w:rPr>
          <w:rStyle w:val="FootnoteReference"/>
          <w:rFonts w:ascii="Calibri Light" w:eastAsiaTheme="majorEastAsia" w:hAnsi="Calibri Light" w:cs="Arial"/>
          <w:sz w:val="18"/>
          <w:szCs w:val="18"/>
        </w:rPr>
        <w:footnoteRef/>
      </w:r>
      <w:r w:rsidRPr="00137144">
        <w:rPr>
          <w:rFonts w:ascii="Calibri Light" w:hAnsi="Calibri Light" w:cs="Arial"/>
          <w:sz w:val="18"/>
          <w:szCs w:val="18"/>
        </w:rPr>
        <w:t xml:space="preserve"> </w:t>
      </w:r>
      <w:r w:rsidRPr="00137144">
        <w:rPr>
          <w:rFonts w:ascii="Calibri Light" w:hAnsi="Calibri Light" w:cs="Arial"/>
          <w:color w:val="000000"/>
          <w:sz w:val="18"/>
          <w:szCs w:val="18"/>
          <w:shd w:val="clear" w:color="auto" w:fill="FFFFFF"/>
        </w:rPr>
        <w:t> </w:t>
      </w:r>
      <w:r w:rsidRPr="00137144">
        <w:rPr>
          <w:rFonts w:ascii="Calibri Light" w:hAnsi="Calibri Light" w:cs="Arial"/>
          <w:color w:val="000000"/>
          <w:sz w:val="18"/>
          <w:szCs w:val="18"/>
          <w:shd w:val="clear" w:color="auto" w:fill="FFFFFF"/>
        </w:rPr>
        <w:tab/>
        <w:t>Charles Gardner Geyh, ‘Informal Methods of Judicial Discipline’ </w:t>
      </w:r>
      <w:hyperlink r:id="rId3" w:tooltip="View LawCiteRecord" w:history="1">
        <w:r w:rsidRPr="00137144">
          <w:rPr>
            <w:rStyle w:val="Hyperlink"/>
            <w:rFonts w:ascii="Calibri Light" w:hAnsi="Calibri Light" w:cs="Arial"/>
            <w:sz w:val="18"/>
            <w:szCs w:val="18"/>
            <w:shd w:val="clear" w:color="auto" w:fill="FFFFFF"/>
          </w:rPr>
          <w:t>(1993) 142 </w:t>
        </w:r>
        <w:r w:rsidRPr="00137144">
          <w:rPr>
            <w:rStyle w:val="Hyperlink"/>
            <w:rFonts w:ascii="Calibri Light" w:hAnsi="Calibri Light" w:cs="Arial"/>
            <w:i/>
            <w:iCs/>
            <w:sz w:val="18"/>
            <w:szCs w:val="18"/>
            <w:shd w:val="clear" w:color="auto" w:fill="FFFFFF"/>
          </w:rPr>
          <w:t>University of Pennsylvania Law Review</w:t>
        </w:r>
        <w:r w:rsidRPr="00137144">
          <w:rPr>
            <w:rStyle w:val="Hyperlink"/>
            <w:rFonts w:ascii="Calibri Light" w:hAnsi="Calibri Light" w:cs="Arial"/>
            <w:sz w:val="18"/>
            <w:szCs w:val="18"/>
            <w:shd w:val="clear" w:color="auto" w:fill="FFFFFF"/>
          </w:rPr>
          <w:t> 243</w:t>
        </w:r>
      </w:hyperlink>
      <w:r w:rsidRPr="00137144">
        <w:rPr>
          <w:rFonts w:ascii="Calibri Light" w:hAnsi="Calibri Light" w:cs="Arial"/>
          <w:color w:val="000000"/>
          <w:sz w:val="18"/>
          <w:szCs w:val="18"/>
          <w:shd w:val="clear" w:color="auto" w:fill="FFFFFF"/>
        </w:rPr>
        <w:t>, 310</w:t>
      </w:r>
    </w:p>
  </w:footnote>
  <w:footnote w:id="51">
    <w:p w14:paraId="7C0DD4BC" w14:textId="77777777" w:rsidR="009D1EFA" w:rsidRPr="009D1EFA" w:rsidRDefault="009D1EFA" w:rsidP="009D1EFA">
      <w:pPr>
        <w:pStyle w:val="FootnoteText"/>
        <w:ind w:left="567" w:hanging="567"/>
        <w:rPr>
          <w:rFonts w:ascii="Calibri Light" w:hAnsi="Calibri Light" w:cs="Arial"/>
        </w:rPr>
      </w:pPr>
      <w:r w:rsidRPr="009D1EFA">
        <w:rPr>
          <w:rStyle w:val="FootnoteReference"/>
          <w:rFonts w:ascii="Calibri Light" w:eastAsiaTheme="majorEastAsia" w:hAnsi="Calibri Light" w:cs="Arial"/>
        </w:rPr>
        <w:footnoteRef/>
      </w:r>
      <w:r w:rsidRPr="009D1EFA">
        <w:rPr>
          <w:rFonts w:ascii="Calibri Light" w:hAnsi="Calibri Light" w:cs="Arial"/>
        </w:rPr>
        <w:t xml:space="preserve"> </w:t>
      </w:r>
      <w:r w:rsidRPr="009D1EFA">
        <w:rPr>
          <w:rFonts w:ascii="Calibri Light" w:hAnsi="Calibri Light" w:cs="Arial"/>
          <w:i/>
          <w:iCs/>
        </w:rPr>
        <w:t>O’Shane v Harbour Radio Pty Ltd</w:t>
      </w:r>
      <w:r w:rsidRPr="009D1EFA">
        <w:rPr>
          <w:rFonts w:ascii="Calibri Light" w:hAnsi="Calibri Light" w:cs="Arial"/>
        </w:rPr>
        <w:t xml:space="preserve"> (2013) 85 NSWLR 698.</w:t>
      </w:r>
    </w:p>
  </w:footnote>
  <w:footnote w:id="52">
    <w:p w14:paraId="39A71992" w14:textId="77777777" w:rsidR="009D1EFA" w:rsidRPr="004D67D1" w:rsidRDefault="009D1EFA" w:rsidP="009D1EFA">
      <w:pPr>
        <w:pStyle w:val="FootnoteText"/>
        <w:ind w:left="567" w:hanging="567"/>
        <w:rPr>
          <w:rFonts w:ascii="Calibri Light" w:hAnsi="Calibri Light" w:cs="Arial"/>
          <w:sz w:val="18"/>
          <w:szCs w:val="18"/>
        </w:rPr>
      </w:pPr>
      <w:r w:rsidRPr="004D67D1">
        <w:rPr>
          <w:rStyle w:val="FootnoteReference"/>
          <w:rFonts w:ascii="Calibri Light" w:eastAsiaTheme="majorEastAsia" w:hAnsi="Calibri Light" w:cs="Arial"/>
          <w:sz w:val="18"/>
          <w:szCs w:val="18"/>
        </w:rPr>
        <w:footnoteRef/>
      </w:r>
      <w:r w:rsidRPr="004D67D1">
        <w:rPr>
          <w:rFonts w:ascii="Calibri Light" w:hAnsi="Calibri Light" w:cs="Arial"/>
          <w:sz w:val="18"/>
          <w:szCs w:val="18"/>
        </w:rPr>
        <w:t xml:space="preserve"> </w:t>
      </w:r>
      <w:r w:rsidRPr="004D67D1">
        <w:rPr>
          <w:rFonts w:ascii="Calibri Light" w:hAnsi="Calibri Light" w:cs="Arial"/>
          <w:i/>
          <w:iCs/>
          <w:sz w:val="18"/>
          <w:szCs w:val="18"/>
        </w:rPr>
        <w:t>Luck v University of Southern Queensland</w:t>
      </w:r>
      <w:r w:rsidRPr="004D67D1">
        <w:rPr>
          <w:rFonts w:ascii="Calibri Light" w:hAnsi="Calibri Light" w:cs="Arial"/>
          <w:sz w:val="18"/>
          <w:szCs w:val="18"/>
        </w:rPr>
        <w:t xml:space="preserve"> [2014] FCAFC 135 at [41] per Murphy, Pagone and Perry JJ citing </w:t>
      </w:r>
      <w:r w:rsidRPr="004D67D1">
        <w:rPr>
          <w:rFonts w:ascii="Calibri Light" w:hAnsi="Calibri Light" w:cs="Arial"/>
          <w:i/>
          <w:iCs/>
          <w:sz w:val="18"/>
          <w:szCs w:val="18"/>
        </w:rPr>
        <w:t>Fingleton v The Queen</w:t>
      </w:r>
      <w:r w:rsidRPr="004D67D1">
        <w:rPr>
          <w:rFonts w:ascii="Calibri Light" w:hAnsi="Calibri Light" w:cs="Arial"/>
          <w:sz w:val="18"/>
          <w:szCs w:val="18"/>
        </w:rPr>
        <w:t xml:space="preserve"> (2005) 227 CLR 166 at [36]-[39] per Gleeson CJ citing </w:t>
      </w:r>
      <w:r w:rsidRPr="004D67D1">
        <w:rPr>
          <w:rFonts w:ascii="Calibri Light" w:hAnsi="Calibri Light" w:cs="Arial"/>
          <w:i/>
          <w:iCs/>
          <w:sz w:val="18"/>
          <w:szCs w:val="18"/>
        </w:rPr>
        <w:t>Sirros v Moore</w:t>
      </w:r>
      <w:r w:rsidRPr="004D67D1">
        <w:rPr>
          <w:rFonts w:ascii="Calibri Light" w:hAnsi="Calibri Light" w:cs="Arial"/>
          <w:sz w:val="18"/>
          <w:szCs w:val="18"/>
        </w:rPr>
        <w:t xml:space="preserve"> [1975] QB 118 at [132] per Lord Denning MR; </w:t>
      </w:r>
      <w:r w:rsidRPr="004D67D1">
        <w:rPr>
          <w:rFonts w:ascii="Calibri Light" w:hAnsi="Calibri Light" w:cs="Arial"/>
          <w:i/>
          <w:iCs/>
          <w:sz w:val="18"/>
          <w:szCs w:val="18"/>
        </w:rPr>
        <w:t>Yeldham v Rajski</w:t>
      </w:r>
      <w:r w:rsidRPr="004D67D1">
        <w:rPr>
          <w:rFonts w:ascii="Calibri Light" w:hAnsi="Calibri Light" w:cs="Arial"/>
          <w:sz w:val="18"/>
          <w:szCs w:val="18"/>
        </w:rPr>
        <w:t xml:space="preserve"> (1989) 18 NSWLR 48.</w:t>
      </w:r>
    </w:p>
  </w:footnote>
  <w:footnote w:id="53">
    <w:p w14:paraId="5A8CD7D2" w14:textId="77777777" w:rsidR="009D1EFA" w:rsidRPr="004D67D1" w:rsidRDefault="009D1EFA" w:rsidP="009D1EFA">
      <w:pPr>
        <w:pStyle w:val="FootnoteText"/>
        <w:ind w:left="567" w:hanging="567"/>
        <w:rPr>
          <w:rFonts w:ascii="Calibri Light" w:hAnsi="Calibri Light" w:cs="Arial"/>
          <w:sz w:val="18"/>
          <w:szCs w:val="18"/>
        </w:rPr>
      </w:pPr>
      <w:r w:rsidRPr="004D67D1">
        <w:rPr>
          <w:rStyle w:val="FootnoteReference"/>
          <w:rFonts w:ascii="Calibri Light" w:eastAsiaTheme="majorEastAsia" w:hAnsi="Calibri Light" w:cs="Arial"/>
          <w:sz w:val="18"/>
          <w:szCs w:val="18"/>
        </w:rPr>
        <w:footnoteRef/>
      </w:r>
      <w:r w:rsidRPr="004D67D1">
        <w:rPr>
          <w:rFonts w:ascii="Calibri Light" w:hAnsi="Calibri Light" w:cs="Arial"/>
          <w:sz w:val="18"/>
          <w:szCs w:val="18"/>
        </w:rPr>
        <w:t xml:space="preserve"> </w:t>
      </w:r>
      <w:r w:rsidRPr="004D67D1">
        <w:rPr>
          <w:rFonts w:ascii="Calibri Light" w:hAnsi="Calibri Light" w:cs="Arial"/>
          <w:i/>
          <w:iCs/>
          <w:sz w:val="18"/>
          <w:szCs w:val="18"/>
        </w:rPr>
        <w:t xml:space="preserve">Towie v State of Victoria </w:t>
      </w:r>
      <w:r w:rsidRPr="004D67D1">
        <w:rPr>
          <w:rFonts w:ascii="Calibri Light" w:hAnsi="Calibri Light" w:cs="Arial"/>
          <w:sz w:val="18"/>
          <w:szCs w:val="18"/>
        </w:rPr>
        <w:t>(2008) 19 VR 640 at 657 [64].</w:t>
      </w:r>
    </w:p>
  </w:footnote>
  <w:footnote w:id="54">
    <w:p w14:paraId="68406EB3" w14:textId="77777777" w:rsidR="009D1EFA" w:rsidRPr="004D67D1" w:rsidRDefault="009D1EFA" w:rsidP="009D1EFA">
      <w:pPr>
        <w:pStyle w:val="FootnoteText"/>
        <w:ind w:left="567" w:hanging="567"/>
        <w:rPr>
          <w:rFonts w:ascii="Calibri Light" w:hAnsi="Calibri Light" w:cs="Arial"/>
          <w:sz w:val="18"/>
          <w:szCs w:val="18"/>
        </w:rPr>
      </w:pPr>
      <w:r w:rsidRPr="004D67D1">
        <w:rPr>
          <w:rStyle w:val="FootnoteReference"/>
          <w:rFonts w:ascii="Calibri Light" w:eastAsiaTheme="majorEastAsia" w:hAnsi="Calibri Light" w:cs="Arial"/>
          <w:sz w:val="18"/>
          <w:szCs w:val="18"/>
        </w:rPr>
        <w:footnoteRef/>
      </w:r>
      <w:r w:rsidRPr="004D67D1">
        <w:rPr>
          <w:rFonts w:ascii="Calibri Light" w:hAnsi="Calibri Light" w:cs="Arial"/>
          <w:sz w:val="18"/>
          <w:szCs w:val="18"/>
        </w:rPr>
        <w:t xml:space="preserve"> </w:t>
      </w:r>
      <w:r w:rsidRPr="004D67D1">
        <w:rPr>
          <w:rFonts w:ascii="Calibri Light" w:hAnsi="Calibri Light" w:cs="Arial"/>
          <w:i/>
          <w:iCs/>
          <w:sz w:val="18"/>
          <w:szCs w:val="18"/>
        </w:rPr>
        <w:t xml:space="preserve">Towie v State of Victoria </w:t>
      </w:r>
      <w:r w:rsidRPr="004D67D1">
        <w:rPr>
          <w:rFonts w:ascii="Calibri Light" w:hAnsi="Calibri Light" w:cs="Arial"/>
          <w:sz w:val="18"/>
          <w:szCs w:val="18"/>
        </w:rPr>
        <w:t>(2008) 19 VR 640 at 656 [60] and 658 [71].</w:t>
      </w:r>
    </w:p>
  </w:footnote>
  <w:footnote w:id="55">
    <w:p w14:paraId="0AE3B9F3" w14:textId="77777777" w:rsidR="009D1EFA" w:rsidRPr="009D1EFA" w:rsidRDefault="009D1EFA" w:rsidP="009D1EFA">
      <w:pPr>
        <w:pStyle w:val="FootnoteText"/>
        <w:ind w:left="567" w:hanging="567"/>
        <w:rPr>
          <w:rFonts w:ascii="Calibri Light" w:hAnsi="Calibri Light" w:cs="Arial"/>
        </w:rPr>
      </w:pPr>
      <w:r w:rsidRPr="004D67D1">
        <w:rPr>
          <w:rStyle w:val="FootnoteReference"/>
          <w:rFonts w:ascii="Calibri Light" w:eastAsiaTheme="majorEastAsia" w:hAnsi="Calibri Light" w:cs="Arial"/>
          <w:sz w:val="18"/>
          <w:szCs w:val="18"/>
        </w:rPr>
        <w:footnoteRef/>
      </w:r>
      <w:r w:rsidRPr="004D67D1">
        <w:rPr>
          <w:rFonts w:ascii="Calibri Light" w:hAnsi="Calibri Light" w:cs="Arial"/>
          <w:sz w:val="18"/>
          <w:szCs w:val="18"/>
        </w:rPr>
        <w:t xml:space="preserve"> </w:t>
      </w:r>
      <w:r w:rsidRPr="004D67D1">
        <w:rPr>
          <w:rFonts w:ascii="Calibri Light" w:hAnsi="Calibri Light" w:cs="Arial"/>
          <w:i/>
          <w:iCs/>
          <w:sz w:val="18"/>
          <w:szCs w:val="18"/>
        </w:rPr>
        <w:t xml:space="preserve">Winters v Fogarty </w:t>
      </w:r>
      <w:r w:rsidRPr="004D67D1">
        <w:rPr>
          <w:rFonts w:ascii="Calibri Light" w:hAnsi="Calibri Light" w:cs="Arial"/>
          <w:sz w:val="18"/>
          <w:szCs w:val="18"/>
        </w:rPr>
        <w:t xml:space="preserve">[2017] FCA 51 at [107] per Bromberg J; </w:t>
      </w:r>
      <w:r w:rsidRPr="004D67D1">
        <w:rPr>
          <w:rFonts w:ascii="Calibri Light" w:hAnsi="Calibri Light" w:cs="Arial"/>
          <w:i/>
          <w:iCs/>
          <w:sz w:val="18"/>
          <w:szCs w:val="18"/>
        </w:rPr>
        <w:t xml:space="preserve">Towie v State of Victoria </w:t>
      </w:r>
      <w:r w:rsidRPr="004D67D1">
        <w:rPr>
          <w:rFonts w:ascii="Calibri Light" w:hAnsi="Calibri Light" w:cs="Arial"/>
          <w:sz w:val="18"/>
          <w:szCs w:val="18"/>
        </w:rPr>
        <w:t>(2008) 19 VR 640 at 656 [62].</w:t>
      </w:r>
      <w:r w:rsidRPr="009D1EFA">
        <w:rPr>
          <w:rFonts w:ascii="Calibri Light" w:hAnsi="Calibri Light"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3EAE" w14:textId="03281384" w:rsidR="00E43198" w:rsidRDefault="00135FAD" w:rsidP="00CE6AD5">
    <w:pPr>
      <w:pStyle w:val="Header"/>
      <w:tabs>
        <w:tab w:val="clear" w:pos="4320"/>
        <w:tab w:val="clear" w:pos="8640"/>
        <w:tab w:val="left" w:pos="6480"/>
      </w:tabs>
      <w:ind w:firstLine="360"/>
    </w:pPr>
    <w:r>
      <w:rPr>
        <w:noProof/>
        <w:lang w:val="en-US"/>
      </w:rPr>
      <w:drawing>
        <wp:anchor distT="0" distB="0" distL="114300" distR="114300" simplePos="0" relativeHeight="251659264" behindDoc="1" locked="0" layoutInCell="1" allowOverlap="1" wp14:anchorId="13993A5C" wp14:editId="4E4B9AAB">
          <wp:simplePos x="0" y="0"/>
          <wp:positionH relativeFrom="page">
            <wp:posOffset>-9208</wp:posOffset>
          </wp:positionH>
          <wp:positionV relativeFrom="page">
            <wp:posOffset>788</wp:posOffset>
          </wp:positionV>
          <wp:extent cx="7555211" cy="10678878"/>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7555211" cy="10678878"/>
                  </a:xfrm>
                  <a:prstGeom prst="rect">
                    <a:avLst/>
                  </a:prstGeom>
                </pic:spPr>
              </pic:pic>
            </a:graphicData>
          </a:graphic>
          <wp14:sizeRelV relativeFrom="margin">
            <wp14:pctHeight>0</wp14:pctHeight>
          </wp14:sizeRelV>
        </wp:anchor>
      </w:drawing>
    </w:r>
    <w:r w:rsidR="00E431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789"/>
    <w:multiLevelType w:val="hybridMultilevel"/>
    <w:tmpl w:val="8CC60EC2"/>
    <w:lvl w:ilvl="0" w:tplc="04090001">
      <w:start w:val="1"/>
      <w:numFmt w:val="bullet"/>
      <w:lvlText w:val=""/>
      <w:lvlJc w:val="left"/>
      <w:pPr>
        <w:ind w:left="7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E915C5"/>
    <w:multiLevelType w:val="hybridMultilevel"/>
    <w:tmpl w:val="E254332E"/>
    <w:lvl w:ilvl="0" w:tplc="0C090011">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7614DC"/>
    <w:multiLevelType w:val="hybridMultilevel"/>
    <w:tmpl w:val="C35072EA"/>
    <w:lvl w:ilvl="0" w:tplc="0C090019">
      <w:start w:val="1"/>
      <w:numFmt w:val="lowerLetter"/>
      <w:pStyle w:val="ListNumb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31F5B45"/>
    <w:multiLevelType w:val="hybridMultilevel"/>
    <w:tmpl w:val="588A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4B41AC7"/>
    <w:multiLevelType w:val="hybridMultilevel"/>
    <w:tmpl w:val="483EFAF2"/>
    <w:lvl w:ilvl="0" w:tplc="0C09000F">
      <w:start w:val="1"/>
      <w:numFmt w:val="decimal"/>
      <w:lvlText w:val="%1."/>
      <w:lvlJc w:val="left"/>
      <w:pPr>
        <w:ind w:left="1080" w:hanging="360"/>
      </w:pPr>
      <w:rPr>
        <w:rFonts w:hint="default"/>
      </w:rPr>
    </w:lvl>
    <w:lvl w:ilvl="1" w:tplc="57F83338">
      <w:start w:val="1"/>
      <w:numFmt w:val="lowerLetter"/>
      <w:lvlText w:val="%2."/>
      <w:lvlJc w:val="left"/>
      <w:pPr>
        <w:ind w:left="1800" w:hanging="360"/>
      </w:pPr>
      <w:rPr>
        <w:b w:val="0"/>
        <w:bCs w:val="0"/>
      </w:rPr>
    </w:lvl>
    <w:lvl w:ilvl="2" w:tplc="CA747D1C">
      <w:start w:val="1"/>
      <w:numFmt w:val="lowerRoman"/>
      <w:lvlText w:val="%3."/>
      <w:lvlJc w:val="right"/>
      <w:pPr>
        <w:ind w:left="2520" w:hanging="180"/>
      </w:pPr>
      <w:rPr>
        <w:b w:val="0"/>
        <w:bCs w:val="0"/>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5E43144"/>
    <w:multiLevelType w:val="hybridMultilevel"/>
    <w:tmpl w:val="6E4C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EE6923"/>
    <w:multiLevelType w:val="hybridMultilevel"/>
    <w:tmpl w:val="8392FE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83C17EE"/>
    <w:multiLevelType w:val="hybridMultilevel"/>
    <w:tmpl w:val="D606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887A78"/>
    <w:multiLevelType w:val="hybridMultilevel"/>
    <w:tmpl w:val="BCD49AD6"/>
    <w:lvl w:ilvl="0" w:tplc="0C090001">
      <w:start w:val="1"/>
      <w:numFmt w:val="bullet"/>
      <w:lvlText w:val=""/>
      <w:lvlJc w:val="left"/>
      <w:pPr>
        <w:ind w:left="765" w:hanging="360"/>
      </w:pPr>
      <w:rPr>
        <w:rFonts w:ascii="Symbol" w:hAnsi="Symbol" w:hint="default"/>
      </w:rPr>
    </w:lvl>
    <w:lvl w:ilvl="1" w:tplc="5AB06418">
      <w:numFmt w:val="bullet"/>
      <w:lvlText w:val="•"/>
      <w:lvlJc w:val="left"/>
      <w:pPr>
        <w:ind w:left="1485" w:hanging="360"/>
      </w:pPr>
      <w:rPr>
        <w:rFonts w:ascii="Calibri Light" w:eastAsiaTheme="majorEastAsia" w:hAnsi="Calibri Light" w:cs="Calibri Light"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09B359F5"/>
    <w:multiLevelType w:val="hybridMultilevel"/>
    <w:tmpl w:val="B546EE2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0A49539A"/>
    <w:multiLevelType w:val="hybridMultilevel"/>
    <w:tmpl w:val="F324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E24251"/>
    <w:multiLevelType w:val="hybridMultilevel"/>
    <w:tmpl w:val="E5E40200"/>
    <w:lvl w:ilvl="0" w:tplc="24DE9A26">
      <w:start w:val="1"/>
      <w:numFmt w:val="decimal"/>
      <w:lvlText w:val="%1."/>
      <w:lvlJc w:val="left"/>
      <w:pPr>
        <w:ind w:left="1080" w:hanging="360"/>
      </w:pPr>
      <w:rPr>
        <w:b w:val="0"/>
        <w:bCs/>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0BCA7FFB"/>
    <w:multiLevelType w:val="hybridMultilevel"/>
    <w:tmpl w:val="3C0E3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0C7C3358"/>
    <w:multiLevelType w:val="hybridMultilevel"/>
    <w:tmpl w:val="825C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7A2F0F"/>
    <w:multiLevelType w:val="hybridMultilevel"/>
    <w:tmpl w:val="7A348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DED6DE3"/>
    <w:multiLevelType w:val="hybridMultilevel"/>
    <w:tmpl w:val="BD9E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FE6E94"/>
    <w:multiLevelType w:val="hybridMultilevel"/>
    <w:tmpl w:val="0FD00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0E1D1CAC"/>
    <w:multiLevelType w:val="hybridMultilevel"/>
    <w:tmpl w:val="2C588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0EAA3D70"/>
    <w:multiLevelType w:val="hybridMultilevel"/>
    <w:tmpl w:val="7194D922"/>
    <w:lvl w:ilvl="0" w:tplc="57F83338">
      <w:start w:val="1"/>
      <w:numFmt w:val="lowerLetter"/>
      <w:lvlText w:val="%1."/>
      <w:lvlJc w:val="left"/>
      <w:pPr>
        <w:ind w:left="180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FFB3D0B"/>
    <w:multiLevelType w:val="hybridMultilevel"/>
    <w:tmpl w:val="06F8C764"/>
    <w:lvl w:ilvl="0" w:tplc="51B6041C">
      <w:start w:val="1"/>
      <w:numFmt w:val="bullet"/>
      <w:lvlText w:val=""/>
      <w:lvlJc w:val="left"/>
      <w:pPr>
        <w:ind w:left="1797" w:hanging="360"/>
      </w:pPr>
      <w:rPr>
        <w:rFonts w:ascii="Symbol" w:hAnsi="Symbol" w:hint="default"/>
      </w:rPr>
    </w:lvl>
    <w:lvl w:ilvl="1" w:tplc="04100003">
      <w:start w:val="1"/>
      <w:numFmt w:val="bullet"/>
      <w:lvlText w:val="o"/>
      <w:lvlJc w:val="left"/>
      <w:pPr>
        <w:ind w:left="2517" w:hanging="360"/>
      </w:pPr>
      <w:rPr>
        <w:rFonts w:ascii="Courier New" w:hAnsi="Courier New" w:cs="Courier New" w:hint="default"/>
      </w:rPr>
    </w:lvl>
    <w:lvl w:ilvl="2" w:tplc="04100005">
      <w:start w:val="1"/>
      <w:numFmt w:val="bullet"/>
      <w:lvlText w:val=""/>
      <w:lvlJc w:val="left"/>
      <w:pPr>
        <w:ind w:left="3237" w:hanging="360"/>
      </w:pPr>
      <w:rPr>
        <w:rFonts w:ascii="Wingdings" w:hAnsi="Wingdings" w:hint="default"/>
      </w:rPr>
    </w:lvl>
    <w:lvl w:ilvl="3" w:tplc="04100001">
      <w:start w:val="1"/>
      <w:numFmt w:val="bullet"/>
      <w:lvlText w:val=""/>
      <w:lvlJc w:val="left"/>
      <w:pPr>
        <w:ind w:left="3957" w:hanging="360"/>
      </w:pPr>
      <w:rPr>
        <w:rFonts w:ascii="Symbol" w:hAnsi="Symbol" w:hint="default"/>
      </w:rPr>
    </w:lvl>
    <w:lvl w:ilvl="4" w:tplc="04100003">
      <w:start w:val="1"/>
      <w:numFmt w:val="bullet"/>
      <w:lvlText w:val="o"/>
      <w:lvlJc w:val="left"/>
      <w:pPr>
        <w:ind w:left="4677" w:hanging="360"/>
      </w:pPr>
      <w:rPr>
        <w:rFonts w:ascii="Courier New" w:hAnsi="Courier New" w:cs="Courier New" w:hint="default"/>
      </w:rPr>
    </w:lvl>
    <w:lvl w:ilvl="5" w:tplc="04100005">
      <w:start w:val="1"/>
      <w:numFmt w:val="bullet"/>
      <w:lvlText w:val=""/>
      <w:lvlJc w:val="left"/>
      <w:pPr>
        <w:ind w:left="5397" w:hanging="360"/>
      </w:pPr>
      <w:rPr>
        <w:rFonts w:ascii="Wingdings" w:hAnsi="Wingdings" w:hint="default"/>
      </w:rPr>
    </w:lvl>
    <w:lvl w:ilvl="6" w:tplc="04100001">
      <w:start w:val="1"/>
      <w:numFmt w:val="bullet"/>
      <w:lvlText w:val=""/>
      <w:lvlJc w:val="left"/>
      <w:pPr>
        <w:ind w:left="6117" w:hanging="360"/>
      </w:pPr>
      <w:rPr>
        <w:rFonts w:ascii="Symbol" w:hAnsi="Symbol" w:hint="default"/>
      </w:rPr>
    </w:lvl>
    <w:lvl w:ilvl="7" w:tplc="04100003">
      <w:start w:val="1"/>
      <w:numFmt w:val="bullet"/>
      <w:lvlText w:val="o"/>
      <w:lvlJc w:val="left"/>
      <w:pPr>
        <w:ind w:left="6837" w:hanging="360"/>
      </w:pPr>
      <w:rPr>
        <w:rFonts w:ascii="Courier New" w:hAnsi="Courier New" w:cs="Courier New" w:hint="default"/>
      </w:rPr>
    </w:lvl>
    <w:lvl w:ilvl="8" w:tplc="04100005">
      <w:start w:val="1"/>
      <w:numFmt w:val="bullet"/>
      <w:lvlText w:val=""/>
      <w:lvlJc w:val="left"/>
      <w:pPr>
        <w:ind w:left="7557" w:hanging="360"/>
      </w:pPr>
      <w:rPr>
        <w:rFonts w:ascii="Wingdings" w:hAnsi="Wingdings" w:hint="default"/>
      </w:rPr>
    </w:lvl>
  </w:abstractNum>
  <w:abstractNum w:abstractNumId="20" w15:restartNumberingAfterBreak="0">
    <w:nsid w:val="10B51B29"/>
    <w:multiLevelType w:val="hybridMultilevel"/>
    <w:tmpl w:val="4DECB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0DE4E9D"/>
    <w:multiLevelType w:val="hybridMultilevel"/>
    <w:tmpl w:val="39F86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55A3FDF"/>
    <w:multiLevelType w:val="hybridMultilevel"/>
    <w:tmpl w:val="0E74E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17054056"/>
    <w:multiLevelType w:val="hybridMultilevel"/>
    <w:tmpl w:val="BA88709C"/>
    <w:lvl w:ilvl="0" w:tplc="C2C238DC">
      <w:start w:val="20"/>
      <w:numFmt w:val="bullet"/>
      <w:lvlText w:val="-"/>
      <w:lvlJc w:val="left"/>
      <w:pPr>
        <w:ind w:left="1146" w:hanging="360"/>
      </w:pPr>
      <w:rPr>
        <w:rFonts w:ascii="Calibri" w:eastAsiaTheme="minorHAnsi"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184B1C19"/>
    <w:multiLevelType w:val="hybridMultilevel"/>
    <w:tmpl w:val="34CCD0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1C2C0BE3"/>
    <w:multiLevelType w:val="hybridMultilevel"/>
    <w:tmpl w:val="84E0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CE95734"/>
    <w:multiLevelType w:val="hybridMultilevel"/>
    <w:tmpl w:val="3DAC7EBA"/>
    <w:lvl w:ilvl="0" w:tplc="0C09000F">
      <w:start w:val="1"/>
      <w:numFmt w:val="decimal"/>
      <w:lvlText w:val="%1."/>
      <w:lvlJc w:val="left"/>
      <w:pPr>
        <w:ind w:left="1080" w:hanging="360"/>
      </w:pPr>
      <w:rPr>
        <w:rFonts w:hint="default"/>
      </w:rPr>
    </w:lvl>
    <w:lvl w:ilvl="1" w:tplc="57F83338">
      <w:start w:val="1"/>
      <w:numFmt w:val="lowerLetter"/>
      <w:lvlText w:val="%2."/>
      <w:lvlJc w:val="left"/>
      <w:pPr>
        <w:ind w:left="1800" w:hanging="360"/>
      </w:pPr>
      <w:rPr>
        <w:b w:val="0"/>
        <w:bCs w:val="0"/>
      </w:rPr>
    </w:lvl>
    <w:lvl w:ilvl="2" w:tplc="CA747D1C">
      <w:start w:val="1"/>
      <w:numFmt w:val="lowerRoman"/>
      <w:lvlText w:val="%3."/>
      <w:lvlJc w:val="right"/>
      <w:pPr>
        <w:ind w:left="2520" w:hanging="180"/>
      </w:pPr>
      <w:rPr>
        <w:b w:val="0"/>
        <w:bCs w:val="0"/>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1FB21959"/>
    <w:multiLevelType w:val="hybridMultilevel"/>
    <w:tmpl w:val="40347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FFC382A"/>
    <w:multiLevelType w:val="hybridMultilevel"/>
    <w:tmpl w:val="B570F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0B0CF4"/>
    <w:multiLevelType w:val="hybridMultilevel"/>
    <w:tmpl w:val="7A880F8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483A633C">
      <w:start w:val="1"/>
      <w:numFmt w:val="decimal"/>
      <w:lvlText w:val="%3."/>
      <w:lvlJc w:val="left"/>
      <w:pPr>
        <w:ind w:left="2340" w:hanging="360"/>
      </w:pPr>
      <w:rPr>
        <w:rFonts w:hint="default"/>
      </w:rPr>
    </w:lvl>
    <w:lvl w:ilvl="3" w:tplc="FC38974C">
      <w:numFmt w:val="bullet"/>
      <w:lvlText w:val="•"/>
      <w:lvlJc w:val="left"/>
      <w:pPr>
        <w:ind w:left="2880" w:hanging="360"/>
      </w:pPr>
      <w:rPr>
        <w:rFonts w:ascii="Calibri" w:eastAsiaTheme="minorHAnsi" w:hAnsi="Calibri" w:cs="Calibr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03B3446"/>
    <w:multiLevelType w:val="hybridMultilevel"/>
    <w:tmpl w:val="43CC5484"/>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1" w15:restartNumberingAfterBreak="0">
    <w:nsid w:val="20B33786"/>
    <w:multiLevelType w:val="hybridMultilevel"/>
    <w:tmpl w:val="0C7C473C"/>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21BC68F2"/>
    <w:multiLevelType w:val="hybridMultilevel"/>
    <w:tmpl w:val="D1F64D06"/>
    <w:lvl w:ilvl="0" w:tplc="0C090001">
      <w:start w:val="1"/>
      <w:numFmt w:val="bullet"/>
      <w:lvlText w:val=""/>
      <w:lvlJc w:val="left"/>
      <w:pPr>
        <w:ind w:left="720" w:hanging="360"/>
      </w:pPr>
      <w:rPr>
        <w:rFonts w:ascii="Symbol" w:hAnsi="Symbol" w:hint="default"/>
      </w:rPr>
    </w:lvl>
    <w:lvl w:ilvl="1" w:tplc="2EDAC7F8">
      <w:start w:val="5"/>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1E11B9"/>
    <w:multiLevelType w:val="hybridMultilevel"/>
    <w:tmpl w:val="35A2F95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236B057E"/>
    <w:multiLevelType w:val="hybridMultilevel"/>
    <w:tmpl w:val="96FCC378"/>
    <w:lvl w:ilvl="0" w:tplc="C2526630">
      <w:start w:val="1"/>
      <w:numFmt w:val="decimal"/>
      <w:lvlText w:val="(%1)"/>
      <w:lvlJc w:val="left"/>
      <w:pPr>
        <w:ind w:left="1538" w:hanging="570"/>
      </w:pPr>
      <w:rPr>
        <w:rFonts w:hint="default"/>
      </w:rPr>
    </w:lvl>
    <w:lvl w:ilvl="1" w:tplc="0C090019" w:tentative="1">
      <w:start w:val="1"/>
      <w:numFmt w:val="lowerLetter"/>
      <w:lvlText w:val="%2."/>
      <w:lvlJc w:val="left"/>
      <w:pPr>
        <w:ind w:left="2048" w:hanging="360"/>
      </w:pPr>
    </w:lvl>
    <w:lvl w:ilvl="2" w:tplc="0C09001B" w:tentative="1">
      <w:start w:val="1"/>
      <w:numFmt w:val="lowerRoman"/>
      <w:lvlText w:val="%3."/>
      <w:lvlJc w:val="right"/>
      <w:pPr>
        <w:ind w:left="2768" w:hanging="180"/>
      </w:pPr>
    </w:lvl>
    <w:lvl w:ilvl="3" w:tplc="0C09000F" w:tentative="1">
      <w:start w:val="1"/>
      <w:numFmt w:val="decimal"/>
      <w:lvlText w:val="%4."/>
      <w:lvlJc w:val="left"/>
      <w:pPr>
        <w:ind w:left="3488" w:hanging="360"/>
      </w:pPr>
    </w:lvl>
    <w:lvl w:ilvl="4" w:tplc="0C090019" w:tentative="1">
      <w:start w:val="1"/>
      <w:numFmt w:val="lowerLetter"/>
      <w:lvlText w:val="%5."/>
      <w:lvlJc w:val="left"/>
      <w:pPr>
        <w:ind w:left="4208" w:hanging="360"/>
      </w:pPr>
    </w:lvl>
    <w:lvl w:ilvl="5" w:tplc="0C09001B" w:tentative="1">
      <w:start w:val="1"/>
      <w:numFmt w:val="lowerRoman"/>
      <w:lvlText w:val="%6."/>
      <w:lvlJc w:val="right"/>
      <w:pPr>
        <w:ind w:left="4928" w:hanging="180"/>
      </w:pPr>
    </w:lvl>
    <w:lvl w:ilvl="6" w:tplc="0C09000F" w:tentative="1">
      <w:start w:val="1"/>
      <w:numFmt w:val="decimal"/>
      <w:lvlText w:val="%7."/>
      <w:lvlJc w:val="left"/>
      <w:pPr>
        <w:ind w:left="5648" w:hanging="360"/>
      </w:pPr>
    </w:lvl>
    <w:lvl w:ilvl="7" w:tplc="0C090019" w:tentative="1">
      <w:start w:val="1"/>
      <w:numFmt w:val="lowerLetter"/>
      <w:lvlText w:val="%8."/>
      <w:lvlJc w:val="left"/>
      <w:pPr>
        <w:ind w:left="6368" w:hanging="360"/>
      </w:pPr>
    </w:lvl>
    <w:lvl w:ilvl="8" w:tplc="0C09001B" w:tentative="1">
      <w:start w:val="1"/>
      <w:numFmt w:val="lowerRoman"/>
      <w:lvlText w:val="%9."/>
      <w:lvlJc w:val="right"/>
      <w:pPr>
        <w:ind w:left="7088" w:hanging="180"/>
      </w:pPr>
    </w:lvl>
  </w:abstractNum>
  <w:abstractNum w:abstractNumId="35" w15:restartNumberingAfterBreak="0">
    <w:nsid w:val="25526185"/>
    <w:multiLevelType w:val="hybridMultilevel"/>
    <w:tmpl w:val="EDD22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25DA67CF"/>
    <w:multiLevelType w:val="hybridMultilevel"/>
    <w:tmpl w:val="70364C0A"/>
    <w:lvl w:ilvl="0" w:tplc="7C66CBC0">
      <w:start w:val="1"/>
      <w:numFmt w:val="decimal"/>
      <w:lvlText w:val="%1."/>
      <w:lvlJc w:val="left"/>
      <w:pPr>
        <w:ind w:left="1080" w:hanging="360"/>
      </w:pPr>
      <w:rPr>
        <w:rFonts w:ascii="Source Sans Pro" w:hAnsi="Source Sans Pro"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28E17002"/>
    <w:multiLevelType w:val="hybridMultilevel"/>
    <w:tmpl w:val="58D44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2A4A0406"/>
    <w:multiLevelType w:val="hybridMultilevel"/>
    <w:tmpl w:val="05EA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B19211E"/>
    <w:multiLevelType w:val="hybridMultilevel"/>
    <w:tmpl w:val="55D2D1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2BB324B2"/>
    <w:multiLevelType w:val="hybridMultilevel"/>
    <w:tmpl w:val="07D26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303B7F6C"/>
    <w:multiLevelType w:val="hybridMultilevel"/>
    <w:tmpl w:val="4CD01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322B49E6"/>
    <w:multiLevelType w:val="hybridMultilevel"/>
    <w:tmpl w:val="9682990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483A633C">
      <w:start w:val="1"/>
      <w:numFmt w:val="decimal"/>
      <w:lvlText w:val="%3."/>
      <w:lvlJc w:val="left"/>
      <w:pPr>
        <w:ind w:left="2340" w:hanging="360"/>
      </w:pPr>
      <w:rPr>
        <w:rFonts w:hint="default"/>
      </w:rPr>
    </w:lvl>
    <w:lvl w:ilvl="3" w:tplc="FC38974C">
      <w:numFmt w:val="bullet"/>
      <w:lvlText w:val="•"/>
      <w:lvlJc w:val="left"/>
      <w:pPr>
        <w:ind w:left="2880" w:hanging="360"/>
      </w:pPr>
      <w:rPr>
        <w:rFonts w:ascii="Calibri" w:eastAsiaTheme="minorHAnsi" w:hAnsi="Calibri" w:cs="Calibri"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43339CE"/>
    <w:multiLevelType w:val="hybridMultilevel"/>
    <w:tmpl w:val="9BBE3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3741EA"/>
    <w:multiLevelType w:val="hybridMultilevel"/>
    <w:tmpl w:val="AD46D690"/>
    <w:lvl w:ilvl="0" w:tplc="57F83338">
      <w:start w:val="1"/>
      <w:numFmt w:val="lowerLetter"/>
      <w:lvlText w:val="%1."/>
      <w:lvlJc w:val="left"/>
      <w:pPr>
        <w:ind w:left="360" w:hanging="360"/>
      </w:pPr>
      <w:rPr>
        <w:b w:val="0"/>
        <w:bCs w:val="0"/>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45" w15:restartNumberingAfterBreak="0">
    <w:nsid w:val="38363F0D"/>
    <w:multiLevelType w:val="hybridMultilevel"/>
    <w:tmpl w:val="889E8946"/>
    <w:lvl w:ilvl="0" w:tplc="0C090001">
      <w:start w:val="1"/>
      <w:numFmt w:val="bullet"/>
      <w:lvlText w:val=""/>
      <w:lvlJc w:val="left"/>
      <w:pPr>
        <w:ind w:left="1440" w:hanging="360"/>
      </w:pPr>
      <w:rPr>
        <w:rFonts w:ascii="Symbol" w:hAnsi="Symbol" w:hint="default"/>
      </w:rPr>
    </w:lvl>
    <w:lvl w:ilvl="1" w:tplc="A89298E6">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399F5A63"/>
    <w:multiLevelType w:val="hybridMultilevel"/>
    <w:tmpl w:val="ACBEA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C9904E8"/>
    <w:multiLevelType w:val="hybridMultilevel"/>
    <w:tmpl w:val="903E3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D243D1E"/>
    <w:multiLevelType w:val="hybridMultilevel"/>
    <w:tmpl w:val="DCA2C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3DED5AD8"/>
    <w:multiLevelType w:val="hybridMultilevel"/>
    <w:tmpl w:val="E7AEA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11E5438"/>
    <w:multiLevelType w:val="hybridMultilevel"/>
    <w:tmpl w:val="6D6A0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41CD0BE5"/>
    <w:multiLevelType w:val="hybridMultilevel"/>
    <w:tmpl w:val="0DC8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41D976E1"/>
    <w:multiLevelType w:val="hybridMultilevel"/>
    <w:tmpl w:val="8894046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EF0012"/>
    <w:multiLevelType w:val="hybridMultilevel"/>
    <w:tmpl w:val="A740A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43FC6D7E"/>
    <w:multiLevelType w:val="hybridMultilevel"/>
    <w:tmpl w:val="ACCE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4BD58D5"/>
    <w:multiLevelType w:val="hybridMultilevel"/>
    <w:tmpl w:val="FF04EDFC"/>
    <w:lvl w:ilvl="0" w:tplc="C2A6CBC0">
      <w:start w:val="1"/>
      <w:numFmt w:val="lowerLetter"/>
      <w:lvlText w:val="%1."/>
      <w:lvlJc w:val="left"/>
      <w:pPr>
        <w:ind w:left="720" w:hanging="360"/>
      </w:pPr>
      <w:rPr>
        <w:b/>
        <w:bCs w:val="0"/>
        <w:color w:val="auto"/>
      </w:rPr>
    </w:lvl>
    <w:lvl w:ilvl="1" w:tplc="0C09000F">
      <w:start w:val="1"/>
      <w:numFmt w:val="decimal"/>
      <w:lvlText w:val="%2."/>
      <w:lvlJc w:val="left"/>
      <w:pPr>
        <w:ind w:left="1440" w:hanging="360"/>
      </w:pPr>
      <w:rPr>
        <w:rFonts w:cs="Times New Roman"/>
        <w:color w:val="auto"/>
      </w:rPr>
    </w:lvl>
    <w:lvl w:ilvl="2" w:tplc="04090019">
      <w:start w:val="1"/>
      <w:numFmt w:val="lowerLetter"/>
      <w:lvlText w:val="%3."/>
      <w:lvlJc w:val="left"/>
      <w:pPr>
        <w:ind w:left="2160" w:hanging="360"/>
      </w:pPr>
    </w:lvl>
    <w:lvl w:ilvl="3" w:tplc="0C090001">
      <w:numFmt w:val="decimal"/>
      <w:lvlText w:val=""/>
      <w:lvlJc w:val="left"/>
      <w:pPr>
        <w:ind w:left="2880" w:hanging="360"/>
      </w:pPr>
      <w:rPr>
        <w:rFonts w:ascii="Symbol" w:hAnsi="Symbol" w:hint="default"/>
      </w:rPr>
    </w:lvl>
    <w:lvl w:ilvl="4" w:tplc="0C090003">
      <w:numFmt w:val="decimal"/>
      <w:lvlText w:val="o"/>
      <w:lvlJc w:val="left"/>
      <w:pPr>
        <w:ind w:left="3600" w:hanging="360"/>
      </w:pPr>
      <w:rPr>
        <w:rFonts w:ascii="Courier New" w:hAnsi="Courier New" w:cs="Times New Roman" w:hint="default"/>
      </w:rPr>
    </w:lvl>
    <w:lvl w:ilvl="5" w:tplc="0C090005">
      <w:numFmt w:val="decimal"/>
      <w:lvlText w:val=""/>
      <w:lvlJc w:val="left"/>
      <w:pPr>
        <w:ind w:left="4320" w:hanging="360"/>
      </w:pPr>
      <w:rPr>
        <w:rFonts w:ascii="Wingdings" w:hAnsi="Wingdings" w:hint="default"/>
      </w:rPr>
    </w:lvl>
    <w:lvl w:ilvl="6" w:tplc="0C090001">
      <w:numFmt w:val="decimal"/>
      <w:lvlText w:val=""/>
      <w:lvlJc w:val="left"/>
      <w:pPr>
        <w:ind w:left="5040" w:hanging="360"/>
      </w:pPr>
      <w:rPr>
        <w:rFonts w:ascii="Symbol" w:hAnsi="Symbol" w:hint="default"/>
      </w:rPr>
    </w:lvl>
    <w:lvl w:ilvl="7" w:tplc="0C090003">
      <w:numFmt w:val="decimal"/>
      <w:lvlText w:val="o"/>
      <w:lvlJc w:val="left"/>
      <w:pPr>
        <w:ind w:left="5760" w:hanging="360"/>
      </w:pPr>
      <w:rPr>
        <w:rFonts w:ascii="Courier New" w:hAnsi="Courier New" w:cs="Times New Roman" w:hint="default"/>
      </w:rPr>
    </w:lvl>
    <w:lvl w:ilvl="8" w:tplc="0C090005">
      <w:numFmt w:val="decimal"/>
      <w:lvlText w:val=""/>
      <w:lvlJc w:val="left"/>
      <w:pPr>
        <w:ind w:left="6480" w:hanging="360"/>
      </w:pPr>
      <w:rPr>
        <w:rFonts w:ascii="Wingdings" w:hAnsi="Wingdings" w:hint="default"/>
      </w:rPr>
    </w:lvl>
  </w:abstractNum>
  <w:abstractNum w:abstractNumId="56" w15:restartNumberingAfterBreak="0">
    <w:nsid w:val="44CB6E59"/>
    <w:multiLevelType w:val="hybridMultilevel"/>
    <w:tmpl w:val="48DA6B96"/>
    <w:lvl w:ilvl="0" w:tplc="57F83338">
      <w:start w:val="1"/>
      <w:numFmt w:val="lowerLetter"/>
      <w:lvlText w:val="%1."/>
      <w:lvlJc w:val="left"/>
      <w:pPr>
        <w:ind w:left="180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6CD5EA2"/>
    <w:multiLevelType w:val="hybridMultilevel"/>
    <w:tmpl w:val="C9A4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7524F25"/>
    <w:multiLevelType w:val="hybridMultilevel"/>
    <w:tmpl w:val="210E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C175FB8"/>
    <w:multiLevelType w:val="hybridMultilevel"/>
    <w:tmpl w:val="CDDABF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4CEA676C"/>
    <w:multiLevelType w:val="hybridMultilevel"/>
    <w:tmpl w:val="C204C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EF853BE"/>
    <w:multiLevelType w:val="hybridMultilevel"/>
    <w:tmpl w:val="E53CE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0A16A59"/>
    <w:multiLevelType w:val="hybridMultilevel"/>
    <w:tmpl w:val="5A2E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1B30CF7"/>
    <w:multiLevelType w:val="hybridMultilevel"/>
    <w:tmpl w:val="3B6A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55E50C1"/>
    <w:multiLevelType w:val="hybridMultilevel"/>
    <w:tmpl w:val="A0042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7E36FA8"/>
    <w:multiLevelType w:val="hybridMultilevel"/>
    <w:tmpl w:val="A0F4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B2C6DA9"/>
    <w:multiLevelType w:val="hybridMultilevel"/>
    <w:tmpl w:val="755A7C28"/>
    <w:lvl w:ilvl="0" w:tplc="57F83338">
      <w:start w:val="1"/>
      <w:numFmt w:val="lowerLetter"/>
      <w:lvlText w:val="%1."/>
      <w:lvlJc w:val="left"/>
      <w:pPr>
        <w:ind w:left="180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CF85942"/>
    <w:multiLevelType w:val="hybridMultilevel"/>
    <w:tmpl w:val="66B81234"/>
    <w:lvl w:ilvl="0" w:tplc="0409000F">
      <w:start w:val="1"/>
      <w:numFmt w:val="decimal"/>
      <w:lvlText w:val="%1."/>
      <w:lvlJc w:val="left"/>
      <w:pPr>
        <w:ind w:left="3150" w:hanging="360"/>
      </w:pPr>
    </w:lvl>
    <w:lvl w:ilvl="1" w:tplc="04090003">
      <w:numFmt w:val="decimal"/>
      <w:lvlText w:val="o"/>
      <w:lvlJc w:val="left"/>
      <w:pPr>
        <w:ind w:left="3870" w:hanging="360"/>
      </w:pPr>
      <w:rPr>
        <w:rFonts w:ascii="Courier New" w:hAnsi="Courier New" w:cs="Courier New" w:hint="default"/>
      </w:rPr>
    </w:lvl>
    <w:lvl w:ilvl="2" w:tplc="04090005">
      <w:numFmt w:val="decimal"/>
      <w:lvlText w:val=""/>
      <w:lvlJc w:val="left"/>
      <w:pPr>
        <w:ind w:left="4590" w:hanging="360"/>
      </w:pPr>
      <w:rPr>
        <w:rFonts w:ascii="Wingdings" w:hAnsi="Wingdings" w:hint="default"/>
      </w:rPr>
    </w:lvl>
    <w:lvl w:ilvl="3" w:tplc="04090001">
      <w:numFmt w:val="decimal"/>
      <w:lvlText w:val=""/>
      <w:lvlJc w:val="left"/>
      <w:pPr>
        <w:ind w:left="5310" w:hanging="360"/>
      </w:pPr>
      <w:rPr>
        <w:rFonts w:ascii="Symbol" w:hAnsi="Symbol" w:hint="default"/>
      </w:rPr>
    </w:lvl>
    <w:lvl w:ilvl="4" w:tplc="04090003">
      <w:numFmt w:val="decimal"/>
      <w:lvlText w:val="o"/>
      <w:lvlJc w:val="left"/>
      <w:pPr>
        <w:ind w:left="6030" w:hanging="360"/>
      </w:pPr>
      <w:rPr>
        <w:rFonts w:ascii="Courier New" w:hAnsi="Courier New" w:cs="Courier New" w:hint="default"/>
      </w:rPr>
    </w:lvl>
    <w:lvl w:ilvl="5" w:tplc="04090005">
      <w:numFmt w:val="decimal"/>
      <w:lvlText w:val=""/>
      <w:lvlJc w:val="left"/>
      <w:pPr>
        <w:ind w:left="6750" w:hanging="360"/>
      </w:pPr>
      <w:rPr>
        <w:rFonts w:ascii="Wingdings" w:hAnsi="Wingdings" w:hint="default"/>
      </w:rPr>
    </w:lvl>
    <w:lvl w:ilvl="6" w:tplc="04090001">
      <w:numFmt w:val="decimal"/>
      <w:lvlText w:val=""/>
      <w:lvlJc w:val="left"/>
      <w:pPr>
        <w:ind w:left="7470" w:hanging="360"/>
      </w:pPr>
      <w:rPr>
        <w:rFonts w:ascii="Symbol" w:hAnsi="Symbol" w:hint="default"/>
      </w:rPr>
    </w:lvl>
    <w:lvl w:ilvl="7" w:tplc="04090003">
      <w:numFmt w:val="decimal"/>
      <w:lvlText w:val="o"/>
      <w:lvlJc w:val="left"/>
      <w:pPr>
        <w:ind w:left="8190" w:hanging="360"/>
      </w:pPr>
      <w:rPr>
        <w:rFonts w:ascii="Courier New" w:hAnsi="Courier New" w:cs="Courier New" w:hint="default"/>
      </w:rPr>
    </w:lvl>
    <w:lvl w:ilvl="8" w:tplc="04090005">
      <w:numFmt w:val="decimal"/>
      <w:lvlText w:val=""/>
      <w:lvlJc w:val="left"/>
      <w:pPr>
        <w:ind w:left="8910" w:hanging="360"/>
      </w:pPr>
      <w:rPr>
        <w:rFonts w:ascii="Wingdings" w:hAnsi="Wingdings" w:hint="default"/>
      </w:rPr>
    </w:lvl>
  </w:abstractNum>
  <w:abstractNum w:abstractNumId="68" w15:restartNumberingAfterBreak="0">
    <w:nsid w:val="5D607EBF"/>
    <w:multiLevelType w:val="hybridMultilevel"/>
    <w:tmpl w:val="98D47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5EE83F12"/>
    <w:multiLevelType w:val="hybridMultilevel"/>
    <w:tmpl w:val="AD46D690"/>
    <w:lvl w:ilvl="0" w:tplc="57F83338">
      <w:start w:val="1"/>
      <w:numFmt w:val="lowerLetter"/>
      <w:lvlText w:val="%1."/>
      <w:lvlJc w:val="left"/>
      <w:pPr>
        <w:ind w:left="360" w:hanging="360"/>
      </w:pPr>
      <w:rPr>
        <w:b w:val="0"/>
        <w:bCs w:val="0"/>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70" w15:restartNumberingAfterBreak="0">
    <w:nsid w:val="5EF9447E"/>
    <w:multiLevelType w:val="hybridMultilevel"/>
    <w:tmpl w:val="7F8E08D8"/>
    <w:lvl w:ilvl="0" w:tplc="0C09000F">
      <w:start w:val="1"/>
      <w:numFmt w:val="decimal"/>
      <w:lvlText w:val="%1."/>
      <w:lvlJc w:val="left"/>
      <w:pPr>
        <w:ind w:left="1080" w:hanging="360"/>
      </w:pPr>
      <w:rPr>
        <w:rFonts w:hint="default"/>
      </w:rPr>
    </w:lvl>
    <w:lvl w:ilvl="1" w:tplc="57F83338">
      <w:start w:val="1"/>
      <w:numFmt w:val="lowerLetter"/>
      <w:lvlText w:val="%2."/>
      <w:lvlJc w:val="left"/>
      <w:pPr>
        <w:ind w:left="1800" w:hanging="360"/>
      </w:pPr>
      <w:rPr>
        <w:b w:val="0"/>
        <w:bCs w:val="0"/>
      </w:rPr>
    </w:lvl>
    <w:lvl w:ilvl="2" w:tplc="CA747D1C">
      <w:start w:val="1"/>
      <w:numFmt w:val="lowerRoman"/>
      <w:lvlText w:val="%3."/>
      <w:lvlJc w:val="right"/>
      <w:pPr>
        <w:ind w:left="2520" w:hanging="180"/>
      </w:pPr>
      <w:rPr>
        <w:b w:val="0"/>
        <w:bCs w:val="0"/>
      </w:r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48F133A"/>
    <w:multiLevelType w:val="hybridMultilevel"/>
    <w:tmpl w:val="83B09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658A2903"/>
    <w:multiLevelType w:val="hybridMultilevel"/>
    <w:tmpl w:val="D7FC82C8"/>
    <w:lvl w:ilvl="0" w:tplc="0C090001">
      <w:start w:val="1"/>
      <w:numFmt w:val="bullet"/>
      <w:lvlText w:val=""/>
      <w:lvlJc w:val="left"/>
      <w:pPr>
        <w:ind w:left="720" w:hanging="360"/>
      </w:pPr>
      <w:rPr>
        <w:rFonts w:ascii="Symbol" w:hAnsi="Symbol" w:hint="default"/>
      </w:rPr>
    </w:lvl>
    <w:lvl w:ilvl="1" w:tplc="A9DE1C8C">
      <w:start w:val="1"/>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3" w15:restartNumberingAfterBreak="0">
    <w:nsid w:val="67464626"/>
    <w:multiLevelType w:val="hybridMultilevel"/>
    <w:tmpl w:val="A39C1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15:restartNumberingAfterBreak="0">
    <w:nsid w:val="67C94634"/>
    <w:multiLevelType w:val="hybridMultilevel"/>
    <w:tmpl w:val="D73A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A882867"/>
    <w:multiLevelType w:val="hybridMultilevel"/>
    <w:tmpl w:val="4B00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9E78CE"/>
    <w:multiLevelType w:val="hybridMultilevel"/>
    <w:tmpl w:val="8206B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7" w15:restartNumberingAfterBreak="0">
    <w:nsid w:val="6BF85217"/>
    <w:multiLevelType w:val="hybridMultilevel"/>
    <w:tmpl w:val="AD46D690"/>
    <w:lvl w:ilvl="0" w:tplc="57F83338">
      <w:start w:val="1"/>
      <w:numFmt w:val="lowerLetter"/>
      <w:lvlText w:val="%1."/>
      <w:lvlJc w:val="left"/>
      <w:pPr>
        <w:ind w:left="180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C0A0647"/>
    <w:multiLevelType w:val="hybridMultilevel"/>
    <w:tmpl w:val="1F5207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9" w15:restartNumberingAfterBreak="0">
    <w:nsid w:val="6D594A6C"/>
    <w:multiLevelType w:val="hybridMultilevel"/>
    <w:tmpl w:val="97401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F0A26FA"/>
    <w:multiLevelType w:val="hybridMultilevel"/>
    <w:tmpl w:val="AB4613BE"/>
    <w:lvl w:ilvl="0" w:tplc="86BA28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1" w15:restartNumberingAfterBreak="0">
    <w:nsid w:val="70C4596D"/>
    <w:multiLevelType w:val="hybridMultilevel"/>
    <w:tmpl w:val="F8BC0CA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82" w15:restartNumberingAfterBreak="0">
    <w:nsid w:val="74E005C6"/>
    <w:multiLevelType w:val="hybridMultilevel"/>
    <w:tmpl w:val="6EC873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3" w15:restartNumberingAfterBreak="0">
    <w:nsid w:val="757C58A0"/>
    <w:multiLevelType w:val="hybridMultilevel"/>
    <w:tmpl w:val="AE428F04"/>
    <w:lvl w:ilvl="0" w:tplc="30246524">
      <w:start w:val="1"/>
      <w:numFmt w:val="bullet"/>
      <w:pStyle w:val="RSHVCbullets"/>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7460757"/>
    <w:multiLevelType w:val="hybridMultilevel"/>
    <w:tmpl w:val="BEF699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8B167B5"/>
    <w:multiLevelType w:val="multilevel"/>
    <w:tmpl w:val="A400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EFA2157"/>
    <w:multiLevelType w:val="hybridMultilevel"/>
    <w:tmpl w:val="9262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3"/>
  </w:num>
  <w:num w:numId="2">
    <w:abstractNumId w:val="29"/>
  </w:num>
  <w:num w:numId="3">
    <w:abstractNumId w:val="26"/>
  </w:num>
  <w:num w:numId="4">
    <w:abstractNumId w:val="4"/>
  </w:num>
  <w:num w:numId="5">
    <w:abstractNumId w:val="66"/>
  </w:num>
  <w:num w:numId="6">
    <w:abstractNumId w:val="50"/>
  </w:num>
  <w:num w:numId="7">
    <w:abstractNumId w:val="32"/>
  </w:num>
  <w:num w:numId="8">
    <w:abstractNumId w:val="62"/>
  </w:num>
  <w:num w:numId="9">
    <w:abstractNumId w:val="86"/>
  </w:num>
  <w:num w:numId="10">
    <w:abstractNumId w:val="72"/>
  </w:num>
  <w:num w:numId="11">
    <w:abstractNumId w:val="22"/>
  </w:num>
  <w:num w:numId="12">
    <w:abstractNumId w:val="19"/>
  </w:num>
  <w:num w:numId="13">
    <w:abstractNumId w:val="55"/>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37"/>
  </w:num>
  <w:num w:numId="18">
    <w:abstractNumId w:val="3"/>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num>
  <w:num w:numId="23">
    <w:abstractNumId w:val="33"/>
  </w:num>
  <w:num w:numId="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1"/>
  </w:num>
  <w:num w:numId="27">
    <w:abstractNumId w:val="82"/>
  </w:num>
  <w:num w:numId="28">
    <w:abstractNumId w:val="0"/>
  </w:num>
  <w:num w:numId="29">
    <w:abstractNumId w:val="81"/>
  </w:num>
  <w:num w:numId="30">
    <w:abstractNumId w:val="78"/>
  </w:num>
  <w:num w:numId="31">
    <w:abstractNumId w:val="12"/>
  </w:num>
  <w:num w:numId="32">
    <w:abstractNumId w:val="51"/>
  </w:num>
  <w:num w:numId="33">
    <w:abstractNumId w:val="76"/>
  </w:num>
  <w:num w:numId="34">
    <w:abstractNumId w:val="14"/>
  </w:num>
  <w:num w:numId="35">
    <w:abstractNumId w:val="48"/>
  </w:num>
  <w:num w:numId="36">
    <w:abstractNumId w:val="68"/>
  </w:num>
  <w:num w:numId="37">
    <w:abstractNumId w:val="6"/>
  </w:num>
  <w:num w:numId="38">
    <w:abstractNumId w:val="16"/>
  </w:num>
  <w:num w:numId="39">
    <w:abstractNumId w:val="40"/>
  </w:num>
  <w:num w:numId="40">
    <w:abstractNumId w:val="35"/>
  </w:num>
  <w:num w:numId="41">
    <w:abstractNumId w:val="49"/>
  </w:num>
  <w:num w:numId="42">
    <w:abstractNumId w:val="25"/>
  </w:num>
  <w:num w:numId="43">
    <w:abstractNumId w:val="8"/>
  </w:num>
  <w:num w:numId="44">
    <w:abstractNumId w:val="38"/>
  </w:num>
  <w:num w:numId="45">
    <w:abstractNumId w:val="57"/>
  </w:num>
  <w:num w:numId="46">
    <w:abstractNumId w:val="21"/>
  </w:num>
  <w:num w:numId="47">
    <w:abstractNumId w:val="75"/>
  </w:num>
  <w:num w:numId="48">
    <w:abstractNumId w:val="47"/>
  </w:num>
  <w:num w:numId="49">
    <w:abstractNumId w:val="10"/>
  </w:num>
  <w:num w:numId="50">
    <w:abstractNumId w:val="52"/>
  </w:num>
  <w:num w:numId="51">
    <w:abstractNumId w:val="59"/>
  </w:num>
  <w:num w:numId="52">
    <w:abstractNumId w:val="45"/>
  </w:num>
  <w:num w:numId="53">
    <w:abstractNumId w:val="7"/>
  </w:num>
  <w:num w:numId="54">
    <w:abstractNumId w:val="84"/>
  </w:num>
  <w:num w:numId="55">
    <w:abstractNumId w:val="64"/>
  </w:num>
  <w:num w:numId="56">
    <w:abstractNumId w:val="63"/>
  </w:num>
  <w:num w:numId="57">
    <w:abstractNumId w:val="36"/>
  </w:num>
  <w:num w:numId="58">
    <w:abstractNumId w:val="5"/>
  </w:num>
  <w:num w:numId="59">
    <w:abstractNumId w:val="9"/>
  </w:num>
  <w:num w:numId="60">
    <w:abstractNumId w:val="17"/>
  </w:num>
  <w:num w:numId="61">
    <w:abstractNumId w:val="15"/>
  </w:num>
  <w:num w:numId="62">
    <w:abstractNumId w:val="13"/>
  </w:num>
  <w:num w:numId="63">
    <w:abstractNumId w:val="1"/>
  </w:num>
  <w:num w:numId="64">
    <w:abstractNumId w:val="58"/>
  </w:num>
  <w:num w:numId="65">
    <w:abstractNumId w:val="61"/>
  </w:num>
  <w:num w:numId="66">
    <w:abstractNumId w:val="20"/>
  </w:num>
  <w:num w:numId="67">
    <w:abstractNumId w:val="46"/>
  </w:num>
  <w:num w:numId="68">
    <w:abstractNumId w:val="60"/>
  </w:num>
  <w:num w:numId="69">
    <w:abstractNumId w:val="54"/>
  </w:num>
  <w:num w:numId="70">
    <w:abstractNumId w:val="79"/>
  </w:num>
  <w:num w:numId="71">
    <w:abstractNumId w:val="77"/>
  </w:num>
  <w:num w:numId="72">
    <w:abstractNumId w:val="43"/>
  </w:num>
  <w:num w:numId="73">
    <w:abstractNumId w:val="44"/>
  </w:num>
  <w:num w:numId="74">
    <w:abstractNumId w:val="27"/>
  </w:num>
  <w:num w:numId="75">
    <w:abstractNumId w:val="69"/>
  </w:num>
  <w:num w:numId="76">
    <w:abstractNumId w:val="42"/>
  </w:num>
  <w:num w:numId="77">
    <w:abstractNumId w:val="30"/>
  </w:num>
  <w:num w:numId="78">
    <w:abstractNumId w:val="70"/>
  </w:num>
  <w:num w:numId="79">
    <w:abstractNumId w:val="65"/>
  </w:num>
  <w:num w:numId="80">
    <w:abstractNumId w:val="18"/>
  </w:num>
  <w:num w:numId="81">
    <w:abstractNumId w:val="56"/>
  </w:num>
  <w:num w:numId="82">
    <w:abstractNumId w:val="28"/>
  </w:num>
  <w:num w:numId="83">
    <w:abstractNumId w:val="23"/>
  </w:num>
  <w:num w:numId="84">
    <w:abstractNumId w:val="80"/>
  </w:num>
  <w:num w:numId="85">
    <w:abstractNumId w:val="34"/>
  </w:num>
  <w:num w:numId="86">
    <w:abstractNumId w:val="73"/>
  </w:num>
  <w:num w:numId="87">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D5"/>
    <w:rsid w:val="00017C0E"/>
    <w:rsid w:val="0002368D"/>
    <w:rsid w:val="00036220"/>
    <w:rsid w:val="000F3B23"/>
    <w:rsid w:val="000F7BE4"/>
    <w:rsid w:val="00100A8F"/>
    <w:rsid w:val="00107EF1"/>
    <w:rsid w:val="00110B37"/>
    <w:rsid w:val="00113991"/>
    <w:rsid w:val="0011560D"/>
    <w:rsid w:val="00135FAD"/>
    <w:rsid w:val="0013636F"/>
    <w:rsid w:val="00137144"/>
    <w:rsid w:val="0014019E"/>
    <w:rsid w:val="001549D3"/>
    <w:rsid w:val="001C2113"/>
    <w:rsid w:val="001C4083"/>
    <w:rsid w:val="002039C4"/>
    <w:rsid w:val="002903E2"/>
    <w:rsid w:val="002B6414"/>
    <w:rsid w:val="00397909"/>
    <w:rsid w:val="003D680E"/>
    <w:rsid w:val="00470E7D"/>
    <w:rsid w:val="004758C5"/>
    <w:rsid w:val="00482793"/>
    <w:rsid w:val="00490923"/>
    <w:rsid w:val="004D05D3"/>
    <w:rsid w:val="004D67D1"/>
    <w:rsid w:val="004E74F7"/>
    <w:rsid w:val="00511329"/>
    <w:rsid w:val="0053441F"/>
    <w:rsid w:val="00617CA6"/>
    <w:rsid w:val="00621476"/>
    <w:rsid w:val="00632459"/>
    <w:rsid w:val="00636E8F"/>
    <w:rsid w:val="006426BE"/>
    <w:rsid w:val="006613B1"/>
    <w:rsid w:val="0066673E"/>
    <w:rsid w:val="006962AE"/>
    <w:rsid w:val="006A3A74"/>
    <w:rsid w:val="006A43CD"/>
    <w:rsid w:val="006F589F"/>
    <w:rsid w:val="00741B9A"/>
    <w:rsid w:val="00742211"/>
    <w:rsid w:val="00765FE6"/>
    <w:rsid w:val="0079510D"/>
    <w:rsid w:val="007A4447"/>
    <w:rsid w:val="007A50A9"/>
    <w:rsid w:val="007B1DC4"/>
    <w:rsid w:val="00866A74"/>
    <w:rsid w:val="008D7AD4"/>
    <w:rsid w:val="008F0054"/>
    <w:rsid w:val="00940765"/>
    <w:rsid w:val="009415AE"/>
    <w:rsid w:val="00975EC5"/>
    <w:rsid w:val="009A7085"/>
    <w:rsid w:val="009D1EFA"/>
    <w:rsid w:val="009E1AEF"/>
    <w:rsid w:val="00A05AA3"/>
    <w:rsid w:val="00A26044"/>
    <w:rsid w:val="00A31672"/>
    <w:rsid w:val="00A9356C"/>
    <w:rsid w:val="00B17917"/>
    <w:rsid w:val="00B4578F"/>
    <w:rsid w:val="00B52611"/>
    <w:rsid w:val="00B70361"/>
    <w:rsid w:val="00B84F41"/>
    <w:rsid w:val="00BA799E"/>
    <w:rsid w:val="00BC65FF"/>
    <w:rsid w:val="00BF1E3B"/>
    <w:rsid w:val="00C3528E"/>
    <w:rsid w:val="00CC002E"/>
    <w:rsid w:val="00CE6AD5"/>
    <w:rsid w:val="00CF1519"/>
    <w:rsid w:val="00D05BA8"/>
    <w:rsid w:val="00D11F35"/>
    <w:rsid w:val="00D120D5"/>
    <w:rsid w:val="00D17685"/>
    <w:rsid w:val="00D54D6D"/>
    <w:rsid w:val="00D82C22"/>
    <w:rsid w:val="00D9479B"/>
    <w:rsid w:val="00D9521C"/>
    <w:rsid w:val="00D96329"/>
    <w:rsid w:val="00DD7684"/>
    <w:rsid w:val="00E24350"/>
    <w:rsid w:val="00E43198"/>
    <w:rsid w:val="00E5277D"/>
    <w:rsid w:val="00EB3685"/>
    <w:rsid w:val="00EB6CE4"/>
    <w:rsid w:val="00ED15D0"/>
    <w:rsid w:val="00EE4F64"/>
    <w:rsid w:val="00F03F23"/>
    <w:rsid w:val="00F15907"/>
    <w:rsid w:val="00F1600D"/>
    <w:rsid w:val="00F1693A"/>
    <w:rsid w:val="00F32CCC"/>
    <w:rsid w:val="00F72A61"/>
    <w:rsid w:val="00F77EF3"/>
    <w:rsid w:val="00F9456C"/>
    <w:rsid w:val="00FB4CC5"/>
    <w:rsid w:val="00FC3787"/>
    <w:rsid w:val="00FD25A1"/>
    <w:rsid w:val="00FD2D40"/>
    <w:rsid w:val="00FF34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C3402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1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0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3198"/>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43198"/>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E43198"/>
    <w:pPr>
      <w:keepNext/>
      <w:keepLines/>
      <w:spacing w:before="40"/>
      <w:outlineLvl w:val="4"/>
    </w:pPr>
    <w:rPr>
      <w:rFonts w:asciiTheme="majorHAnsi" w:eastAsiaTheme="majorEastAsia" w:hAnsiTheme="majorHAnsi" w:cstheme="majorBidi"/>
      <w:color w:val="365F91"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1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08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319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43198"/>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43198"/>
    <w:rPr>
      <w:rFonts w:asciiTheme="majorHAnsi" w:eastAsiaTheme="majorEastAsia" w:hAnsiTheme="majorHAnsi" w:cstheme="majorBidi"/>
      <w:color w:val="365F91" w:themeColor="accent1" w:themeShade="BF"/>
      <w:lang w:eastAsia="en-AU"/>
    </w:rPr>
  </w:style>
  <w:style w:type="paragraph" w:styleId="Header">
    <w:name w:val="header"/>
    <w:basedOn w:val="Normal"/>
    <w:link w:val="HeaderChar"/>
    <w:uiPriority w:val="99"/>
    <w:unhideWhenUsed/>
    <w:rsid w:val="00B52611"/>
    <w:pPr>
      <w:tabs>
        <w:tab w:val="center" w:pos="4320"/>
        <w:tab w:val="right" w:pos="8640"/>
      </w:tabs>
    </w:pPr>
  </w:style>
  <w:style w:type="character" w:customStyle="1" w:styleId="HeaderChar">
    <w:name w:val="Header Char"/>
    <w:basedOn w:val="DefaultParagraphFont"/>
    <w:link w:val="Header"/>
    <w:uiPriority w:val="99"/>
    <w:rsid w:val="00B52611"/>
  </w:style>
  <w:style w:type="paragraph" w:styleId="Footer">
    <w:name w:val="footer"/>
    <w:basedOn w:val="Normal"/>
    <w:link w:val="FooterChar"/>
    <w:uiPriority w:val="99"/>
    <w:unhideWhenUsed/>
    <w:rsid w:val="00B52611"/>
    <w:pPr>
      <w:tabs>
        <w:tab w:val="center" w:pos="4320"/>
        <w:tab w:val="right" w:pos="8640"/>
      </w:tabs>
    </w:pPr>
  </w:style>
  <w:style w:type="character" w:customStyle="1" w:styleId="FooterChar">
    <w:name w:val="Footer Char"/>
    <w:basedOn w:val="DefaultParagraphFont"/>
    <w:link w:val="Footer"/>
    <w:uiPriority w:val="99"/>
    <w:rsid w:val="00B52611"/>
  </w:style>
  <w:style w:type="paragraph" w:styleId="BalloonText">
    <w:name w:val="Balloon Text"/>
    <w:basedOn w:val="Normal"/>
    <w:link w:val="BalloonTextChar"/>
    <w:uiPriority w:val="99"/>
    <w:semiHidden/>
    <w:unhideWhenUsed/>
    <w:rsid w:val="00B5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611"/>
    <w:rPr>
      <w:rFonts w:ascii="Lucida Grande" w:hAnsi="Lucida Grande" w:cs="Lucida Grande"/>
      <w:sz w:val="18"/>
      <w:szCs w:val="18"/>
    </w:rPr>
  </w:style>
  <w:style w:type="paragraph" w:customStyle="1" w:styleId="Body">
    <w:name w:val="Body"/>
    <w:qFormat/>
    <w:rsid w:val="00B52611"/>
    <w:pPr>
      <w:pBdr>
        <w:top w:val="nil"/>
        <w:left w:val="nil"/>
        <w:bottom w:val="nil"/>
        <w:right w:val="nil"/>
        <w:between w:val="nil"/>
        <w:bar w:val="nil"/>
      </w:pBdr>
      <w:spacing w:after="120"/>
    </w:pPr>
    <w:rPr>
      <w:rFonts w:ascii="Arial" w:eastAsia="Arial Unicode MS" w:hAnsi="Arial" w:cs="Arial Unicode MS"/>
      <w:color w:val="000000"/>
      <w:szCs w:val="20"/>
      <w:bdr w:val="nil"/>
    </w:rPr>
  </w:style>
  <w:style w:type="paragraph" w:customStyle="1" w:styleId="RSHVCbody">
    <w:name w:val="RSHVC body"/>
    <w:basedOn w:val="Normal"/>
    <w:qFormat/>
    <w:rsid w:val="00940765"/>
    <w:pPr>
      <w:spacing w:after="300"/>
    </w:pPr>
    <w:rPr>
      <w:rFonts w:ascii="Calibri Light" w:hAnsi="Calibri Light" w:cs="Times New Roman (Body CS)"/>
      <w:color w:val="000000" w:themeColor="text1"/>
      <w:sz w:val="22"/>
    </w:rPr>
  </w:style>
  <w:style w:type="paragraph" w:customStyle="1" w:styleId="RSHVCCoverTitle">
    <w:name w:val="RSHVC Cover Title"/>
    <w:basedOn w:val="RSHVCbody"/>
    <w:qFormat/>
    <w:rsid w:val="00482793"/>
    <w:pPr>
      <w:spacing w:line="800" w:lineRule="exact"/>
    </w:pPr>
    <w:rPr>
      <w:color w:val="006472"/>
      <w:sz w:val="80"/>
    </w:rPr>
  </w:style>
  <w:style w:type="paragraph" w:customStyle="1" w:styleId="RSHVCCoverSubhead">
    <w:name w:val="RSHVC Cover Subhead"/>
    <w:basedOn w:val="RSHVCbody"/>
    <w:qFormat/>
    <w:rsid w:val="00482793"/>
    <w:pPr>
      <w:spacing w:after="0"/>
    </w:pPr>
    <w:rPr>
      <w:rFonts w:asciiTheme="majorHAnsi" w:hAnsiTheme="majorHAnsi"/>
      <w:color w:val="9B9851"/>
      <w:sz w:val="28"/>
    </w:rPr>
  </w:style>
  <w:style w:type="character" w:styleId="PageNumber">
    <w:name w:val="page number"/>
    <w:basedOn w:val="DefaultParagraphFont"/>
    <w:uiPriority w:val="99"/>
    <w:semiHidden/>
    <w:unhideWhenUsed/>
    <w:rsid w:val="00CE6AD5"/>
  </w:style>
  <w:style w:type="paragraph" w:customStyle="1" w:styleId="RSHVCFooter">
    <w:name w:val="RSHVC Footer"/>
    <w:basedOn w:val="RSHVCbody"/>
    <w:qFormat/>
    <w:rsid w:val="00113991"/>
    <w:rPr>
      <w:rFonts w:ascii="Calibri" w:hAnsi="Calibri"/>
      <w:color w:val="AAAAAA"/>
      <w:sz w:val="20"/>
    </w:rPr>
  </w:style>
  <w:style w:type="paragraph" w:customStyle="1" w:styleId="pbody">
    <w:name w:val="p_body"/>
    <w:basedOn w:val="Normal"/>
    <w:uiPriority w:val="99"/>
    <w:rsid w:val="006A43CD"/>
    <w:pPr>
      <w:suppressAutoHyphens/>
      <w:autoSpaceDE w:val="0"/>
      <w:autoSpaceDN w:val="0"/>
      <w:adjustRightInd w:val="0"/>
      <w:spacing w:after="170" w:line="260" w:lineRule="atLeast"/>
      <w:textAlignment w:val="center"/>
    </w:pPr>
    <w:rPr>
      <w:rFonts w:ascii="Roboto" w:hAnsi="Roboto" w:cs="Roboto"/>
      <w:color w:val="000000"/>
      <w:sz w:val="21"/>
      <w:szCs w:val="21"/>
      <w:lang w:val="en-GB"/>
    </w:rPr>
  </w:style>
  <w:style w:type="paragraph" w:customStyle="1" w:styleId="RSHVCHeading1">
    <w:name w:val="RSHVC Heading 1"/>
    <w:basedOn w:val="RSHVCCoverTitle"/>
    <w:qFormat/>
    <w:rsid w:val="00632459"/>
    <w:pPr>
      <w:spacing w:after="480" w:line="240" w:lineRule="auto"/>
    </w:pPr>
    <w:rPr>
      <w:sz w:val="52"/>
    </w:rPr>
  </w:style>
  <w:style w:type="paragraph" w:customStyle="1" w:styleId="RSHVCbullets">
    <w:name w:val="RSHVC bullets"/>
    <w:basedOn w:val="RSHVCbody"/>
    <w:qFormat/>
    <w:rsid w:val="00D82C22"/>
    <w:pPr>
      <w:numPr>
        <w:numId w:val="1"/>
      </w:numPr>
      <w:contextualSpacing/>
    </w:pPr>
  </w:style>
  <w:style w:type="paragraph" w:customStyle="1" w:styleId="RSHVCHeading2">
    <w:name w:val="RSHVC Heading 2"/>
    <w:basedOn w:val="RSHVCHeading1"/>
    <w:qFormat/>
    <w:rsid w:val="00632459"/>
    <w:pPr>
      <w:spacing w:before="600" w:after="120"/>
    </w:pPr>
    <w:rPr>
      <w:rFonts w:ascii="Calibri" w:hAnsi="Calibri"/>
      <w:sz w:val="28"/>
    </w:rPr>
  </w:style>
  <w:style w:type="character" w:customStyle="1" w:styleId="RSHVCHyperlink">
    <w:name w:val="RSHVC Hyperlink"/>
    <w:basedOn w:val="HTMLCode"/>
    <w:uiPriority w:val="1"/>
    <w:qFormat/>
    <w:rsid w:val="006613B1"/>
    <w:rPr>
      <w:rFonts w:ascii="Calibri" w:hAnsi="Calibri" w:cs="Consolas"/>
      <w:b w:val="0"/>
      <w:i w:val="0"/>
      <w:color w:val="9B9851"/>
      <w:sz w:val="22"/>
      <w:szCs w:val="20"/>
    </w:rPr>
  </w:style>
  <w:style w:type="character" w:styleId="HTMLCode">
    <w:name w:val="HTML Code"/>
    <w:basedOn w:val="DefaultParagraphFont"/>
    <w:uiPriority w:val="99"/>
    <w:semiHidden/>
    <w:unhideWhenUsed/>
    <w:rsid w:val="006613B1"/>
    <w:rPr>
      <w:rFonts w:ascii="Consolas" w:hAnsi="Consolas" w:cs="Consolas"/>
      <w:sz w:val="20"/>
      <w:szCs w:val="20"/>
    </w:rPr>
  </w:style>
  <w:style w:type="paragraph" w:styleId="ListParagraph">
    <w:name w:val="List Paragraph"/>
    <w:aliases w:val="Bullet Point,L,List Paragraph - bullets,List Paragraph1,List Paragraph11,NFP GP Bulleted List,Numbered paragraph,Recommendation,Use Case List Paragraph,Content descriptions,Bullet point,CV text,Table text,F5 List Paragraph,Dot pt,列出段落"/>
    <w:basedOn w:val="Normal"/>
    <w:next w:val="ListContinue"/>
    <w:link w:val="ListParagraphChar"/>
    <w:uiPriority w:val="34"/>
    <w:qFormat/>
    <w:rsid w:val="00E43198"/>
    <w:pPr>
      <w:spacing w:after="160" w:line="259" w:lineRule="auto"/>
      <w:ind w:left="720"/>
      <w:contextualSpacing/>
    </w:pPr>
    <w:rPr>
      <w:rFonts w:eastAsiaTheme="minorHAnsi"/>
      <w:sz w:val="22"/>
      <w:szCs w:val="22"/>
    </w:rPr>
  </w:style>
  <w:style w:type="paragraph" w:styleId="ListContinue">
    <w:name w:val="List Continue"/>
    <w:basedOn w:val="Normal"/>
    <w:uiPriority w:val="99"/>
    <w:unhideWhenUsed/>
    <w:rsid w:val="00E43198"/>
    <w:pPr>
      <w:spacing w:after="120" w:line="259" w:lineRule="auto"/>
      <w:ind w:left="283"/>
      <w:contextualSpacing/>
    </w:pPr>
    <w:rPr>
      <w:rFonts w:eastAsiaTheme="minorHAnsi"/>
      <w:sz w:val="22"/>
      <w:szCs w:val="22"/>
    </w:rPr>
  </w:style>
  <w:style w:type="character" w:customStyle="1" w:styleId="ListParagraphChar">
    <w:name w:val="List Paragraph Char"/>
    <w:aliases w:val="Bullet Point Char,L Char,List Paragraph - bullets Char,List Paragraph1 Char,List Paragraph11 Char,NFP GP Bulleted List Char,Numbered paragraph Char,Recommendation Char,Use Case List Paragraph Char,Content descriptions Char,列出段落 Char"/>
    <w:basedOn w:val="DefaultParagraphFont"/>
    <w:link w:val="ListParagraph"/>
    <w:uiPriority w:val="34"/>
    <w:qFormat/>
    <w:locked/>
    <w:rsid w:val="00E43198"/>
    <w:rPr>
      <w:rFonts w:eastAsiaTheme="minorHAnsi"/>
      <w:sz w:val="22"/>
      <w:szCs w:val="22"/>
    </w:rPr>
  </w:style>
  <w:style w:type="character" w:styleId="CommentReference">
    <w:name w:val="annotation reference"/>
    <w:basedOn w:val="DefaultParagraphFont"/>
    <w:uiPriority w:val="99"/>
    <w:semiHidden/>
    <w:unhideWhenUsed/>
    <w:rsid w:val="00E43198"/>
    <w:rPr>
      <w:sz w:val="16"/>
      <w:szCs w:val="16"/>
    </w:rPr>
  </w:style>
  <w:style w:type="paragraph" w:styleId="CommentText">
    <w:name w:val="annotation text"/>
    <w:basedOn w:val="Normal"/>
    <w:link w:val="CommentTextChar"/>
    <w:uiPriority w:val="99"/>
    <w:unhideWhenUsed/>
    <w:rsid w:val="00E43198"/>
    <w:pPr>
      <w:spacing w:after="160"/>
    </w:pPr>
    <w:rPr>
      <w:rFonts w:eastAsiaTheme="minorHAnsi"/>
      <w:sz w:val="20"/>
      <w:szCs w:val="20"/>
    </w:rPr>
  </w:style>
  <w:style w:type="character" w:customStyle="1" w:styleId="CommentTextChar">
    <w:name w:val="Comment Text Char"/>
    <w:basedOn w:val="DefaultParagraphFont"/>
    <w:link w:val="CommentText"/>
    <w:uiPriority w:val="99"/>
    <w:rsid w:val="00E43198"/>
    <w:rPr>
      <w:rFonts w:eastAsiaTheme="minorHAnsi"/>
      <w:sz w:val="20"/>
      <w:szCs w:val="20"/>
    </w:rPr>
  </w:style>
  <w:style w:type="character" w:styleId="IntenseReference">
    <w:name w:val="Intense Reference"/>
    <w:basedOn w:val="Heading1Char"/>
    <w:uiPriority w:val="32"/>
    <w:qFormat/>
    <w:rsid w:val="00E43198"/>
    <w:rPr>
      <w:rFonts w:asciiTheme="majorHAnsi" w:eastAsiaTheme="majorEastAsia" w:hAnsiTheme="majorHAnsi" w:cstheme="majorBidi"/>
      <w:b/>
      <w:bCs/>
      <w:smallCaps/>
      <w:color w:val="4F81BD" w:themeColor="accent1"/>
      <w:spacing w:val="5"/>
      <w:sz w:val="32"/>
      <w:szCs w:val="32"/>
    </w:rPr>
  </w:style>
  <w:style w:type="character" w:styleId="Hyperlink">
    <w:name w:val="Hyperlink"/>
    <w:basedOn w:val="DefaultParagraphFont"/>
    <w:uiPriority w:val="99"/>
    <w:unhideWhenUsed/>
    <w:rsid w:val="00E43198"/>
    <w:rPr>
      <w:color w:val="0000FF" w:themeColor="hyperlink"/>
      <w:u w:val="single"/>
    </w:rPr>
  </w:style>
  <w:style w:type="paragraph" w:styleId="NormalWeb">
    <w:name w:val="Normal (Web)"/>
    <w:basedOn w:val="Normal"/>
    <w:uiPriority w:val="99"/>
    <w:unhideWhenUsed/>
    <w:rsid w:val="00E43198"/>
    <w:pPr>
      <w:spacing w:before="100" w:beforeAutospacing="1" w:after="100" w:afterAutospacing="1"/>
    </w:pPr>
    <w:rPr>
      <w:rFonts w:ascii="Times New Roman" w:eastAsia="Times New Roman" w:hAnsi="Times New Roman" w:cs="Times New Roman"/>
      <w:lang w:eastAsia="en-AU"/>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locked/>
    <w:rsid w:val="00E43198"/>
    <w:rPr>
      <w:rFonts w:ascii="Times New Roman" w:eastAsia="Times New Roman" w:hAnsi="Times New Roman" w:cs="Times New Roman"/>
      <w:sz w:val="20"/>
      <w:szCs w:val="20"/>
      <w:lang w:eastAsia="en-AU"/>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FN,ft"/>
    <w:basedOn w:val="Normal"/>
    <w:link w:val="FootnoteTextChar"/>
    <w:unhideWhenUsed/>
    <w:qFormat/>
    <w:rsid w:val="00E43198"/>
    <w:rPr>
      <w:rFonts w:ascii="Times New Roman" w:eastAsia="Times New Roman" w:hAnsi="Times New Roman" w:cs="Times New Roman"/>
      <w:sz w:val="20"/>
      <w:szCs w:val="20"/>
      <w:lang w:eastAsia="en-AU"/>
    </w:rPr>
  </w:style>
  <w:style w:type="character" w:customStyle="1" w:styleId="FootnoteTextChar1">
    <w:name w:val="Footnote Text Char1"/>
    <w:basedOn w:val="DefaultParagraphFont"/>
    <w:uiPriority w:val="99"/>
    <w:semiHidden/>
    <w:rsid w:val="00E43198"/>
    <w:rPr>
      <w:sz w:val="20"/>
      <w:szCs w:val="20"/>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basedOn w:val="DefaultParagraphFont"/>
    <w:link w:val="ftref"/>
    <w:unhideWhenUsed/>
    <w:qFormat/>
    <w:rsid w:val="00E43198"/>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E43198"/>
    <w:pPr>
      <w:spacing w:line="240" w:lineRule="exact"/>
      <w:ind w:firstLine="360"/>
      <w:jc w:val="both"/>
    </w:pPr>
    <w:rPr>
      <w:vertAlign w:val="superscript"/>
    </w:rPr>
  </w:style>
  <w:style w:type="character" w:styleId="Emphasis">
    <w:name w:val="Emphasis"/>
    <w:basedOn w:val="DefaultParagraphFont"/>
    <w:uiPriority w:val="20"/>
    <w:qFormat/>
    <w:rsid w:val="00E43198"/>
    <w:rPr>
      <w:i/>
      <w:iCs/>
    </w:rPr>
  </w:style>
  <w:style w:type="paragraph" w:styleId="Quote">
    <w:name w:val="Quote"/>
    <w:basedOn w:val="Normal"/>
    <w:next w:val="Normal"/>
    <w:link w:val="QuoteChar"/>
    <w:uiPriority w:val="29"/>
    <w:qFormat/>
    <w:rsid w:val="00E43198"/>
    <w:pPr>
      <w:spacing w:before="200" w:after="160" w:line="259" w:lineRule="auto"/>
      <w:ind w:left="864" w:right="864"/>
      <w:jc w:val="both"/>
    </w:pPr>
    <w:rPr>
      <w:rFonts w:eastAsiaTheme="minorHAnsi"/>
      <w:iCs/>
      <w:color w:val="404040" w:themeColor="text1" w:themeTint="BF"/>
      <w:sz w:val="22"/>
      <w:szCs w:val="22"/>
    </w:rPr>
  </w:style>
  <w:style w:type="character" w:customStyle="1" w:styleId="QuoteChar">
    <w:name w:val="Quote Char"/>
    <w:basedOn w:val="DefaultParagraphFont"/>
    <w:link w:val="Quote"/>
    <w:uiPriority w:val="29"/>
    <w:rsid w:val="00E43198"/>
    <w:rPr>
      <w:rFonts w:eastAsiaTheme="minorHAnsi"/>
      <w:iCs/>
      <w:color w:val="404040" w:themeColor="text1" w:themeTint="BF"/>
      <w:sz w:val="22"/>
      <w:szCs w:val="22"/>
    </w:rPr>
  </w:style>
  <w:style w:type="paragraph" w:customStyle="1" w:styleId="h1">
    <w:name w:val="h1"/>
    <w:basedOn w:val="Normal"/>
    <w:rsid w:val="00E43198"/>
    <w:pPr>
      <w:spacing w:before="100" w:beforeAutospacing="1" w:after="100" w:afterAutospacing="1"/>
    </w:pPr>
    <w:rPr>
      <w:rFonts w:ascii="Times New Roman" w:eastAsia="Times New Roman" w:hAnsi="Times New Roman" w:cs="Times New Roman"/>
      <w:lang w:eastAsia="en-AU"/>
    </w:rPr>
  </w:style>
  <w:style w:type="paragraph" w:customStyle="1" w:styleId="quotation">
    <w:name w:val="quotation"/>
    <w:basedOn w:val="Normal"/>
    <w:rsid w:val="00E43198"/>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uiPriority w:val="99"/>
    <w:rsid w:val="00E43198"/>
    <w:pPr>
      <w:autoSpaceDE w:val="0"/>
      <w:autoSpaceDN w:val="0"/>
      <w:adjustRightInd w:val="0"/>
    </w:pPr>
    <w:rPr>
      <w:rFonts w:ascii="Arial" w:eastAsiaTheme="minorHAnsi" w:hAnsi="Arial" w:cs="Arial"/>
      <w:color w:val="000000"/>
      <w:lang w:val="en-GB"/>
    </w:rPr>
  </w:style>
  <w:style w:type="character" w:customStyle="1" w:styleId="file">
    <w:name w:val="file"/>
    <w:basedOn w:val="DefaultParagraphFont"/>
    <w:rsid w:val="00E43198"/>
  </w:style>
  <w:style w:type="paragraph" w:styleId="EndnoteText">
    <w:name w:val="endnote text"/>
    <w:basedOn w:val="Normal"/>
    <w:link w:val="EndnoteTextChar"/>
    <w:uiPriority w:val="99"/>
    <w:unhideWhenUsed/>
    <w:qFormat/>
    <w:rsid w:val="00E43198"/>
    <w:pPr>
      <w:keepLines/>
    </w:pPr>
    <w:rPr>
      <w:rFonts w:ascii="Open Sans" w:eastAsia="Times New Roman" w:hAnsi="Open Sans" w:cs="Times New Roman"/>
      <w:sz w:val="20"/>
      <w:szCs w:val="20"/>
      <w:lang w:eastAsia="en-AU"/>
    </w:rPr>
  </w:style>
  <w:style w:type="character" w:customStyle="1" w:styleId="EndnoteTextChar">
    <w:name w:val="Endnote Text Char"/>
    <w:basedOn w:val="DefaultParagraphFont"/>
    <w:link w:val="EndnoteText"/>
    <w:uiPriority w:val="99"/>
    <w:rsid w:val="00E43198"/>
    <w:rPr>
      <w:rFonts w:ascii="Open Sans" w:eastAsia="Times New Roman" w:hAnsi="Open Sans" w:cs="Times New Roman"/>
      <w:sz w:val="20"/>
      <w:szCs w:val="20"/>
      <w:lang w:eastAsia="en-AU"/>
    </w:rPr>
  </w:style>
  <w:style w:type="character" w:styleId="EndnoteReference">
    <w:name w:val="endnote reference"/>
    <w:basedOn w:val="DefaultParagraphFont"/>
    <w:uiPriority w:val="99"/>
    <w:unhideWhenUsed/>
    <w:qFormat/>
    <w:rsid w:val="00E43198"/>
    <w:rPr>
      <w:vertAlign w:val="superscript"/>
    </w:rPr>
  </w:style>
  <w:style w:type="character" w:styleId="Strong">
    <w:name w:val="Strong"/>
    <w:basedOn w:val="DefaultParagraphFont"/>
    <w:uiPriority w:val="22"/>
    <w:qFormat/>
    <w:rsid w:val="00E43198"/>
    <w:rPr>
      <w:b/>
      <w:bCs/>
    </w:rPr>
  </w:style>
  <w:style w:type="character" w:customStyle="1" w:styleId="quotesChar">
    <w:name w:val="quotes Char"/>
    <w:basedOn w:val="DefaultParagraphFont"/>
    <w:link w:val="quotes"/>
    <w:locked/>
    <w:rsid w:val="00E43198"/>
    <w:rPr>
      <w:rFonts w:ascii="Open Sans" w:eastAsia="Times New Roman" w:hAnsi="Open Sans" w:cs="Open Sans"/>
      <w:lang w:eastAsia="en-AU"/>
    </w:rPr>
  </w:style>
  <w:style w:type="paragraph" w:customStyle="1" w:styleId="quotes">
    <w:name w:val="quotes"/>
    <w:basedOn w:val="Normal"/>
    <w:link w:val="quotesChar"/>
    <w:qFormat/>
    <w:rsid w:val="00E43198"/>
    <w:pPr>
      <w:keepLines/>
      <w:ind w:left="720"/>
    </w:pPr>
    <w:rPr>
      <w:rFonts w:ascii="Open Sans" w:eastAsia="Times New Roman" w:hAnsi="Open Sans" w:cs="Open Sans"/>
      <w:lang w:eastAsia="en-AU"/>
    </w:rPr>
  </w:style>
  <w:style w:type="table" w:styleId="TableGrid">
    <w:name w:val="Table Grid"/>
    <w:basedOn w:val="TableNormal"/>
    <w:uiPriority w:val="99"/>
    <w:rsid w:val="00E43198"/>
    <w:rPr>
      <w:rFonts w:eastAsiaTheme="minorHAns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Number"/>
    <w:unhideWhenUsed/>
    <w:qFormat/>
    <w:rsid w:val="00E43198"/>
    <w:pPr>
      <w:keepLines/>
      <w:numPr>
        <w:numId w:val="0"/>
      </w:numPr>
      <w:tabs>
        <w:tab w:val="left" w:pos="1134"/>
      </w:tabs>
      <w:spacing w:after="120" w:line="240" w:lineRule="auto"/>
      <w:ind w:left="1080" w:hanging="3"/>
      <w:contextualSpacing w:val="0"/>
    </w:pPr>
    <w:rPr>
      <w:rFonts w:ascii="Open Sans" w:eastAsia="MS Mincho" w:hAnsi="Open Sans" w:cs="Times New Roman"/>
      <w:sz w:val="24"/>
      <w:szCs w:val="24"/>
      <w:lang w:eastAsia="en-AU"/>
    </w:rPr>
  </w:style>
  <w:style w:type="paragraph" w:styleId="ListNumber">
    <w:name w:val="List Number"/>
    <w:basedOn w:val="Normal"/>
    <w:uiPriority w:val="99"/>
    <w:semiHidden/>
    <w:unhideWhenUsed/>
    <w:rsid w:val="00E43198"/>
    <w:pPr>
      <w:numPr>
        <w:numId w:val="21"/>
      </w:numPr>
      <w:spacing w:after="160" w:line="259" w:lineRule="auto"/>
      <w:contextualSpacing/>
    </w:pPr>
    <w:rPr>
      <w:rFonts w:eastAsiaTheme="minorHAnsi"/>
      <w:sz w:val="22"/>
      <w:szCs w:val="22"/>
    </w:rPr>
  </w:style>
  <w:style w:type="paragraph" w:customStyle="1" w:styleId="EndnoteText1">
    <w:name w:val="Endnote Text1"/>
    <w:basedOn w:val="Normal"/>
    <w:next w:val="EndnoteText"/>
    <w:uiPriority w:val="99"/>
    <w:qFormat/>
    <w:rsid w:val="00E43198"/>
    <w:pPr>
      <w:keepLines/>
    </w:pPr>
    <w:rPr>
      <w:rFonts w:ascii="Open Sans" w:eastAsia="Times New Roman" w:hAnsi="Open Sans" w:cs="Times New Roman"/>
      <w:sz w:val="20"/>
      <w:szCs w:val="20"/>
      <w:lang w:eastAsia="en-AU"/>
    </w:rPr>
  </w:style>
  <w:style w:type="paragraph" w:styleId="TOCHeading">
    <w:name w:val="TOC Heading"/>
    <w:basedOn w:val="Heading1"/>
    <w:next w:val="Normal"/>
    <w:uiPriority w:val="39"/>
    <w:unhideWhenUsed/>
    <w:qFormat/>
    <w:rsid w:val="00E43198"/>
    <w:pPr>
      <w:outlineLvl w:val="9"/>
    </w:pPr>
    <w:rPr>
      <w:lang w:val="en-US"/>
    </w:rPr>
  </w:style>
  <w:style w:type="paragraph" w:styleId="TOC1">
    <w:name w:val="toc 1"/>
    <w:basedOn w:val="Normal"/>
    <w:next w:val="Normal"/>
    <w:autoRedefine/>
    <w:uiPriority w:val="39"/>
    <w:unhideWhenUsed/>
    <w:rsid w:val="00E43198"/>
    <w:pPr>
      <w:spacing w:after="100" w:line="259" w:lineRule="auto"/>
    </w:pPr>
    <w:rPr>
      <w:rFonts w:eastAsiaTheme="minorHAnsi"/>
      <w:sz w:val="22"/>
      <w:szCs w:val="22"/>
    </w:rPr>
  </w:style>
  <w:style w:type="paragraph" w:styleId="TOC2">
    <w:name w:val="toc 2"/>
    <w:basedOn w:val="Normal"/>
    <w:next w:val="Normal"/>
    <w:autoRedefine/>
    <w:uiPriority w:val="39"/>
    <w:unhideWhenUsed/>
    <w:rsid w:val="00E43198"/>
    <w:pPr>
      <w:spacing w:after="100" w:line="259" w:lineRule="auto"/>
      <w:ind w:left="220"/>
    </w:pPr>
    <w:rPr>
      <w:rFonts w:eastAsiaTheme="minorHAnsi"/>
      <w:sz w:val="22"/>
      <w:szCs w:val="22"/>
    </w:rPr>
  </w:style>
  <w:style w:type="paragraph" w:styleId="TOC3">
    <w:name w:val="toc 3"/>
    <w:basedOn w:val="Normal"/>
    <w:next w:val="Normal"/>
    <w:autoRedefine/>
    <w:uiPriority w:val="39"/>
    <w:unhideWhenUsed/>
    <w:rsid w:val="00E43198"/>
    <w:pPr>
      <w:spacing w:after="100" w:line="259" w:lineRule="auto"/>
      <w:ind w:left="440"/>
    </w:pPr>
    <w:rPr>
      <w:rFonts w:eastAsiaTheme="minorHAnsi"/>
      <w:sz w:val="22"/>
      <w:szCs w:val="22"/>
    </w:rPr>
  </w:style>
  <w:style w:type="paragraph" w:styleId="Revision">
    <w:name w:val="Revision"/>
    <w:hidden/>
    <w:uiPriority w:val="99"/>
    <w:semiHidden/>
    <w:rsid w:val="00E43198"/>
    <w:rPr>
      <w:rFonts w:eastAsiaTheme="minorHAnsi"/>
      <w:sz w:val="22"/>
      <w:szCs w:val="22"/>
    </w:rPr>
  </w:style>
  <w:style w:type="paragraph" w:styleId="IntenseQuote">
    <w:name w:val="Intense Quote"/>
    <w:basedOn w:val="Normal"/>
    <w:next w:val="Normal"/>
    <w:link w:val="IntenseQuoteChar"/>
    <w:uiPriority w:val="30"/>
    <w:qFormat/>
    <w:rsid w:val="00E43198"/>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sz w:val="22"/>
      <w:szCs w:val="22"/>
    </w:rPr>
  </w:style>
  <w:style w:type="character" w:customStyle="1" w:styleId="IntenseQuoteChar">
    <w:name w:val="Intense Quote Char"/>
    <w:basedOn w:val="DefaultParagraphFont"/>
    <w:link w:val="IntenseQuote"/>
    <w:uiPriority w:val="30"/>
    <w:rsid w:val="00E43198"/>
    <w:rPr>
      <w:rFonts w:eastAsiaTheme="minorHAnsi"/>
      <w:i/>
      <w:iCs/>
      <w:color w:val="4F81BD" w:themeColor="accent1"/>
      <w:sz w:val="22"/>
      <w:szCs w:val="22"/>
    </w:rPr>
  </w:style>
  <w:style w:type="paragraph" w:customStyle="1" w:styleId="notopmargin">
    <w:name w:val="no_top_margin"/>
    <w:basedOn w:val="Normal"/>
    <w:rsid w:val="00E43198"/>
    <w:pPr>
      <w:spacing w:before="100" w:beforeAutospacing="1" w:after="100" w:afterAutospacing="1"/>
    </w:pPr>
    <w:rPr>
      <w:rFonts w:ascii="Times New Roman" w:eastAsia="Times New Roman" w:hAnsi="Times New Roman" w:cs="Times New Roman"/>
      <w:lang w:eastAsia="en-AU"/>
    </w:rPr>
  </w:style>
  <w:style w:type="character" w:customStyle="1" w:styleId="ref-journal">
    <w:name w:val="ref-journal"/>
    <w:basedOn w:val="DefaultParagraphFont"/>
    <w:rsid w:val="00E43198"/>
  </w:style>
  <w:style w:type="character" w:customStyle="1" w:styleId="ref-vol">
    <w:name w:val="ref-vol"/>
    <w:basedOn w:val="DefaultParagraphFont"/>
    <w:rsid w:val="00E43198"/>
  </w:style>
  <w:style w:type="character" w:customStyle="1" w:styleId="a">
    <w:name w:val="a"/>
    <w:basedOn w:val="DefaultParagraphFont"/>
    <w:rsid w:val="00E43198"/>
  </w:style>
  <w:style w:type="character" w:customStyle="1" w:styleId="CommentSubjectChar">
    <w:name w:val="Comment Subject Char"/>
    <w:basedOn w:val="CommentTextChar"/>
    <w:link w:val="CommentSubject"/>
    <w:uiPriority w:val="99"/>
    <w:semiHidden/>
    <w:rsid w:val="00E43198"/>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E43198"/>
    <w:rPr>
      <w:b/>
      <w:bCs/>
    </w:rPr>
  </w:style>
  <w:style w:type="character" w:customStyle="1" w:styleId="HeaderDocumentTitle">
    <w:name w:val="Header Document Title"/>
    <w:uiPriority w:val="1"/>
    <w:qFormat/>
    <w:rsid w:val="00E43198"/>
    <w:rPr>
      <w:rFonts w:ascii="Open Sans" w:hAnsi="Open Sans"/>
      <w:b/>
      <w:noProof/>
      <w:sz w:val="18"/>
    </w:rPr>
  </w:style>
  <w:style w:type="character" w:styleId="HTMLCite">
    <w:name w:val="HTML Cite"/>
    <w:basedOn w:val="DefaultParagraphFont"/>
    <w:uiPriority w:val="99"/>
    <w:semiHidden/>
    <w:unhideWhenUsed/>
    <w:rsid w:val="00E43198"/>
    <w:rPr>
      <w:i/>
      <w:iCs/>
    </w:rPr>
  </w:style>
  <w:style w:type="character" w:customStyle="1" w:styleId="reference-accessdate">
    <w:name w:val="reference-accessdate"/>
    <w:basedOn w:val="DefaultParagraphFont"/>
    <w:rsid w:val="00E43198"/>
  </w:style>
  <w:style w:type="character" w:customStyle="1" w:styleId="nowrap">
    <w:name w:val="nowrap"/>
    <w:basedOn w:val="DefaultParagraphFont"/>
    <w:rsid w:val="00E43198"/>
  </w:style>
  <w:style w:type="character" w:customStyle="1" w:styleId="contribdegrees">
    <w:name w:val="contribdegrees"/>
    <w:basedOn w:val="DefaultParagraphFont"/>
    <w:rsid w:val="00E43198"/>
  </w:style>
  <w:style w:type="paragraph" w:customStyle="1" w:styleId="paragraph">
    <w:name w:val="paragraph"/>
    <w:basedOn w:val="Normal"/>
    <w:rsid w:val="009D1EFA"/>
    <w:pPr>
      <w:spacing w:before="100" w:beforeAutospacing="1" w:after="100" w:afterAutospacing="1"/>
    </w:pPr>
    <w:rPr>
      <w:rFonts w:ascii="Times New Roman" w:eastAsia="Times New Roman" w:hAnsi="Times New Roman" w:cs="Times New Roman"/>
      <w:lang w:eastAsia="zh-CN" w:bidi="th-TH"/>
    </w:rPr>
  </w:style>
  <w:style w:type="character" w:customStyle="1" w:styleId="eop">
    <w:name w:val="eop"/>
    <w:basedOn w:val="DefaultParagraphFont"/>
    <w:rsid w:val="009D1EFA"/>
  </w:style>
  <w:style w:type="character" w:customStyle="1" w:styleId="xitalic">
    <w:name w:val="xitalic"/>
    <w:uiPriority w:val="99"/>
    <w:rsid w:val="009D1EFA"/>
    <w:rPr>
      <w:rFonts w:ascii="Warnock Pro" w:hAnsi="Warnock Pro"/>
      <w:i/>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710C-3F8F-494C-8BFC-FC8494B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5242</Words>
  <Characters>29885</Characters>
  <Application>Microsoft Office Word</Application>
  <DocSecurity>0</DocSecurity>
  <Lines>249</Lines>
  <Paragraphs>70</Paragraphs>
  <ScaleCrop>false</ScaleCrop>
  <Company/>
  <LinksUpToDate>false</LinksUpToDate>
  <CharactersWithSpaces>35057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 Judicial independence, accountability and the role of the Heads of Jurisdictions</dc:title>
  <dc:subject/>
  <dc:creator/>
  <cp:keywords/>
  <dc:description/>
  <cp:lastModifiedBy/>
  <cp:revision>1</cp:revision>
  <dcterms:created xsi:type="dcterms:W3CDTF">2022-08-31T04:18:00Z</dcterms:created>
  <dcterms:modified xsi:type="dcterms:W3CDTF">2022-08-31T04:19:00Z</dcterms:modified>
</cp:coreProperties>
</file>